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95B7"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themeColor="text1"/>
          <w:u w:val="single"/>
        </w:rPr>
        <w:t>CLÁUSULA PRIMERA - OBJETO:</w:t>
      </w:r>
      <w:r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3B16581C"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633F00B6"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030B3E75"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167B70A" w14:textId="77777777" w:rsidR="001A6312" w:rsidRPr="009C2725" w:rsidRDefault="001A6312" w:rsidP="001A6312">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Suministrar la información que previamente requiera EL CONTRATISTA en relación con el objeto del presente contrato.  </w:t>
      </w:r>
    </w:p>
    <w:p w14:paraId="62E5DEBD" w14:textId="77777777" w:rsidR="001A6312" w:rsidRPr="009C2725" w:rsidRDefault="001A6312" w:rsidP="001A6312">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Exigir a EL CONTRATISTA la ejecución idónea y oportuna de las obligaciones del presente contrato.   </w:t>
      </w:r>
    </w:p>
    <w:p w14:paraId="279EDCEB" w14:textId="77777777" w:rsidR="001A6312" w:rsidRPr="009C2725" w:rsidRDefault="001A6312" w:rsidP="001A6312">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Designar y efectuar la supervisión y seguimiento del presente contrato, acorde con la normatividad aplicable y en particular la Guía General para el Ejercicio de Supervisión e Interventoría de Contratos y Convenios Suscritos por el ICBF o el documento qué lo modifique adicione o sustituya.  </w:t>
      </w:r>
    </w:p>
    <w:p w14:paraId="148DD833" w14:textId="77777777" w:rsidR="001A6312" w:rsidRPr="009C2725" w:rsidRDefault="001A6312" w:rsidP="001A6312">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Desembolsar el valor del aporte del ICBF en los términos pactados de conformidad con el plan anual de caja (PAC) aprobado por el Ministerio de Hacienda y Crédito Público (cuando sea financiado con recursos Nación) o por el ICBF (cuando sea financiado con recursos propios). </w:t>
      </w:r>
    </w:p>
    <w:p w14:paraId="20ABD22E" w14:textId="77777777" w:rsidR="001A6312" w:rsidRPr="009C2725" w:rsidRDefault="001A6312" w:rsidP="001A6312">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Mantener actualizada la información técnica, administrativa, financiera y jurídica en el expediente contractual en la plataforma transaccional de contratación pública y en físico y en las plataformas tecnológicas dispuestas por el ICBF, de acuerdo con el Manual de Contratación vigente y la normatividad que le aplique.</w:t>
      </w:r>
    </w:p>
    <w:p w14:paraId="7AAAE448"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0904997E"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CLÁUSULA TERCERA - OBLIGACIONES ESPECÍFICAS DEL ICBF:</w:t>
      </w:r>
    </w:p>
    <w:p w14:paraId="108129A7"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4627ABF5" w14:textId="77777777" w:rsidR="001A6312" w:rsidRPr="009C2725" w:rsidRDefault="001A6312" w:rsidP="001A6312">
      <w:pPr>
        <w:pStyle w:val="Prrafodelista"/>
        <w:numPr>
          <w:ilvl w:val="0"/>
          <w:numId w:val="2"/>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Comunicar a EL CONTRATISTA una vez terminado el contrato por cualquier causa, la persona a quien debe entregar los bienes muebles devolutivos que haya recibido o adquirido con los aportes del ICBF o de la contrapartida si a ello hubiere lugar, para la ejecución del contrato, a menos que al terminar el mismo los bienes ya no tengan vida útil y quede constancia de ello, en el “Formato de Acta de recibo de bienes” o documento que lo modifique o sustituya, según el procedimiento de ingreso de bienes muebles al almacén vigente.  </w:t>
      </w:r>
    </w:p>
    <w:p w14:paraId="7AFCA9FF" w14:textId="77777777" w:rsidR="001A6312" w:rsidRPr="009C2725" w:rsidRDefault="001A6312" w:rsidP="001A6312">
      <w:pPr>
        <w:pStyle w:val="Prrafodelista"/>
        <w:numPr>
          <w:ilvl w:val="0"/>
          <w:numId w:val="2"/>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Celebrar contrato de comodato, en el evento en que EL CONTRATISTA brinde el servicio público de bienestar familiar en un inmueble de propiedad del ICBF. </w:t>
      </w:r>
      <w:r w:rsidRPr="009C2725">
        <w:rPr>
          <w:rFonts w:ascii="Arial Narrow" w:eastAsia="Arial Narrow" w:hAnsi="Arial Narrow" w:cs="Kohinoor Bangla"/>
          <w:color w:val="EE0000"/>
        </w:rPr>
        <w:t>(Esta obligación debe eliminarse en caso de que el inmueble donde opera el servicio no sea propiedad del ICBF)</w:t>
      </w:r>
    </w:p>
    <w:p w14:paraId="03281C7D" w14:textId="7710052B" w:rsidR="001A6312" w:rsidRPr="001A6312" w:rsidRDefault="001A6312" w:rsidP="001A6312">
      <w:pPr>
        <w:pStyle w:val="Prrafodelista"/>
        <w:numPr>
          <w:ilvl w:val="0"/>
          <w:numId w:val="2"/>
        </w:num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r w:rsidRPr="009C2725">
        <w:rPr>
          <w:rFonts w:ascii="Arial Narrow" w:eastAsia="Arial Narrow" w:hAnsi="Arial Narrow" w:cs="Kohinoor Bangla"/>
          <w:color w:val="000000" w:themeColor="text1"/>
        </w:rPr>
        <w:t>Realizar la afectación contable en cuentas de orden para el ingreso de los bienes muebles devolutivos y de consumo adquiridos en el presente Contrato de Aporte, con la nueva normativa Internacional de Contabilidad</w:t>
      </w:r>
      <w:r>
        <w:rPr>
          <w:rFonts w:ascii="Arial Narrow" w:eastAsia="Arial Narrow" w:hAnsi="Arial Narrow" w:cs="Kohinoor Bangla"/>
          <w:color w:val="000000" w:themeColor="text1"/>
        </w:rPr>
        <w:t>.</w:t>
      </w:r>
    </w:p>
    <w:p w14:paraId="5A311979" w14:textId="77777777" w:rsidR="001A6312" w:rsidRPr="009C2725" w:rsidRDefault="001A6312" w:rsidP="001A6312">
      <w:pPr>
        <w:pStyle w:val="Prrafodelista"/>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604C9900" w14:textId="1D7CFA50" w:rsidR="001A6312" w:rsidRPr="001A6312"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CLÁUSULA CUARTA - OBLIGACIONES GENERALES DE EL CONTRATISTA:</w:t>
      </w:r>
      <w:r>
        <w:rPr>
          <w:rFonts w:ascii="Arial Narrow" w:eastAsia="Arial Narrow" w:hAnsi="Arial Narrow" w:cs="Kohinoor Bangla"/>
          <w:b/>
          <w:bCs/>
          <w:color w:val="000000" w:themeColor="text1"/>
          <w:u w:val="single"/>
        </w:rPr>
        <w:t xml:space="preserve"> </w:t>
      </w:r>
      <w:r w:rsidRPr="009A07A1">
        <w:rPr>
          <w:rFonts w:ascii="Arial Narrow" w:eastAsia="Arial Narrow" w:hAnsi="Arial Narrow" w:cs="Kohinoor Bangla"/>
          <w:color w:val="000000" w:themeColor="text1"/>
        </w:rPr>
        <w:t xml:space="preserve">El CONTRATISTA deberá aceptar y cumplir con las siguientes obligaciones: </w:t>
      </w:r>
    </w:p>
    <w:p w14:paraId="75968A1C" w14:textId="77777777" w:rsidR="001A6312" w:rsidRPr="009A07A1" w:rsidRDefault="001A6312" w:rsidP="001A6312">
      <w:pPr>
        <w:pBdr>
          <w:top w:val="nil"/>
          <w:left w:val="nil"/>
          <w:bottom w:val="nil"/>
          <w:right w:val="nil"/>
          <w:between w:val="nil"/>
        </w:pBdr>
        <w:tabs>
          <w:tab w:val="left" w:pos="10695"/>
        </w:tabs>
        <w:spacing w:after="0" w:line="240" w:lineRule="auto"/>
        <w:ind w:right="59"/>
        <w:jc w:val="both"/>
        <w:rPr>
          <w:rFonts w:ascii="Arial Narrow" w:eastAsia="Arial Narrow" w:hAnsi="Arial Narrow" w:cs="Kohinoor Bangla"/>
          <w:color w:val="000000"/>
        </w:rPr>
      </w:pPr>
    </w:p>
    <w:p w14:paraId="2B3D50B4"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Ejecutar y cumplir a cabalidad con el desarrollo del objeto del contrato.  </w:t>
      </w:r>
    </w:p>
    <w:p w14:paraId="6A4DDF08"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Asumir la responsabilidad de todas las actividades relativas a la ejecución de sus obligaciones establecidas en este contrato. En ningún caso asumirá responsabilidad alguna por el incumplimiento de cualquier obligación del ICBF.  </w:t>
      </w:r>
    </w:p>
    <w:p w14:paraId="48722759"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Compartir con el ICBF la información y las herramientas metodológicas necesarias para el cabal desarrollo del contrato. </w:t>
      </w:r>
    </w:p>
    <w:p w14:paraId="5E5C5B52"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Entregar al supervisor del contrato, los informes que se soliciten sobre cualquier aspecto y/o resultados obtenidos cuando así se requiera. </w:t>
      </w:r>
    </w:p>
    <w:p w14:paraId="18283866"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lastRenderedPageBreak/>
        <w:t xml:space="preserve">Atender oportunamente los requerimientos, instrucciones y/o recomendaciones que durante el desarrollo del contrato le imparta EL ICBF a través de los supervisores, para una correcta ejecución y cumplimiento de sus obligaciones en el desarrollo del objeto contractual.  </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A087233"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111203DE"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Utilizar la imagen del ICBF de acuerdo con los lineamientos establecidos en el Manual de Identidad Visual vigente</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Salvo autorización expresa y escrita de las partes</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ningún funcionario podrá utilizar el nombre, emblema o sello oficial de la otra parte para fines publicitarios o de cualquier otra índole.</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7B2B205B" w14:textId="77777777" w:rsidR="001A6312" w:rsidRPr="00063AA8"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ICBF.</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4085328D"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Garantizar la correcta ejecución de los recursos financieros entregados por el ICBF, según los requerimientos técnicos, logísticos y administrativos necesarios para el cumplimiento del objeto del contrato.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50F12FDA"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Reintegrar los saldos no ejecutados si los hubiere, correspondiente a los recursos del ICBF, en la cuenta que designe la entidad para tal fin. En todo caso, los pagos se realizarán sobre los valores ejecutados y debidamente legalizados por el contratante.</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FC595DC"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Disponer de una cuenta bancaria de ahorros exclusiva para el contrato y llevar una contabilidad independiente para el manejo de los recursos aportados por el ICBF. Los rendimientos financieros que estos recursos puedan generar deben ser reintegrados a la cuenta bancaria a nombre del ICBF, y será informada por el supervisor del contrato conforme a las directrices del grupo financiero.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6A1306B1"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Efectuar el pago de salarios, prestaciones e indemnizaciones de carácter laboral del personal contratado, para la ejecución del contrato, así como el pago de honorarios, los impuestos, gravámenes, aportes y servicios de cualquier género que establezcan las leyes colombianas y demás erogaciones necesarias para la ejecución de este. </w:t>
      </w:r>
    </w:p>
    <w:p w14:paraId="76F4921C"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Cumplir, si a ello hubiere lugar, con lo establecido en el artículo 50 de la Ley 789 de 2002, relacionado con los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 </w:t>
      </w:r>
    </w:p>
    <w:p w14:paraId="1F9625E6"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Realizar la afiliación a la ARL del personal que contrate para la ejecución del contrato.</w:t>
      </w:r>
    </w:p>
    <w:p w14:paraId="5E38A76B"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Garantizar durante la ejecución del contrato la permanencia y vinculación del personal mínimo requerido en la ficha de condiciones técnicas. </w:t>
      </w:r>
    </w:p>
    <w:p w14:paraId="3E7B9CEC" w14:textId="77777777" w:rsidR="001A6312" w:rsidRPr="00872ED0"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Devolver al ICBF, una vez finalizada la ejecución del contrato, los documentos que en desarrollo de este se hayan producido, e igualmente todos los archivos que se hayan generado en cumplimiento de sus obligaciones.</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273FD68A" w14:textId="77777777" w:rsidR="001A6312" w:rsidRPr="00854B39" w:rsidRDefault="001A6312" w:rsidP="001A631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Cumplir con las demás obligaciones que se deriven de la naturaleza del contrato y que garanticen su cabal y oportuna ejecución.</w:t>
      </w:r>
      <w:r w:rsidRPr="00872ED0">
        <w:rPr>
          <w:rFonts w:ascii="Arial" w:eastAsia="Arial Narrow" w:hAnsi="Arial" w:cs="Arial"/>
          <w:color w:val="000000" w:themeColor="text1"/>
        </w:rPr>
        <w:t>  </w:t>
      </w:r>
    </w:p>
    <w:p w14:paraId="0BEDB350" w14:textId="77777777" w:rsidR="00854B39" w:rsidRDefault="00854B39" w:rsidP="00854B39">
      <w:pPr>
        <w:tabs>
          <w:tab w:val="left" w:pos="10695"/>
        </w:tabs>
        <w:spacing w:after="0" w:line="240" w:lineRule="auto"/>
        <w:ind w:right="59"/>
        <w:jc w:val="both"/>
        <w:rPr>
          <w:rFonts w:ascii="Arial" w:eastAsia="Arial Narrow" w:hAnsi="Arial" w:cs="Arial"/>
          <w:color w:val="000000" w:themeColor="text1"/>
        </w:rPr>
      </w:pPr>
    </w:p>
    <w:p w14:paraId="086EB35D" w14:textId="77777777" w:rsidR="00854B39" w:rsidRDefault="00854B39" w:rsidP="00854B39">
      <w:pPr>
        <w:tabs>
          <w:tab w:val="left" w:pos="10695"/>
        </w:tabs>
        <w:spacing w:after="0" w:line="240" w:lineRule="auto"/>
        <w:ind w:right="59"/>
        <w:jc w:val="both"/>
        <w:rPr>
          <w:rFonts w:ascii="Arial" w:eastAsia="Arial Narrow" w:hAnsi="Arial" w:cs="Arial"/>
          <w:color w:val="000000" w:themeColor="text1"/>
        </w:rPr>
      </w:pPr>
    </w:p>
    <w:p w14:paraId="4F522F23" w14:textId="77777777" w:rsidR="00854B39" w:rsidRPr="00872ED0" w:rsidRDefault="00854B39" w:rsidP="00854B39">
      <w:pPr>
        <w:tabs>
          <w:tab w:val="left" w:pos="10695"/>
        </w:tabs>
        <w:spacing w:after="0" w:line="240" w:lineRule="auto"/>
        <w:ind w:right="59"/>
        <w:jc w:val="both"/>
        <w:rPr>
          <w:rFonts w:ascii="Arial Narrow" w:eastAsia="Arial Narrow" w:hAnsi="Arial Narrow" w:cs="Arial Narrow"/>
          <w:color w:val="000000" w:themeColor="text1"/>
        </w:rPr>
      </w:pPr>
    </w:p>
    <w:p w14:paraId="156C580C"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787A8E16" w14:textId="77777777" w:rsidR="001A6312"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lastRenderedPageBreak/>
        <w:t>CLÁUSULA QUINTA - OBLIGACIONES ESPECÍFICAS DE EL CONTRATISTA:</w:t>
      </w:r>
    </w:p>
    <w:p w14:paraId="144A068E" w14:textId="77777777" w:rsidR="00854B39" w:rsidRDefault="00854B39"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F4062A9" w14:textId="77777777" w:rsidR="00854B39" w:rsidRPr="008B0C66" w:rsidRDefault="00854B39" w:rsidP="00854B39">
      <w:pPr>
        <w:jc w:val="both"/>
        <w:rPr>
          <w:rFonts w:ascii="Arial Narrow" w:eastAsia="Arial Narrow" w:hAnsi="Arial Narrow" w:cs="Kohinoor Bangla"/>
          <w:b/>
          <w:bCs/>
          <w:u w:val="single"/>
        </w:rPr>
      </w:pPr>
      <w:r w:rsidRPr="008B0C66">
        <w:rPr>
          <w:rFonts w:ascii="Arial Narrow" w:eastAsia="Arial Narrow" w:hAnsi="Arial Narrow" w:cs="Kohinoor Bangla"/>
          <w:b/>
          <w:bCs/>
          <w:u w:val="single"/>
        </w:rPr>
        <w:t>DURANTE LA ETAPA DE ALISTAMIENTO:</w:t>
      </w:r>
    </w:p>
    <w:p w14:paraId="7415C3DC"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Realizar búsqueda activa para identificar y priorizar las niñas, los niños y adolescentes que participarán en el servicio Centros de Apoyo a la Inclusión, de acuerdo con los criterios de identificación, priorización y focalización, establecidos en la Guía Operativa y diligenciar los formatos suministrados por el ICBF, según corresponda.</w:t>
      </w:r>
    </w:p>
    <w:p w14:paraId="0207C04B"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Presentar y entregar al supervisor del contrato, las actas y listados de asistencia sobre la socialización del servicio Centros de Apoyo a la Inclusión en los diferentes territorios priorizados, de acuerdo con lo establecido en el apartado de Mapeo Territorial definido en la Guía Operativa.</w:t>
      </w:r>
    </w:p>
    <w:p w14:paraId="7E68A9FA"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Elaborar y presentar al supervisor del Contrato el directorio de entidades y actores territoriales estratégicos, según lo establecido en la Guía Operativa, en el marco de las acciones transectoriales.</w:t>
      </w:r>
    </w:p>
    <w:p w14:paraId="104DC686"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 xml:space="preserve">Adquirir el material de identificación para el talento humano que ejecutará el servicio Centros de Apoyo a la Inclusión de acuerdo con lo previsto por el ICBF. </w:t>
      </w:r>
    </w:p>
    <w:p w14:paraId="12C5C00D" w14:textId="77777777" w:rsidR="00854B39" w:rsidRPr="0010405D" w:rsidRDefault="00854B39" w:rsidP="00854B39">
      <w:pPr>
        <w:spacing w:after="0"/>
        <w:jc w:val="both"/>
        <w:rPr>
          <w:rFonts w:ascii="Arial Narrow" w:eastAsia="Arial Narrow" w:hAnsi="Arial Narrow" w:cs="Kohinoor Bangla"/>
          <w:b/>
          <w:bCs/>
          <w:u w:val="single"/>
        </w:rPr>
      </w:pPr>
    </w:p>
    <w:p w14:paraId="47655D22" w14:textId="77777777" w:rsidR="00854B39" w:rsidRPr="0010405D" w:rsidRDefault="00854B39" w:rsidP="00854B39">
      <w:pPr>
        <w:spacing w:after="0"/>
        <w:jc w:val="both"/>
        <w:rPr>
          <w:rFonts w:ascii="Arial Narrow" w:eastAsia="Arial Narrow" w:hAnsi="Arial Narrow" w:cs="Kohinoor Bangla"/>
          <w:b/>
          <w:bCs/>
          <w:u w:val="single"/>
        </w:rPr>
      </w:pPr>
      <w:r w:rsidRPr="0010405D">
        <w:rPr>
          <w:rFonts w:ascii="Arial Narrow" w:eastAsia="Arial Narrow" w:hAnsi="Arial Narrow" w:cs="Kohinoor Bangla"/>
          <w:b/>
          <w:bCs/>
          <w:u w:val="single"/>
        </w:rPr>
        <w:t>DURANTE LA ETAPA DE ATENCIÓN</w:t>
      </w:r>
    </w:p>
    <w:p w14:paraId="16B2B3DA" w14:textId="77777777" w:rsidR="00854B39" w:rsidRPr="0010405D" w:rsidRDefault="00854B39" w:rsidP="00854B39">
      <w:pPr>
        <w:spacing w:after="0"/>
        <w:jc w:val="both"/>
        <w:rPr>
          <w:rFonts w:ascii="Arial Narrow" w:eastAsia="Arial Narrow" w:hAnsi="Arial Narrow" w:cs="Kohinoor Bangla"/>
          <w:b/>
          <w:bCs/>
          <w:u w:val="single"/>
        </w:rPr>
      </w:pPr>
    </w:p>
    <w:p w14:paraId="60AA6525" w14:textId="77777777" w:rsidR="00854B39" w:rsidRPr="0010405D" w:rsidRDefault="00854B39" w:rsidP="00854B39">
      <w:pPr>
        <w:rPr>
          <w:rFonts w:ascii="Arial Narrow" w:eastAsia="Arial Narrow" w:hAnsi="Arial Narrow" w:cs="Arial Narrow"/>
          <w:color w:val="000000" w:themeColor="text1"/>
        </w:rPr>
      </w:pPr>
      <w:r w:rsidRPr="0010405D">
        <w:rPr>
          <w:rFonts w:ascii="Arial Narrow" w:hAnsi="Arial Narrow" w:cs="Arial"/>
          <w:b/>
          <w:bCs/>
          <w:color w:val="000000" w:themeColor="text1"/>
          <w:u w:val="single"/>
        </w:rPr>
        <w:t>Componente Técnico:</w:t>
      </w:r>
    </w:p>
    <w:p w14:paraId="03F72A11"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Realizar las jornadas de socialización de los Centros de Apoyo a la Inclusión a niñas, niños, adolescentes y familias participantes, según lo establecido en la Guía Operativa vigente.</w:t>
      </w:r>
    </w:p>
    <w:p w14:paraId="3C1577B0"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Construir los acuerdos para la participación en conjunto con los participantes de acuerdo con lo definido en la Guía Operativa de Centros de Apoyo a la Inclusión.</w:t>
      </w:r>
    </w:p>
    <w:p w14:paraId="1E9D668B"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Dar continuidad a la construcción del mapeo territorial, los procesos de lectura de contexto y caracterización de acuerdo con lo establecido en la Guía Operativa de Centros de Apoyo a la Inclusión.</w:t>
      </w:r>
    </w:p>
    <w:p w14:paraId="1773A08A"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 xml:space="preserve">Presentar al ICBF la propuesta del plan de gestión de riesgos de accidentes, enfermedades y desastres, de acuerdo con lo dispuesto en la Guía Operativa.  </w:t>
      </w:r>
    </w:p>
    <w:p w14:paraId="49E290E5"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Realizar las acciones correspondientes al seguimiento de las inasistencias y la vinculación de nuevos participantes atendiendo lo establecido en la Guía Operativa vigente.</w:t>
      </w:r>
    </w:p>
    <w:p w14:paraId="13DD74F7"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 xml:space="preserve">Realizar ejercicios de promoción de la participación y control social y todas las acciones de este componente según lo estipulado en la Guía Operativa y demás documentos dispuestos por el ICBF. </w:t>
      </w:r>
    </w:p>
    <w:p w14:paraId="31DCDE0E"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Realizar el registro del avance de las acciones realizadas por EL CONTRATISTA y las respuestas efectivas para garantizar los derechos de las niñas, niños y adolescentes, de acuerdo con el(los) formato(s) o sistema(s) definido(s) por la Dirección de Infancia y la Dirección de Adolescencia y Juventud del ICBF.</w:t>
      </w:r>
    </w:p>
    <w:p w14:paraId="013F8D04"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Crear para cada niña, niño y adolescente una carpeta individual donde se anexará la documentación relacionada con el proceso de atención en punto fijo, de acuerdo con lo definido por el área de gestión documental del ICBF.</w:t>
      </w:r>
    </w:p>
    <w:p w14:paraId="7E118254"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Estructurar y hacer entrega de las acciones relacionadas con el proceso de sistematización del servicio Centros de Apoyo a la Inclusión, de acuerdo con lo establecido en la Guía Operativa y las orientaciones que brinde el ICBF.</w:t>
      </w:r>
    </w:p>
    <w:p w14:paraId="00C1D359"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Entregar el informe de gestión mensual que dé cuenta de los procesos de atención de las niñas, los niños y adolescentes con discapacidad, familias y sus comunidades, en el(los) formato(s) o sistema(s) definido(s) por la Dirección de Infancia y la Dirección de Adolescencia y Juventud del ICBF.</w:t>
      </w:r>
    </w:p>
    <w:p w14:paraId="26D59B88" w14:textId="77777777" w:rsidR="00854B39" w:rsidRDefault="00854B39" w:rsidP="00854B39">
      <w:pPr>
        <w:pStyle w:val="Prrafodelista"/>
        <w:tabs>
          <w:tab w:val="left" w:pos="10695"/>
        </w:tabs>
        <w:spacing w:after="0" w:line="240" w:lineRule="auto"/>
        <w:ind w:left="360" w:right="59"/>
        <w:jc w:val="both"/>
        <w:rPr>
          <w:rFonts w:ascii="Arial Narrow" w:eastAsia="Arial Narrow" w:hAnsi="Arial Narrow" w:cs="Arial Narrow"/>
          <w:color w:val="000000" w:themeColor="text1"/>
        </w:rPr>
      </w:pPr>
    </w:p>
    <w:p w14:paraId="2924EE3B" w14:textId="77777777" w:rsidR="00854B39" w:rsidRPr="0010405D" w:rsidRDefault="00854B39" w:rsidP="00854B39">
      <w:pPr>
        <w:pStyle w:val="Prrafodelista"/>
        <w:tabs>
          <w:tab w:val="left" w:pos="10695"/>
        </w:tabs>
        <w:spacing w:after="0" w:line="240" w:lineRule="auto"/>
        <w:ind w:left="360" w:right="59"/>
        <w:jc w:val="both"/>
        <w:rPr>
          <w:rFonts w:ascii="Arial Narrow" w:eastAsia="Arial Narrow" w:hAnsi="Arial Narrow" w:cs="Arial Narrow"/>
          <w:color w:val="000000" w:themeColor="text1"/>
        </w:rPr>
      </w:pPr>
    </w:p>
    <w:p w14:paraId="6BBC6B99" w14:textId="77777777" w:rsidR="00854B39" w:rsidRPr="0010405D" w:rsidRDefault="00854B39" w:rsidP="00854B39">
      <w:pPr>
        <w:spacing w:after="0"/>
        <w:jc w:val="both"/>
        <w:rPr>
          <w:rFonts w:ascii="Arial Narrow" w:eastAsia="Arial Narrow" w:hAnsi="Arial Narrow" w:cs="Kohinoor Bangla"/>
          <w:b/>
          <w:bCs/>
          <w:u w:val="single"/>
        </w:rPr>
      </w:pPr>
      <w:r w:rsidRPr="0010405D">
        <w:rPr>
          <w:rFonts w:ascii="Arial Narrow" w:eastAsia="Arial Narrow" w:hAnsi="Arial Narrow" w:cs="Kohinoor Bangla"/>
          <w:b/>
          <w:bCs/>
          <w:u w:val="single"/>
        </w:rPr>
        <w:t>Componente Administrativo:</w:t>
      </w:r>
    </w:p>
    <w:p w14:paraId="3678C4F5" w14:textId="77777777" w:rsidR="00854B39" w:rsidRPr="0010405D" w:rsidRDefault="00854B39" w:rsidP="00854B39">
      <w:pPr>
        <w:spacing w:after="0"/>
        <w:jc w:val="both"/>
        <w:rPr>
          <w:rFonts w:ascii="Arial Narrow" w:eastAsia="Arial Narrow" w:hAnsi="Arial Narrow" w:cs="Kohinoor Bangla"/>
          <w:b/>
          <w:bCs/>
          <w:u w:val="single"/>
        </w:rPr>
      </w:pPr>
    </w:p>
    <w:p w14:paraId="5228AA51"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 xml:space="preserve">Mantener actualizada la información técnica, administrativa, financiera y jurídica en el expediente contractual físico y en las plataformas tecnológicas dispuestas por el ICBF, de acuerdo con las especificaciones dadas en el presente contrato, en el Manual de Contratación vigente, en el Manual Técnico de la Modalidad Integrada, la Guía Operativa de Centros de Apoyo a la Inclusión y demás normatividad que le aplique. </w:t>
      </w:r>
    </w:p>
    <w:p w14:paraId="7D1AD1EB"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Disponer de los medios necesarios para el mantenimiento, cuidado y custodia de la documentación objeto del presente contrato.</w:t>
      </w:r>
    </w:p>
    <w:p w14:paraId="1942EC1E" w14:textId="77777777" w:rsidR="00854B39" w:rsidRPr="0010405D" w:rsidRDefault="00854B39" w:rsidP="00854B39">
      <w:pPr>
        <w:tabs>
          <w:tab w:val="left" w:pos="10695"/>
        </w:tabs>
        <w:spacing w:after="0" w:line="240" w:lineRule="auto"/>
        <w:ind w:right="59"/>
        <w:jc w:val="both"/>
        <w:rPr>
          <w:rFonts w:ascii="Arial Narrow" w:hAnsi="Arial Narrow" w:cs="Arial"/>
          <w:color w:val="000000" w:themeColor="text1"/>
        </w:rPr>
      </w:pPr>
    </w:p>
    <w:p w14:paraId="3768FA4A" w14:textId="77777777" w:rsidR="00854B39" w:rsidRPr="0010405D" w:rsidRDefault="00854B39" w:rsidP="00854B39">
      <w:pPr>
        <w:jc w:val="both"/>
        <w:rPr>
          <w:rFonts w:ascii="Arial Narrow" w:eastAsia="Arial Narrow" w:hAnsi="Arial Narrow" w:cs="Kohinoor Bangla"/>
          <w:b/>
          <w:bCs/>
          <w:u w:val="single"/>
        </w:rPr>
      </w:pPr>
      <w:r w:rsidRPr="0010405D">
        <w:rPr>
          <w:rFonts w:ascii="Arial Narrow" w:eastAsia="Arial Narrow" w:hAnsi="Arial Narrow" w:cs="Kohinoor Bangla"/>
          <w:b/>
          <w:bCs/>
          <w:u w:val="single"/>
        </w:rPr>
        <w:t>DURANTE LA ETAPA DE CIERRE</w:t>
      </w:r>
    </w:p>
    <w:p w14:paraId="5156B5FC"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Presentar la sistematización de los procesos de atención, de acuerdo con lo establecido en la Guía Operativa de Centros de Apoyo a la Inclusión vigente y a las orientaciones del ICBF.</w:t>
      </w:r>
    </w:p>
    <w:p w14:paraId="06905ADE"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Continuar brindando la atención a las niñas, los niños y adolescentes vinculados en el servicio de acuerdo con lo establecido en la Guía Operativa de Centros de Apoyo a la Inclusión vigente.</w:t>
      </w:r>
    </w:p>
    <w:p w14:paraId="6AFAB3B6"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 xml:space="preserve">Desarrollar espacios articulados con las Regionales, para la socialización de resultados sobre los procesos de atención con niñas, niños, adolescentes con discapacidad, familias, comunidades y actores claves en los territorios. </w:t>
      </w:r>
    </w:p>
    <w:p w14:paraId="2ECD4EBF" w14:textId="77777777" w:rsidR="00854B39" w:rsidRPr="0010405D" w:rsidRDefault="00854B39" w:rsidP="00854B39">
      <w:pPr>
        <w:pStyle w:val="Prrafodelista"/>
        <w:numPr>
          <w:ilvl w:val="0"/>
          <w:numId w:val="4"/>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Realizar las demás actividades planteadas en la Guía Operativa de Centros de Apoyo a la Inclusión.</w:t>
      </w:r>
    </w:p>
    <w:p w14:paraId="7F1EAEDE"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12019341" w14:textId="28E1E84A" w:rsidR="00854B39" w:rsidRPr="00DE7E98" w:rsidRDefault="001A6312" w:rsidP="00DE7E98">
      <w:pPr>
        <w:pBdr>
          <w:top w:val="nil"/>
          <w:left w:val="nil"/>
          <w:bottom w:val="nil"/>
          <w:right w:val="nil"/>
          <w:between w:val="nil"/>
        </w:pBdr>
        <w:spacing w:after="0" w:line="0" w:lineRule="atLeast"/>
        <w:jc w:val="both"/>
        <w:rPr>
          <w:rFonts w:ascii="Arial Narrow" w:eastAsia="Times New Roman" w:hAnsi="Arial Narrow" w:cs="Arial"/>
          <w:color w:val="000000" w:themeColor="text1"/>
          <w:lang w:eastAsia="es-ES"/>
        </w:rPr>
      </w:pPr>
      <w:r w:rsidRPr="009C2725">
        <w:rPr>
          <w:rFonts w:ascii="Arial Narrow" w:eastAsia="Arial Narrow" w:hAnsi="Arial Narrow" w:cs="Kohinoor Bangla"/>
          <w:b/>
          <w:bCs/>
          <w:color w:val="000000" w:themeColor="text1"/>
          <w:u w:val="single"/>
        </w:rPr>
        <w:t xml:space="preserve">CLÁUSULA SEXTA - OBLIGACIONES DE EL CONTRATISTA CUALIFICADAS POR SU ESPECIAL RELEVANCIA O IMPACTO: </w:t>
      </w:r>
      <w:r w:rsidRPr="009C2725">
        <w:rPr>
          <w:rFonts w:ascii="Arial Narrow" w:eastAsia="Arial Narrow" w:hAnsi="Arial Narrow" w:cs="Kohinoor Bangla"/>
          <w:color w:val="000000" w:themeColor="text1"/>
        </w:rPr>
        <w:t xml:space="preserve">Entre las distintas obligaciones generales y específicas pactadas en el presente contrato a cargo de EL CONTRATISTA se entenderán cualificadas por su especial relevancia o impacto las indicadas </w:t>
      </w:r>
      <w:r w:rsidR="00854B39" w:rsidRPr="0010405D">
        <w:rPr>
          <w:rFonts w:ascii="Arial Narrow" w:eastAsia="Times New Roman" w:hAnsi="Arial Narrow" w:cs="Arial"/>
          <w:color w:val="000000" w:themeColor="text1"/>
          <w:lang w:eastAsia="es-ES"/>
        </w:rPr>
        <w:t>en las siguiente cláusula y subtítulos.</w:t>
      </w:r>
    </w:p>
    <w:p w14:paraId="617AD5FD" w14:textId="77777777" w:rsidR="00854B39" w:rsidRPr="0010405D" w:rsidRDefault="00854B39" w:rsidP="00854B39">
      <w:pPr>
        <w:tabs>
          <w:tab w:val="left" w:pos="10695"/>
        </w:tabs>
        <w:spacing w:after="0" w:line="240" w:lineRule="auto"/>
        <w:jc w:val="both"/>
        <w:rPr>
          <w:rFonts w:ascii="Arial Narrow" w:eastAsia="Times New Roman" w:hAnsi="Arial Narrow" w:cs="Arial"/>
          <w:color w:val="EE0000"/>
          <w:lang w:eastAsia="es-ES"/>
        </w:rPr>
      </w:pPr>
    </w:p>
    <w:p w14:paraId="40703FA6" w14:textId="77777777" w:rsidR="00854B39" w:rsidRPr="0010405D" w:rsidRDefault="00854B39" w:rsidP="00854B39">
      <w:pPr>
        <w:jc w:val="both"/>
        <w:rPr>
          <w:rFonts w:ascii="Arial Narrow" w:eastAsia="Arial Narrow" w:hAnsi="Arial Narrow" w:cs="Kohinoor Bangla"/>
          <w:b/>
          <w:bCs/>
          <w:u w:val="single"/>
        </w:rPr>
      </w:pPr>
      <w:r w:rsidRPr="0010405D">
        <w:rPr>
          <w:rFonts w:ascii="Arial Narrow" w:eastAsia="Arial Narrow" w:hAnsi="Arial Narrow" w:cs="Kohinoor Bangla"/>
          <w:b/>
          <w:bCs/>
          <w:u w:val="single"/>
        </w:rPr>
        <w:t>DURANTE LA ETAPA DE ALISTAMIENTO:</w:t>
      </w:r>
    </w:p>
    <w:p w14:paraId="2D469CFF" w14:textId="77777777" w:rsidR="00854B39" w:rsidRPr="00A1214F" w:rsidRDefault="00854B39" w:rsidP="00854B39">
      <w:pPr>
        <w:pStyle w:val="Prrafodelista"/>
        <w:numPr>
          <w:ilvl w:val="0"/>
          <w:numId w:val="6"/>
        </w:numPr>
        <w:tabs>
          <w:tab w:val="left" w:pos="10695"/>
        </w:tabs>
        <w:spacing w:after="0" w:line="240" w:lineRule="auto"/>
        <w:ind w:right="59"/>
        <w:jc w:val="both"/>
        <w:rPr>
          <w:rFonts w:ascii="Arial Narrow" w:eastAsia="Arial Narrow" w:hAnsi="Arial Narrow" w:cs="Arial Narrow"/>
          <w:color w:val="000000" w:themeColor="text1"/>
        </w:rPr>
      </w:pPr>
      <w:r w:rsidRPr="00A1214F">
        <w:rPr>
          <w:rFonts w:ascii="Arial Narrow" w:eastAsia="Arial Narrow" w:hAnsi="Arial Narrow" w:cs="Arial Narrow"/>
          <w:color w:val="000000" w:themeColor="text1"/>
        </w:rPr>
        <w:t>La entidad se obliga a garantizar que la selección y vinculación del talento humano requerido para la prestación del servicio se realice conforme a los criterios de idoneidad, cualificación y pertinencia establecidos por el INSTITUTO COLOMBIANO DE BIENESTAR FAMILIAR – ICBF.</w:t>
      </w:r>
      <w:r>
        <w:rPr>
          <w:rFonts w:ascii="Arial Narrow" w:eastAsia="Arial Narrow" w:hAnsi="Arial Narrow" w:cs="Arial Narrow"/>
          <w:color w:val="000000" w:themeColor="text1"/>
        </w:rPr>
        <w:t xml:space="preserve"> </w:t>
      </w:r>
      <w:r w:rsidRPr="00A1214F">
        <w:rPr>
          <w:rFonts w:ascii="Arial Narrow" w:eastAsia="Arial Narrow" w:hAnsi="Arial Narrow" w:cs="Arial Narrow"/>
          <w:color w:val="000000" w:themeColor="text1"/>
        </w:rPr>
        <w:t>Para tal efecto, deberá adelantar, el proceso de revisión, verificación y validación de los perfiles del personal propuesto, y aplicar las pruebas psicotécnicas que determine la entidad para evaluar las competencias personales, sociales y profesionales de los aspirantes.</w:t>
      </w:r>
    </w:p>
    <w:p w14:paraId="0901A660" w14:textId="77777777" w:rsidR="00854B39" w:rsidRPr="0010405D" w:rsidRDefault="00854B39" w:rsidP="00854B39">
      <w:pPr>
        <w:pStyle w:val="Prrafodelista"/>
        <w:numPr>
          <w:ilvl w:val="0"/>
          <w:numId w:val="6"/>
        </w:numPr>
        <w:tabs>
          <w:tab w:val="left" w:pos="10695"/>
        </w:tabs>
        <w:spacing w:after="0" w:line="240" w:lineRule="auto"/>
        <w:ind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Presentar el cronograma de las acciones a desarrollar durante el primer mes de atención conforme lo dispuesto en la Guía Operativa Centros de Apoyo a la Inclusión.</w:t>
      </w:r>
    </w:p>
    <w:p w14:paraId="1F586C25" w14:textId="77777777" w:rsidR="00854B39" w:rsidRPr="0010405D" w:rsidRDefault="00854B39" w:rsidP="00854B39">
      <w:pPr>
        <w:pStyle w:val="Prrafodelista"/>
        <w:numPr>
          <w:ilvl w:val="0"/>
          <w:numId w:val="6"/>
        </w:numPr>
        <w:tabs>
          <w:tab w:val="left" w:pos="10695"/>
        </w:tabs>
        <w:spacing w:after="0" w:line="240" w:lineRule="auto"/>
        <w:ind w:left="360" w:right="59"/>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 </w:t>
      </w:r>
      <w:r w:rsidRPr="0010405D">
        <w:rPr>
          <w:rFonts w:ascii="Arial Narrow" w:eastAsia="Arial Narrow" w:hAnsi="Arial Narrow" w:cs="Arial Narrow"/>
          <w:color w:val="000000" w:themeColor="text1"/>
        </w:rPr>
        <w:t xml:space="preserve">Conformar y disponer bajo su propia autonomía y responsabilidad el talento humano idóneo y necesario, para el desarrollo del servicio Centros de Apoyo a la Inclusión, de acuerdo con los criterios señalados en la Guía Operativa y la estructura del estudio de costos según aplique. </w:t>
      </w:r>
    </w:p>
    <w:p w14:paraId="1E3994EB" w14:textId="77777777" w:rsidR="00854B39" w:rsidRPr="0010405D" w:rsidRDefault="00854B39" w:rsidP="00854B39">
      <w:pPr>
        <w:pStyle w:val="Prrafodelista"/>
        <w:numPr>
          <w:ilvl w:val="0"/>
          <w:numId w:val="6"/>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Realizar el proceso de inducción al talento humano conforme a lo descrito en la Guía Operativa, instructivos y demás documentación relacionados con el proceso de atención y con EL ICBF, y a su vez entregar los soportes correspondientes como listados de asistencia y registro fotográfico.</w:t>
      </w:r>
    </w:p>
    <w:p w14:paraId="2212CE2B" w14:textId="77777777" w:rsidR="00854B39" w:rsidRPr="0010405D" w:rsidRDefault="00854B39" w:rsidP="00854B39">
      <w:pPr>
        <w:pStyle w:val="Prrafodelista"/>
        <w:numPr>
          <w:ilvl w:val="0"/>
          <w:numId w:val="6"/>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Presentar una propuesta de organización del talento humano para el punto fijo donde se evidencie las respectivas rotaciones que den cumplimiento a las diferentes acciones dispuestas en la Guía Operativa.</w:t>
      </w:r>
    </w:p>
    <w:p w14:paraId="467C1672" w14:textId="77777777" w:rsidR="00854B39" w:rsidRPr="00366902" w:rsidRDefault="00854B39" w:rsidP="00854B39">
      <w:pPr>
        <w:pStyle w:val="Prrafodelista"/>
        <w:numPr>
          <w:ilvl w:val="0"/>
          <w:numId w:val="6"/>
        </w:numPr>
        <w:tabs>
          <w:tab w:val="left" w:pos="10695"/>
        </w:tabs>
        <w:spacing w:after="0" w:line="240" w:lineRule="auto"/>
        <w:ind w:left="360" w:right="59"/>
        <w:jc w:val="both"/>
        <w:rPr>
          <w:rFonts w:ascii="Arial Narrow" w:eastAsia="Arial Narrow" w:hAnsi="Arial Narrow" w:cs="Arial Narrow"/>
          <w:color w:val="000000" w:themeColor="text1"/>
        </w:rPr>
      </w:pPr>
      <w:r w:rsidRPr="0010405D">
        <w:rPr>
          <w:rFonts w:ascii="Arial Narrow" w:eastAsia="Arial Narrow" w:hAnsi="Arial Narrow" w:cs="Arial Narrow"/>
          <w:color w:val="000000" w:themeColor="text1"/>
        </w:rPr>
        <w:t xml:space="preserve">Cumplir con lo establecido en el artículo 2.2.1.2.4.2.16 del Decreto 1082 de 2015, modificado por el Decreto 1860 de 2021, en el marco de la contratación del talento humano vinculado a la prestación del servicio, el cual deberá vincular en una proporción igual al 5%, a víctimas del conflicto armado interno, mujeres cabeza de familia, adultos mayores, personas en condición de discapacidad, así como población de las comunidades indígena, negra, </w:t>
      </w:r>
      <w:r w:rsidRPr="0010405D">
        <w:rPr>
          <w:rFonts w:ascii="Arial Narrow" w:eastAsia="Arial Narrow" w:hAnsi="Arial Narrow" w:cs="Arial Narrow"/>
          <w:color w:val="000000" w:themeColor="text1"/>
        </w:rPr>
        <w:lastRenderedPageBreak/>
        <w:t xml:space="preserve">afrocolombiana, raizal, palanquera, Rom o gitanos, como sujetos de especial protección constitucional. </w:t>
      </w:r>
      <w:r w:rsidRPr="0010405D">
        <w:rPr>
          <w:rFonts w:ascii="Arial Narrow" w:eastAsia="Arial Narrow" w:hAnsi="Arial Narrow" w:cs="Arial Narrow"/>
          <w:b/>
          <w:bCs/>
          <w:color w:val="000000" w:themeColor="text1"/>
        </w:rPr>
        <w:t>PARÁGRAFO PRIMERO:</w:t>
      </w:r>
      <w:r w:rsidRPr="0010405D">
        <w:rPr>
          <w:rFonts w:ascii="Arial Narrow" w:eastAsia="Arial Narrow" w:hAnsi="Arial Narrow" w:cs="Arial Narrow"/>
          <w:color w:val="000000" w:themeColor="text1"/>
        </w:rPr>
        <w:t xml:space="preserve"> 1) Para la acreditación de</w:t>
      </w:r>
      <w:r w:rsidRPr="00366902">
        <w:rPr>
          <w:rFonts w:ascii="Arial Narrow" w:eastAsia="Arial Narrow" w:hAnsi="Arial Narrow" w:cs="Arial Narrow"/>
          <w:color w:val="000000" w:themeColor="text1"/>
        </w:rPr>
        <w:t xml:space="preserve"> la condición de mujer cabeza de familia se debe adjuntar declaración notariada. Esta declaración debe tener una fecha de expedición no mayor a treinta (30) días calendario anteriores a la fecha de la contratación. 2) Para acreditar que se pertenece a la población de las comunidades indígena, negra, afrocolombiana, raizal, palanquera, Rom o gitanas, deberá aportar la copia de la certificación expedida por el Ministerio del Interior en la cual acredite que el recurso humano contratado pertenece a las citadas comunidades, en los términos del Decreto Ley 2893 de 2011, o la norma que lo modifique, sustituya o complemente. 3) Adultos mayores se certifica con el documento de identificación. 4) La condición de personas en condición de discapacidad, se deberá acreditar con el Certificado de Discapacidad -DNC- expedido por parte del Ministerio de Salud y Protección Social. 5) Víctimas del conflicto armado interno a través del Certificado de Registro Único de Víctimas RUV. </w:t>
      </w:r>
      <w:r w:rsidRPr="00366902">
        <w:rPr>
          <w:rFonts w:ascii="Arial Narrow" w:eastAsia="Arial Narrow" w:hAnsi="Arial Narrow" w:cs="Arial Narrow"/>
          <w:b/>
          <w:bCs/>
          <w:color w:val="000000" w:themeColor="text1"/>
        </w:rPr>
        <w:t>PARÁGRAFO SEGUNDO:</w:t>
      </w:r>
      <w:r w:rsidRPr="00366902">
        <w:rPr>
          <w:rFonts w:ascii="Arial Narrow" w:eastAsia="Arial Narrow" w:hAnsi="Arial Narrow" w:cs="Arial Narrow"/>
          <w:color w:val="000000" w:themeColor="text1"/>
        </w:rPr>
        <w:t xml:space="preserve"> El supervisor o el interventor, según el caso, realizará el seguimiento y verificará que las personas vinculadas al inicio y durante la ejecución del contrato pertenezcan a los grupos poblacionales enunciados en la presente obligación. </w:t>
      </w:r>
      <w:r w:rsidRPr="00366902">
        <w:rPr>
          <w:rFonts w:ascii="Arial Narrow" w:eastAsia="Arial Narrow" w:hAnsi="Arial Narrow" w:cs="Arial Narrow"/>
          <w:b/>
          <w:bCs/>
          <w:color w:val="000000" w:themeColor="text1"/>
        </w:rPr>
        <w:t>PARÁGRAFO TERCERO:</w:t>
      </w:r>
      <w:r w:rsidRPr="00366902">
        <w:rPr>
          <w:rFonts w:ascii="Arial Narrow" w:eastAsia="Arial Narrow" w:hAnsi="Arial Narrow" w:cs="Arial Narrow"/>
          <w:color w:val="000000" w:themeColor="text1"/>
        </w:rPr>
        <w:t xml:space="preserve"> Sin perjuicio de las sanciones que puedan decretarse, solo en caso de fuerza mayor o de que no sea posible el cumplimiento de la presente obligación, se presentarán a la supervisión del contrato por parte del contratista la (s) hoja (s) de vida del (los) candidato (s) con todos los soportes que acrediten la experiencia y formación académica del personal seleccionado, para ser avaladas.</w:t>
      </w:r>
    </w:p>
    <w:p w14:paraId="2175F08D" w14:textId="77777777" w:rsidR="00854B39" w:rsidRPr="00366902" w:rsidRDefault="00854B39" w:rsidP="00854B39">
      <w:pPr>
        <w:pStyle w:val="Prrafodelista"/>
        <w:numPr>
          <w:ilvl w:val="0"/>
          <w:numId w:val="6"/>
        </w:numPr>
        <w:tabs>
          <w:tab w:val="left" w:pos="10695"/>
        </w:tabs>
        <w:spacing w:after="0" w:line="240" w:lineRule="auto"/>
        <w:ind w:left="360" w:right="59"/>
        <w:jc w:val="both"/>
        <w:rPr>
          <w:rFonts w:ascii="Arial Narrow" w:eastAsia="Arial Narrow" w:hAnsi="Arial Narrow" w:cs="Arial Narrow"/>
          <w:color w:val="000000" w:themeColor="text1"/>
        </w:rPr>
      </w:pPr>
      <w:r w:rsidRPr="00366902">
        <w:rPr>
          <w:rFonts w:ascii="Arial Narrow" w:eastAsia="Arial Narrow" w:hAnsi="Arial Narrow" w:cs="Arial Narrow"/>
          <w:color w:val="000000" w:themeColor="text1"/>
        </w:rPr>
        <w:t>Entregar el informe de la etapa de alistamiento que dé cuenta de las diferentes acciones definidas en la Guía Operativa de Centros de Apoyo a la Inclusión.</w:t>
      </w:r>
    </w:p>
    <w:p w14:paraId="449A2298" w14:textId="77777777" w:rsidR="00854B39" w:rsidRPr="00366902" w:rsidRDefault="00854B39" w:rsidP="00854B39">
      <w:pPr>
        <w:tabs>
          <w:tab w:val="left" w:pos="10695"/>
        </w:tabs>
        <w:spacing w:after="0" w:line="240" w:lineRule="auto"/>
        <w:ind w:right="59"/>
        <w:jc w:val="both"/>
        <w:rPr>
          <w:rFonts w:ascii="Arial Narrow" w:eastAsia="Arial Narrow" w:hAnsi="Arial Narrow" w:cs="Arial Narrow"/>
          <w:color w:val="000000" w:themeColor="text1"/>
        </w:rPr>
      </w:pPr>
    </w:p>
    <w:p w14:paraId="682E0519" w14:textId="77777777" w:rsidR="00854B39" w:rsidRPr="00366902" w:rsidRDefault="00854B39" w:rsidP="00854B39">
      <w:pPr>
        <w:spacing w:after="0"/>
        <w:jc w:val="both"/>
        <w:rPr>
          <w:rFonts w:ascii="Arial Narrow" w:eastAsia="Arial Narrow" w:hAnsi="Arial Narrow" w:cs="Kohinoor Bangla"/>
          <w:b/>
          <w:bCs/>
          <w:u w:val="single"/>
        </w:rPr>
      </w:pPr>
      <w:r w:rsidRPr="00366902">
        <w:rPr>
          <w:rFonts w:ascii="Arial Narrow" w:eastAsia="Arial Narrow" w:hAnsi="Arial Narrow" w:cs="Kohinoor Bangla"/>
          <w:b/>
          <w:bCs/>
          <w:u w:val="single"/>
        </w:rPr>
        <w:t>DURANTE LA ETAPA DE ATENCIÓN</w:t>
      </w:r>
    </w:p>
    <w:p w14:paraId="48866ECB" w14:textId="77777777" w:rsidR="00854B39" w:rsidRPr="00366902" w:rsidRDefault="00854B39" w:rsidP="00854B39">
      <w:pPr>
        <w:spacing w:after="0"/>
        <w:jc w:val="both"/>
        <w:rPr>
          <w:rFonts w:ascii="Arial Narrow" w:eastAsia="Arial Narrow" w:hAnsi="Arial Narrow" w:cs="Kohinoor Bangla"/>
          <w:b/>
          <w:bCs/>
          <w:u w:val="single"/>
        </w:rPr>
      </w:pPr>
    </w:p>
    <w:p w14:paraId="68552BFF" w14:textId="77777777" w:rsidR="00854B39" w:rsidRPr="00366902" w:rsidRDefault="00854B39" w:rsidP="00854B39">
      <w:pPr>
        <w:rPr>
          <w:rFonts w:ascii="Arial Narrow" w:eastAsia="Arial Narrow" w:hAnsi="Arial Narrow" w:cs="Arial Narrow"/>
          <w:color w:val="000000" w:themeColor="text1"/>
        </w:rPr>
      </w:pPr>
      <w:r w:rsidRPr="00366902">
        <w:rPr>
          <w:rFonts w:ascii="Arial Narrow" w:hAnsi="Arial Narrow" w:cs="Arial"/>
          <w:b/>
          <w:bCs/>
          <w:color w:val="000000" w:themeColor="text1"/>
          <w:u w:val="single"/>
        </w:rPr>
        <w:t>Componente Técnico:</w:t>
      </w:r>
    </w:p>
    <w:p w14:paraId="2685D611" w14:textId="77777777" w:rsidR="00854B39" w:rsidRDefault="00854B39" w:rsidP="00854B39">
      <w:pPr>
        <w:pStyle w:val="Prrafodelista"/>
        <w:numPr>
          <w:ilvl w:val="0"/>
          <w:numId w:val="5"/>
        </w:numPr>
        <w:tabs>
          <w:tab w:val="left" w:pos="10695"/>
        </w:tabs>
        <w:spacing w:after="0" w:line="240" w:lineRule="auto"/>
        <w:ind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Atender a (incluir cantidad total de cupos contratados) niñas, niños y adolescentes con discapacidad, de los cuales (incluir cantidad de cupos contratados en Infancia) corresponden a la Dirección de Infancia, es decir, se encuentran entre los 6 y 13 años, 11 meses y 29 días y (incluir cantidad de cupos contratados en Adolescencia y Juventud) que pertenecen a la Dirección de Adolescencia y Juventud, entre los 14 y 17 años, 11 meses y 29 días, en atención punto fijo de acuerdo con los criterios de ingreso y priorización definidos en la Guía Operativa vigente.</w:t>
      </w:r>
    </w:p>
    <w:p w14:paraId="77720A63"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Estructurar, entregar y actualizar la propuesta de atención de niñas, niños y adolescentes conforme lo dispuesto en Guía Operativa de Centros de Apoyo a la Inclusión.</w:t>
      </w:r>
    </w:p>
    <w:p w14:paraId="6D056B5A"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Implementar y desarrollar todas las acciones previstas en los procesos de atención de punto fijo o itinerante (si aplica esta última) y sobre el eje transversal de movilización social y comunitaria, que se encuentran descritos en la Guía Operativa de Centros de Apoyo a la Inclusión. </w:t>
      </w:r>
    </w:p>
    <w:p w14:paraId="03F45169"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Asegurar la entrega de los diferentes tipos de complementación alimentaria y realizar el respectivo seguimiento nutricional a niñas, niños y adolescentes participantes del servicio Centros de Apoyo a la Inclusión en punto fijo, de acuerdo con lo establecido en las minutas patrón publicadas para el servicio y las orientaciones brindadas en la Guía Operativa vigente.</w:t>
      </w:r>
    </w:p>
    <w:p w14:paraId="4EE3EA68"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Cumplir con las acciones establecidas en la Guía Técnica del Componente de Alimentación y Nutrición para los Programas y Proyectos Misionales del ICBF, la Guía técnica y Operativa Sistema de Seguimiento Nutricional, la Guía Técnica para la Metrología aplicable a los programas de los procesos misionales del ICBF, la Guía Técnica del Componente de Alimentación y Nutrición para la Población con Discapacidad, la Guía de Almacenamiento en </w:t>
      </w:r>
      <w:r w:rsidRPr="04371D14">
        <w:rPr>
          <w:rFonts w:ascii="Arial Narrow" w:eastAsia="Arial Narrow" w:hAnsi="Arial Narrow" w:cs="Arial Narrow"/>
          <w:color w:val="000000" w:themeColor="text1"/>
        </w:rPr>
        <w:lastRenderedPageBreak/>
        <w:t>Puntos de entrega de AAVN que se encuentren vigentes y los documentos que las modifiquen, adicionen o complementen.</w:t>
      </w:r>
    </w:p>
    <w:p w14:paraId="18A479A4"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Asegurar la entrega de los materiales requeridos para el desarrollo de las diferentes experiencias dentro de los procesos de atención, a las niñas, los niños y adolescentes participantes, de acuerdo con lo estipulado en la Guía Operativa y demás documentos vinculantes.</w:t>
      </w:r>
    </w:p>
    <w:p w14:paraId="78DB4498" w14:textId="77777777" w:rsidR="00854B39" w:rsidRPr="00366902" w:rsidRDefault="00854B39" w:rsidP="00854B39">
      <w:pPr>
        <w:pStyle w:val="Prrafodelista"/>
        <w:tabs>
          <w:tab w:val="left" w:pos="10695"/>
        </w:tabs>
        <w:spacing w:after="0" w:line="240" w:lineRule="auto"/>
        <w:ind w:left="360" w:right="59"/>
        <w:jc w:val="both"/>
        <w:rPr>
          <w:rFonts w:ascii="Arial Narrow" w:eastAsia="Arial Narrow" w:hAnsi="Arial Narrow" w:cs="Arial Narrow"/>
          <w:color w:val="000000" w:themeColor="text1"/>
        </w:rPr>
      </w:pPr>
    </w:p>
    <w:p w14:paraId="0EE36805" w14:textId="77777777" w:rsidR="00854B39" w:rsidRPr="00366902" w:rsidRDefault="00854B39" w:rsidP="00854B39">
      <w:pPr>
        <w:spacing w:after="0"/>
        <w:jc w:val="both"/>
        <w:rPr>
          <w:rFonts w:ascii="Arial Narrow" w:eastAsia="Arial Narrow" w:hAnsi="Arial Narrow" w:cs="Kohinoor Bangla"/>
          <w:b/>
          <w:bCs/>
          <w:u w:val="single"/>
        </w:rPr>
      </w:pPr>
      <w:r w:rsidRPr="00366902">
        <w:rPr>
          <w:rFonts w:ascii="Arial Narrow" w:eastAsia="Arial Narrow" w:hAnsi="Arial Narrow" w:cs="Kohinoor Bangla"/>
          <w:b/>
          <w:bCs/>
          <w:u w:val="single"/>
        </w:rPr>
        <w:t>Componente Administrativo:</w:t>
      </w:r>
    </w:p>
    <w:p w14:paraId="451A3167" w14:textId="77777777" w:rsidR="00854B39" w:rsidRPr="00366902" w:rsidRDefault="00854B39" w:rsidP="00854B39">
      <w:pPr>
        <w:spacing w:after="0"/>
        <w:jc w:val="both"/>
        <w:rPr>
          <w:rFonts w:ascii="Arial Narrow" w:eastAsia="Arial Narrow" w:hAnsi="Arial Narrow" w:cs="Kohinoor Bangla"/>
          <w:b/>
          <w:bCs/>
          <w:u w:val="single"/>
        </w:rPr>
      </w:pPr>
    </w:p>
    <w:p w14:paraId="18E60EFE"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Mantener actualizadas las carpetas del talento humano vinculado para la ejecución del contrato, las cuales deben incluir: hoja de vida, soportes de estudio, tarjeta profesional (cuando aplique), certificaciones de experiencia, código ético firmado y contrato debidamente firmado, certificados de antecedentes (Contraloría, Procuraduría, Policía), Autorización consulta de inhabilidades por delitos sexuales, registro nacional de medidas correctivas (inicial y con actualización trimestral) y soportes de pago de seguridad social PARÁGRAFO. </w:t>
      </w:r>
      <w:r w:rsidRPr="04371D14">
        <w:rPr>
          <w:rFonts w:ascii="Arial Narrow" w:eastAsia="Arial Narrow" w:hAnsi="Arial Narrow" w:cs="Arial Narrow"/>
          <w:color w:val="000000" w:themeColor="text1"/>
          <w:lang w:val="es"/>
        </w:rPr>
        <w:t>El Contratista se obliga a garantizar que la selección y vinculación del talento humano requerido para la prestación del servicio se realice conforme a los criterios de idoneidad, cualificación y pertinencia establecidos por el INSTITUTO COLOMBIANO DE BIENESTAR FAMILIAR – ICBF. Para tal efecto, deberá adelantar, el proceso de revisión, verificación y validación de los perfiles del personal propuesto, y aplicar las pruebas psicotécnicas que determine la entidad para evaluar las competencias personales, sociales y profesionales de los aspirantes</w:t>
      </w:r>
      <w:r w:rsidRPr="04371D14">
        <w:rPr>
          <w:rFonts w:ascii="Arial Narrow" w:eastAsia="Arial Narrow" w:hAnsi="Arial Narrow" w:cs="Arial Narrow"/>
          <w:color w:val="000000" w:themeColor="text1"/>
        </w:rPr>
        <w:t>.</w:t>
      </w:r>
    </w:p>
    <w:p w14:paraId="4CD9E031"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(ii) aportes con el Sistema de Seguridad Social Integral; (iii) el pago de sueldos u honorarios en los tiempos establecidos para tal fin, según la vinculación laboral (no se admiten mora en los pagos); (iv) el suministro de elementos necesarios para el adecuado cumplimiento de sus labores; (v) el reconocimiento de viáticos, gastos de viaje, entre otros. El cumplimiento de esta obligación será indispensable para que se efectúen los desembolsos por parte del ICBF.</w:t>
      </w:r>
    </w:p>
    <w:p w14:paraId="5D7AA14C"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Presentar mensualmente al supervisor del contrato las novedades relacionadas con el talento humano vinculado al servicio Centros de Apoyo a la Inclusión, y garantizar que se cuente con el personal idóneo, disponible y necesario para la atención, so pena de la aplicación de las sanciones establecidas en el Contrato.</w:t>
      </w:r>
    </w:p>
    <w:p w14:paraId="448AD739"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Realizar el registro oportuno de los participantes atendidos, el registro del talento humano, la identificación de garantía de derechos, riesgos y vulneraciones con mínimo un (1) seguimiento sobre la gestión a la garantía de derechos por cada participante y el reporte del seguimiento nutricional; en los sistemas de información que establezca el ICBF. </w:t>
      </w:r>
      <w:r w:rsidRPr="04371D14">
        <w:rPr>
          <w:rFonts w:ascii="Arial Narrow" w:eastAsia="Arial Narrow" w:hAnsi="Arial Narrow" w:cs="Arial Narrow"/>
          <w:b/>
          <w:bCs/>
          <w:color w:val="000000" w:themeColor="text1"/>
        </w:rPr>
        <w:t>PARÁGRAFO:</w:t>
      </w:r>
      <w:r w:rsidRPr="04371D14">
        <w:rPr>
          <w:rFonts w:ascii="Arial Narrow" w:eastAsia="Arial Narrow" w:hAnsi="Arial Narrow" w:cs="Arial Narrow"/>
          <w:color w:val="000000" w:themeColor="text1"/>
        </w:rPr>
        <w:t xml:space="preserve"> Cuando por razones ajenas al CONTRATISTA no sea posible registrar la información requerida en el Sistema de Información determinado por EL ICBF, EL CONTRATISTA deberá aportar la justificación y los soportes para sustentar dicha situación para la aprobación o no del supervisor del contrato. No obstante, EL CONTRATISTA deberá realizar el reporte en los formatos que defina la Dirección de Infancia y la Dirección de Adolescencia y Juventud y deberá cumplir con las políticas de seguridad y los procedimientos para el manejo de la información definidos por EL ICBF, los cuales se describen a continuación: a) HABEAS DATA. La entrega de la información de los participantes del servicio permite el acceso a datos de carácter privado o reservado, protegidos por el derecho fundamental del Habeas Data, establecido en el artículo 15 de la Constitución Política de Colombia. Por consiguiente, todas las personas que intervienen en la generación, administración y manipulación de la información generada en el proceso de atención, se obligan a hacer uso de esta información de carácter privado o reservado con sujeción a las normas y disposiciones constitucionales y legales vigentes y a la jurisprudencia de la Corte Constitucional sobre la materia. b) USO DE LA INFORMACIÓN. Todas las personas que </w:t>
      </w:r>
      <w:r w:rsidRPr="04371D14">
        <w:rPr>
          <w:rFonts w:ascii="Arial Narrow" w:eastAsia="Arial Narrow" w:hAnsi="Arial Narrow" w:cs="Arial Narrow"/>
          <w:color w:val="000000" w:themeColor="text1"/>
        </w:rPr>
        <w:lastRenderedPageBreak/>
        <w:t>intervienen en la generación, administración y manipulación de la información generada durante el proceso de atención, se comprometen a usarla exclusivamente para el propósito que fue señalado en su solicitud; por lo tanto, se comprometen a no divulgar o suministrar más allá de ello, a terceros, privados o públicos, la información que le sea suministrada. c) DISTRIBUCIÓN DE LA INFORMACIÓN. Todas las personas que intervienen en la generación, administración y manipulación de la información generada durante el proceso de atención, tienen restringida la circulación y entrega de esta información a terceros, totalmente ajenos al ámbito propio en el cual se obtuvo. Dicha información deberá ser protegida con la debida reserva, custodia y conservación, y sólo podrá ser utilizada para los fines de Ley, por parte de las personas naturales y jurídicas que accedan a ésta. En ningún caso se podrá publicar en medios de comunicación, información personal de los niños, niñas y adolescentes que se encuentren en el servicio Centros de Apoyo a la Inclusión. </w:t>
      </w:r>
    </w:p>
    <w:p w14:paraId="1D6F6DCA"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Disponer bajo su propia responsabilidad de todos los elementos de infraestructura, dotación y la gestión de los espacios necesarios para la correcta prestación de las actividades de las que trata este contrato, de acuerdo con lo establecido en la Guía Operativa de Centros de Apoyo a la Inclusión vigente.</w:t>
      </w:r>
    </w:p>
    <w:p w14:paraId="56D3AE2E"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Cumplir con la normatividad vigente relacionada con el suministro, almacenamiento y transporte de alimentos. </w:t>
      </w:r>
    </w:p>
    <w:p w14:paraId="11CE05B6"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Cumplir con la Ley 2046 de 2020 invirtiendo al menos el 30% de los recursos ejecutados para la compra de alimentos, adquiriéndolos directamente a los pequeños productores agropecuarios locales, productores de la agricultura campesina, familiar o comunitaria locales, organizaciones de estos productores o a las industrias y emprendimientos agroalimentarios que procesen materias primas adquiridas directamente a estos productores locales. Estas compras deberán realizarse aplicando y cumpliendo con lo dispuesto en la guía “G5.ABS- Guía Orientadora para la Implementación de la Estrategia de Compras Locales” y deberán ser reportadas mensualmente al supervisor del contrato, haciendo uso de la última versión del formato “F1.G5.ABS- Formato seguimiento Compras Locales” o del medio que para tal efecto adopte el ICBF dentro del Sistema de Gestión de Calidad.</w:t>
      </w:r>
    </w:p>
    <w:p w14:paraId="27BDD948" w14:textId="77777777" w:rsidR="00854B39" w:rsidRPr="00366902" w:rsidRDefault="00854B39" w:rsidP="00854B39">
      <w:pPr>
        <w:pStyle w:val="Prrafodelista"/>
        <w:tabs>
          <w:tab w:val="left" w:pos="10695"/>
        </w:tabs>
        <w:spacing w:after="0" w:line="240" w:lineRule="auto"/>
        <w:ind w:left="360" w:right="59"/>
        <w:jc w:val="both"/>
        <w:rPr>
          <w:rFonts w:ascii="Arial Narrow" w:eastAsia="Arial Narrow" w:hAnsi="Arial Narrow" w:cs="Arial Narrow"/>
          <w:color w:val="000000" w:themeColor="text1"/>
        </w:rPr>
      </w:pPr>
    </w:p>
    <w:p w14:paraId="3945618B" w14:textId="77777777" w:rsidR="00854B39" w:rsidRPr="00366902" w:rsidRDefault="00854B39" w:rsidP="00854B39">
      <w:pPr>
        <w:spacing w:after="0"/>
        <w:jc w:val="both"/>
        <w:rPr>
          <w:rFonts w:ascii="Arial Narrow" w:eastAsia="Arial Narrow" w:hAnsi="Arial Narrow" w:cs="Kohinoor Bangla"/>
          <w:b/>
          <w:bCs/>
          <w:u w:val="single"/>
        </w:rPr>
      </w:pPr>
      <w:r w:rsidRPr="00366902">
        <w:rPr>
          <w:rFonts w:ascii="Arial Narrow" w:eastAsia="Arial Narrow" w:hAnsi="Arial Narrow" w:cs="Kohinoor Bangla"/>
          <w:b/>
          <w:bCs/>
          <w:u w:val="single"/>
        </w:rPr>
        <w:t>Componente Financiero:</w:t>
      </w:r>
    </w:p>
    <w:p w14:paraId="35BBE8CA" w14:textId="77777777" w:rsidR="00854B39" w:rsidRPr="00366902" w:rsidRDefault="00854B39" w:rsidP="00854B39">
      <w:pPr>
        <w:spacing w:after="0"/>
        <w:jc w:val="both"/>
        <w:rPr>
          <w:rFonts w:ascii="Arial Narrow" w:eastAsia="Arial Narrow" w:hAnsi="Arial Narrow" w:cs="Kohinoor Bangla"/>
          <w:b/>
          <w:bCs/>
          <w:u w:val="single"/>
        </w:rPr>
      </w:pPr>
    </w:p>
    <w:p w14:paraId="04DE5851"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Entregar el seguimiento a la ejecución del presupuesto para la prestación del servicio, tal como se defina por parte del ICBF.</w:t>
      </w:r>
    </w:p>
    <w:p w14:paraId="60EEC11D" w14:textId="77777777" w:rsidR="00854B39" w:rsidRPr="00CC1B43"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Remitir al supervisor del contrato, durante el mes siguiente al depósito de los recursos del ICBF, la copia del documento donde conste la operación que, por concepto de reintegros, rendimientos financieros, multas o cualquier otro, se causen a favor de la Entidad debido a la ejecución del contrato, los cuales deben ser reintegrados a la cuenta que la Dirección del Tesoro Nacional disponga. </w:t>
      </w:r>
    </w:p>
    <w:p w14:paraId="42735D63"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Mantener la información financiera relacionada con la ejecución del contrato con sus soportes debidamente organizados, los cuales deben estar disponibles cuando el supervisor los requiera.</w:t>
      </w:r>
    </w:p>
    <w:p w14:paraId="5ED26F5D" w14:textId="77777777" w:rsidR="00854B39" w:rsidRPr="008720C1"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Desembolsar oportunamente los recursos del presente contrato correspondientes al aporte de CONTRAPARTIDA (si aplica) en los términos previstos en la cláusula del VALOR DEL CONTRATO Y FORMA DE PAGO, de acuerdo con las cláusulas específicas, previa certificación de cumplimiento expedida por el supervisor del contrato. </w:t>
      </w:r>
      <w:r w:rsidRPr="04371D14">
        <w:rPr>
          <w:rFonts w:ascii="Arial Narrow" w:eastAsia="Arial Narrow" w:hAnsi="Arial Narrow" w:cs="Arial Narrow"/>
          <w:b/>
          <w:bCs/>
          <w:color w:val="000000" w:themeColor="text1"/>
        </w:rPr>
        <w:t>PARÁGRAFO PRIMERO.</w:t>
      </w:r>
      <w:r w:rsidRPr="04371D14">
        <w:rPr>
          <w:rFonts w:ascii="Arial Narrow" w:eastAsia="Arial Narrow" w:hAnsi="Arial Narrow" w:cs="Arial Narrow"/>
          <w:color w:val="000000" w:themeColor="text1"/>
        </w:rPr>
        <w:t xml:space="preserve"> En caso de que el CONTRATISTA no legalice completamente la ejecución de los recursos de CONTRAPARTIDA (si aplica) y en caso de ser necesario para la adecuada prestación del servicio, el supervisor del contrato excepcionalmente podrá autorizar desembolsos parciales, coherentes con la ejecución de los recursos debidamente legalizados por parte del CONTRATISTA. La autorización excepcional de estos desembolsos parciales no exime al CONTRATISTA de la obligación de la legalización total de los recursos ni lo exime de las consecuencias sancionatorias a que haya lugar, si aplica. </w:t>
      </w:r>
      <w:r w:rsidRPr="04371D14">
        <w:rPr>
          <w:rFonts w:ascii="Arial Narrow" w:eastAsia="Arial Narrow" w:hAnsi="Arial Narrow" w:cs="Arial Narrow"/>
          <w:b/>
          <w:bCs/>
          <w:color w:val="000000" w:themeColor="text1"/>
        </w:rPr>
        <w:t>PARÁGRAFO SEGUNDO</w:t>
      </w:r>
      <w:r w:rsidRPr="04371D14">
        <w:rPr>
          <w:rFonts w:ascii="Arial Narrow" w:eastAsia="Arial Narrow" w:hAnsi="Arial Narrow" w:cs="Arial Narrow"/>
          <w:color w:val="000000" w:themeColor="text1"/>
        </w:rPr>
        <w:t xml:space="preserve">. Los bienes aportados como contrapartida no podrán ser retirados durante la ejecución del contrato o una vez este haya finalizado. El supervisor del contrato verificará el cumplimiento de la obligación de entregar la contrapartida y en </w:t>
      </w:r>
      <w:r w:rsidRPr="04371D14">
        <w:rPr>
          <w:rFonts w:ascii="Arial Narrow" w:eastAsia="Arial Narrow" w:hAnsi="Arial Narrow" w:cs="Arial Narrow"/>
          <w:color w:val="000000" w:themeColor="text1"/>
        </w:rPr>
        <w:lastRenderedPageBreak/>
        <w:t>consecuencia, en caso de incumplimiento, podrá iniciar los procedimientos sancionatorios contractuales a que haya lugar, incluso después de finalizado el plazo de ejecución.</w:t>
      </w:r>
    </w:p>
    <w:p w14:paraId="4A0718CD"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Estructurar la información financiera según el Plan Único de Cuentas –PUC–, con sus soportes organizados y la aplicación de las NIIF7, así como el debido registro en el software contable dispuesto por la entidad contratista. </w:t>
      </w:r>
    </w:p>
    <w:p w14:paraId="0D4F5E65"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Pagar oportunamente a los proveedores y contratistas y presentar el paz y salvo de los mismos a la terminación del contrato. </w:t>
      </w:r>
    </w:p>
    <w:p w14:paraId="38E50E13"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Facilitar en las fechas establecidas y de manera integral, libros de registro, archivos, actas, informes, expedientes y demás información financiera que le solicite el supervisor del contrato.</w:t>
      </w:r>
    </w:p>
    <w:p w14:paraId="4659D062"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Contar con la revisión desde el Comité Técnico Operativo y aprobación por parte del supervisor del contrato para realizar ajustes de recursos en el presupuesto, ingresos y gastos conforme a las orientaciones brindadas por el ICBF.</w:t>
      </w:r>
    </w:p>
    <w:p w14:paraId="7E9C2580"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Reportar al ICBF mensualmente los valores no ejecutados del mes inmediatamente anterior, los cuales no podrán ser causal de reinversión.</w:t>
      </w:r>
    </w:p>
    <w:p w14:paraId="4757A0E7"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w:t>
      </w:r>
    </w:p>
    <w:p w14:paraId="07C48C12"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Realizar en los tiempos acordados o establecidos para ello, el pago de las obligaciones adquiridas por parte del operador con ocasión de la ejecución del presente contrato, sin condicionar estos a la entrega de los recursos aportados por el ICBF del contrato de aporte.</w:t>
      </w:r>
    </w:p>
    <w:p w14:paraId="1A3E5353"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Llevar la contabilidad separada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requeridos por el ICBF.</w:t>
      </w:r>
    </w:p>
    <w:p w14:paraId="640F6740"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Reintegrar los recursos aportados y no ejecutados o que se utilicen en gastos diferentes a los reconocidos dentro de los clasificadores del gasto aprobados para el servicio Centros de Apoyo a la Inclusión, de acuerdo con las instrucciones que para tal efecto imparta el ICBF.</w:t>
      </w:r>
    </w:p>
    <w:p w14:paraId="3DF8E2C2"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Disponer de una única cuenta bancaria de ahorros para el manejo exclusivo de los recursos aportados por el ICBF para la ejecución del presente contrato. El CONTRATISTA se compromete a entregar al ICBF, al momento de la suscripción del contrato debidamente diligenciado y firmado, el formato de autorización para abono directo en cuenta de ahorros de uso exclusivo de los recursos aportados por el ICBF, anexando certificación bancaria de la titularidad de la cuenta. Si el CONTRATISTA presenta una cuenta bancaria que haya sido utilizada previamente para el manejo de recursos propios, deberá certificarla por el Banco con saldo cero. En caso de comunicarse por parte del supervisor que el contrato debe tener cuentas maestras, aportar el reporte emitido por la entidad financiera.</w:t>
      </w:r>
    </w:p>
    <w:p w14:paraId="10200485"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Realizar de manera oportuna el pago de salarios, prestaciones, honorarios, aportes a seguridad social y parafiscales del personal vinculado por el CONTRATISTA para la atención del servicio, preferiblemente por transferencia bancaria. No obstante, cuando por las condiciones geográficas y ubicación no sea posible que el talento humano tenga acceso a la apertura de una cuenta, o cuando por solicitud de los colaboradores se requiera el pago en efectivo, el CONTRATISTA informará en la planilla de pago al talento humano que hace parte del informe financiero, el medio de pago aplicado. </w:t>
      </w:r>
    </w:p>
    <w:p w14:paraId="375A2634" w14:textId="77777777" w:rsidR="00854B39"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Mantener las facturas, cuenta de cobro o documento equivalente y demás soportes que cumplan con las exigencias establecidas por la legislación comercial y tributaria colombiana, en los que se identifiquen datos de proveedor, productos, valores y demás información para que el documento sea válido. Estos soportes podrán ser solicitados en cualquier momento por el supervisor del contrato. </w:t>
      </w:r>
    </w:p>
    <w:p w14:paraId="18786219"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lastRenderedPageBreak/>
        <w:t>Mantener durante la ejecución del contrato actuaciones y/o acciones integras, honestas y transparentes necesarias en el ámbito de lo público. De esta manera</w:t>
      </w:r>
      <w:r w:rsidRPr="04371D14">
        <w:rPr>
          <w:rFonts w:ascii="Arial Narrow" w:eastAsia="Arial Narrow" w:hAnsi="Arial Narrow" w:cs="Arial Narrow"/>
          <w:b/>
          <w:bCs/>
          <w:color w:val="000000" w:themeColor="text1"/>
        </w:rPr>
        <w:t xml:space="preserve"> </w:t>
      </w:r>
      <w:r w:rsidRPr="04371D14">
        <w:rPr>
          <w:rFonts w:ascii="Arial Narrow" w:eastAsia="Arial Narrow" w:hAnsi="Arial Narrow" w:cs="Kohinoor Bangla"/>
          <w:color w:val="000000" w:themeColor="text1"/>
        </w:rPr>
        <w:t xml:space="preserve">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 </w:t>
      </w:r>
      <w:r w:rsidRPr="04371D14">
        <w:rPr>
          <w:rFonts w:ascii="Arial Narrow" w:eastAsia="Arial Narrow" w:hAnsi="Arial Narrow" w:cs="Arial Narrow"/>
          <w:b/>
          <w:bCs/>
          <w:color w:val="000000" w:themeColor="text1"/>
        </w:rPr>
        <w:t xml:space="preserve">PARÁGRAFO PRIMERO. </w:t>
      </w:r>
      <w:r w:rsidRPr="04371D14">
        <w:rPr>
          <w:rFonts w:ascii="Arial Narrow" w:eastAsia="Arial Narrow" w:hAnsi="Arial Narrow" w:cs="Arial Narrow"/>
          <w:color w:val="000000" w:themeColor="text1"/>
        </w:rPr>
        <w:t xml:space="preserve">En cualquier tiempo de la ejecución del contrato, en virtud del artículo 214 de la Ley 1955 del 2019, el ICBF podrá solicitar la conversión de la cuenta que se tenga o la apertura de una nueva, que en todo caso deberá ser una cuenta bancaria maestra, teniendo en cuenta las definiciones, criterios de selección y la operatividad de la cuenta que para tal fin establezca el ICBF a través de acto administrativo. Dicha decisión será debidamente notificada por el ICBF a través del supervisor del contrato, comunicando al CONTRATISTA la obligatoriedad de apertura una cuenta maestra o de convertir la existente en una cuenta maestra en cualquiera de las entidades bancarias que ofrezcan este producto. </w:t>
      </w:r>
      <w:r w:rsidRPr="04371D14">
        <w:rPr>
          <w:rFonts w:ascii="Arial Narrow" w:eastAsia="Arial Narrow" w:hAnsi="Arial Narrow" w:cs="Arial Narrow"/>
          <w:b/>
          <w:bCs/>
          <w:color w:val="000000" w:themeColor="text1"/>
        </w:rPr>
        <w:t>PARÁGRAFO SEGUNDO.</w:t>
      </w:r>
      <w:r w:rsidRPr="04371D14">
        <w:rPr>
          <w:rFonts w:ascii="Arial Narrow" w:eastAsia="Arial Narrow" w:hAnsi="Arial Narrow" w:cs="Arial Narrow"/>
          <w:color w:val="000000" w:themeColor="text1"/>
        </w:rPr>
        <w:t xml:space="preserve"> En caso de que la entidad bancaria en la que está radicada la cuenta a que se refiere el presente trámite no ofrezca el producto denominado “cuenta maestra”, será obligación del CONTRATISTA u OPERADOR realizar los trámites pertinentes de apertura ante una entidad bancaria que lo preste y sea de su elección. </w:t>
      </w:r>
      <w:r w:rsidRPr="04371D14">
        <w:rPr>
          <w:rFonts w:ascii="Arial Narrow" w:eastAsia="Arial Narrow" w:hAnsi="Arial Narrow" w:cs="Arial Narrow"/>
          <w:b/>
          <w:bCs/>
          <w:color w:val="000000" w:themeColor="text1"/>
        </w:rPr>
        <w:t>PARÁGRAFO TERCERO.</w:t>
      </w:r>
      <w:r w:rsidRPr="04371D14">
        <w:rPr>
          <w:rFonts w:ascii="Arial Narrow" w:eastAsia="Arial Narrow" w:hAnsi="Arial Narrow" w:cs="Arial Narrow"/>
          <w:color w:val="000000" w:themeColor="text1"/>
        </w:rPr>
        <w:t xml:space="preserve"> Una vez sea comunicada al OPERADOR o al CONTRATISTA la obligatoriedad de realizar la apertura o conversión a una cuenta maestra tendrá el término perentorio de hasta ocho (8) días hábiles para hacer el trámite y entregar la evidencia documental al supervisor del contrato so pena de las actuaciones administrativas a las que haya lugar. </w:t>
      </w:r>
      <w:r w:rsidRPr="04371D14">
        <w:rPr>
          <w:rFonts w:ascii="Arial Narrow" w:eastAsia="Arial Narrow" w:hAnsi="Arial Narrow" w:cs="Arial Narrow"/>
          <w:b/>
          <w:bCs/>
          <w:color w:val="000000" w:themeColor="text1"/>
        </w:rPr>
        <w:t>PARÁGRAFO CUARTO.</w:t>
      </w:r>
      <w:r w:rsidRPr="04371D14">
        <w:rPr>
          <w:rFonts w:ascii="Arial Narrow" w:eastAsia="Arial Narrow" w:hAnsi="Arial Narrow" w:cs="Arial Narrow"/>
          <w:color w:val="000000" w:themeColor="text1"/>
        </w:rPr>
        <w:t xml:space="preserve"> En caso de ser requerida la cuenta maestra, los pagos deberán ser adelantadas únicamente por transferencia bancaria.</w:t>
      </w:r>
    </w:p>
    <w:p w14:paraId="5D581E50" w14:textId="77777777" w:rsidR="00854B39" w:rsidRPr="00366902" w:rsidRDefault="00854B39" w:rsidP="00854B39">
      <w:pPr>
        <w:tabs>
          <w:tab w:val="left" w:pos="10695"/>
        </w:tabs>
        <w:spacing w:after="0" w:line="240" w:lineRule="auto"/>
        <w:ind w:right="59"/>
        <w:jc w:val="both"/>
        <w:rPr>
          <w:rFonts w:ascii="Arial Narrow" w:hAnsi="Arial Narrow" w:cs="Arial"/>
          <w:color w:val="000000" w:themeColor="text1"/>
        </w:rPr>
      </w:pPr>
    </w:p>
    <w:p w14:paraId="188FDCF9" w14:textId="77777777" w:rsidR="00854B39" w:rsidRPr="00366902" w:rsidRDefault="00854B39" w:rsidP="00854B39">
      <w:pPr>
        <w:jc w:val="both"/>
        <w:rPr>
          <w:rFonts w:ascii="Arial Narrow" w:eastAsia="Arial Narrow" w:hAnsi="Arial Narrow" w:cs="Kohinoor Bangla"/>
          <w:b/>
          <w:bCs/>
          <w:u w:val="single"/>
        </w:rPr>
      </w:pPr>
      <w:r w:rsidRPr="00366902">
        <w:rPr>
          <w:rFonts w:ascii="Arial Narrow" w:eastAsia="Arial Narrow" w:hAnsi="Arial Narrow" w:cs="Kohinoor Bangla"/>
          <w:b/>
          <w:bCs/>
          <w:u w:val="single"/>
        </w:rPr>
        <w:t>DURANTE LA ETAPA DE CIERRE</w:t>
      </w:r>
    </w:p>
    <w:p w14:paraId="621D043D"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Entregar el informe final de la etapa de cierre según lo estipulado en la Guía Operativa de Centros de Apoyo a la Inclusión vigente.</w:t>
      </w:r>
    </w:p>
    <w:p w14:paraId="0E387274" w14:textId="77777777" w:rsidR="00854B39" w:rsidRPr="00366902" w:rsidRDefault="00854B39" w:rsidP="00854B39">
      <w:pPr>
        <w:pStyle w:val="Prrafodelista"/>
        <w:tabs>
          <w:tab w:val="left" w:pos="10695"/>
        </w:tabs>
        <w:spacing w:after="0" w:line="240" w:lineRule="auto"/>
        <w:ind w:right="59"/>
        <w:contextualSpacing w:val="0"/>
        <w:jc w:val="both"/>
        <w:rPr>
          <w:rFonts w:ascii="Arial Narrow" w:hAnsi="Arial Narrow" w:cs="Arial"/>
          <w:b/>
        </w:rPr>
      </w:pPr>
    </w:p>
    <w:p w14:paraId="268B7AE6" w14:textId="77777777" w:rsidR="00854B39" w:rsidRPr="00366902" w:rsidRDefault="00854B39" w:rsidP="00854B39">
      <w:pPr>
        <w:jc w:val="both"/>
        <w:rPr>
          <w:rFonts w:ascii="Arial Narrow" w:eastAsia="Arial Narrow" w:hAnsi="Arial Narrow" w:cs="Kohinoor Bangla"/>
          <w:b/>
          <w:bCs/>
          <w:u w:val="single"/>
        </w:rPr>
      </w:pPr>
      <w:r w:rsidRPr="00366902">
        <w:rPr>
          <w:rFonts w:ascii="Arial Narrow" w:eastAsia="Arial Narrow" w:hAnsi="Arial Narrow" w:cs="Kohinoor Bangla"/>
          <w:b/>
          <w:bCs/>
          <w:u w:val="single"/>
        </w:rPr>
        <w:t>OBLIGACIONES RELACIONADAS CON LA RECEPCIÓN, ALMACENAMIENTO, SUMINISTRO, INVENTARIO Y CUSTODIA DE LOS ALIMENTOS DE ALTO VALOR NUTRICIONAL (AAVN)</w:t>
      </w:r>
    </w:p>
    <w:p w14:paraId="4FF68A38"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w:t>
      </w:r>
    </w:p>
    <w:p w14:paraId="402156D1"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Utilizar los Alimentos de Alto Valor Nutricional únicamente para cumplir a cabalidad el objeto del presente contrato, y suministro de la alimentación a las niñas, niños y adolescentes beneficiarios para el servicio de atención, de conformidad con las directrices, documentos, normas y procedimientos establecidos por el ICBF. En ningún caso, se podrá donar, vender, intercambiar, usar indebidamente, destinar o en general disponer de los Alimentos de Alto Valor Nutricional en forma diferente a la autorizada por el ICBF.</w:t>
      </w:r>
    </w:p>
    <w:p w14:paraId="5A0C6CE9"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Recibir el Alimento de Alto Valor Nutricional y almacenarlo cumpliendo con lo establecido en la normatividad legal vigente y de acuerdo con las instrucciones que imparta el ICBF, con el fin de garantizar su conservación.</w:t>
      </w:r>
    </w:p>
    <w:p w14:paraId="29BB1072"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Informar al ICBF oportunamente (como máximo el día 15 de cada mes) sobre las dificultades presentadas en el desarrollo del servicio y las que afecten la cantidad y calidad de los Alimentos de Alto Valor Nutricional recibidos, así como los saldos de los AAVN en los puntos de entrega, para que el ICBF pueda ajustar las cantidades a entregar en el siguiente mes y realizar las acciones correspondientes.</w:t>
      </w:r>
    </w:p>
    <w:p w14:paraId="0872AB2D"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lastRenderedPageBreak/>
        <w:t>Entregar oportunamente los Alimentos de Alto Valor Nutricional a las unidades ejecutoras o de servicio o usuarios que harán uso de estos, para evitar su deterioro.</w:t>
      </w:r>
    </w:p>
    <w:p w14:paraId="321D94F2"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ejecutan las modalidades, mensualmente durante los diez primeros días hábiles siguientes al mes vencido, al Centro Zonal ICBF de influencia en el municipio donde está ubicado el punto de entrega (si aplica).</w:t>
      </w:r>
    </w:p>
    <w:p w14:paraId="33E7D936"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Transportar los Alimentos de Alto Valor Nutricional a las unidades ejecutoras o de servicio en condiciones adecuadas que garanticen la inocuidad del AAVN, en caso de que aplique.</w:t>
      </w:r>
    </w:p>
    <w:p w14:paraId="6084C987"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Solicitar y aceptar el apoyo y la asesoría técnica del ICBF en lo concerniente al manejo, recepción, custodia y distribución de los Alimentos de Alto Valor Nutricional.</w:t>
      </w:r>
    </w:p>
    <w:p w14:paraId="613422DF"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w:t>
      </w:r>
    </w:p>
    <w:p w14:paraId="282AB542"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 xml:space="preserve">Atender oportunamente los requerimientos que el ICBF realice, especialmente para dar respuesta a los organismos de control del Estado y novedades presentadas en las visitas realizadas por la Interventoría y/o el ICBF (si aplica).  </w:t>
      </w:r>
    </w:p>
    <w:p w14:paraId="09785C34"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Cancelar al ICBF el valor de los Alimentos de Alto Valor Nutricional cuando se presenten vencimientos o generen averías por mal almacenamiento, redistribución de producto, hurto o pérdida, teniendo en cuenta el precio del mes de entrega o el precio definido por el ICBF en caso de entregarse otro tipo de Alimento de Alto Valor Nutricional.</w:t>
      </w:r>
    </w:p>
    <w:p w14:paraId="6975E558"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Atender con oportunidad las visitas que se efectúen por parte del ICBF o la interventoría del contrato de producción y distribución de Alimentos de Alto Valor Nutricional y leer y firmar el acta de visita anotando las observaciones a que haya lugar. Así mismo, dar trámite oportuno, a las acciones preventivas y correctivas necesarias para la solución de las novedades generadas producto de las visitas del ICBF o de la interventoría.</w:t>
      </w:r>
    </w:p>
    <w:p w14:paraId="6AEC527C" w14:textId="77777777" w:rsidR="00854B39" w:rsidRPr="00366902" w:rsidRDefault="00854B39" w:rsidP="00854B39">
      <w:pPr>
        <w:pStyle w:val="Prrafodelista"/>
        <w:numPr>
          <w:ilvl w:val="0"/>
          <w:numId w:val="5"/>
        </w:numPr>
        <w:tabs>
          <w:tab w:val="left" w:pos="10695"/>
        </w:tabs>
        <w:spacing w:after="0" w:line="240" w:lineRule="auto"/>
        <w:ind w:left="360" w:right="59"/>
        <w:jc w:val="both"/>
        <w:rPr>
          <w:rFonts w:ascii="Arial Narrow" w:eastAsia="Arial Narrow" w:hAnsi="Arial Narrow" w:cs="Arial Narrow"/>
          <w:color w:val="000000" w:themeColor="text1"/>
        </w:rPr>
      </w:pPr>
      <w:r w:rsidRPr="04371D14">
        <w:rPr>
          <w:rFonts w:ascii="Arial Narrow" w:eastAsia="Arial Narrow" w:hAnsi="Arial Narrow" w:cs="Arial Narrow"/>
          <w:color w:val="000000" w:themeColor="text1"/>
        </w:rPr>
        <w:t>Al finalizar el contrato, el contratista deberá redistribuir por su cuenta (transportar de un lugar a otro) los saldos de los Alimentos de Alto Valor Nutricional que queden en sus puntos de entrega de acuerdo con las indicaciones que imparta el ICBF.</w:t>
      </w:r>
    </w:p>
    <w:p w14:paraId="03D356EC"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BA5C52"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t>CLÁUSULA SÉPTIMA -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5174A5A8" w14:textId="77777777" w:rsidR="001A6312" w:rsidRPr="009C2725" w:rsidRDefault="001A6312" w:rsidP="001A6312">
      <w:pPr>
        <w:spacing w:after="0" w:line="0" w:lineRule="atLeast"/>
        <w:jc w:val="both"/>
        <w:rPr>
          <w:rFonts w:ascii="Arial Narrow" w:eastAsia="Arial Narrow" w:hAnsi="Arial Narrow" w:cs="Kohinoor Bangla"/>
          <w:u w:val="single"/>
          <w:lang w:val="es-CO"/>
        </w:rPr>
      </w:pPr>
      <w:bookmarkStart w:id="0" w:name="_Hlk200100702"/>
    </w:p>
    <w:bookmarkEnd w:id="0"/>
    <w:p w14:paraId="0303FF24"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OCTAVA - PLAZO DE EJECUCIÓN: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4B5FCB23"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3500ED5D"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u w:val="single"/>
        </w:rPr>
        <w:t>CLÁUSULA NOVENA - VALOR DEL CONTRATO Y FORMA DE PAGO:</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7F9EC5A0"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91077DA"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rPr>
        <w:t>PARÁGRAFO.</w:t>
      </w:r>
      <w:r w:rsidRPr="009C2725">
        <w:rPr>
          <w:rFonts w:ascii="Arial Narrow" w:eastAsia="Arial Narrow" w:hAnsi="Arial Narrow" w:cs="Kohinoor Bangla"/>
          <w:color w:val="000000" w:themeColor="text1"/>
        </w:rPr>
        <w:t xml:space="preserve"> En el caso que EL CONTRATISTA no legalice completamente la ejecución de los recursos entregados en los periodos establecidos en la forma de pago, y de ser necesario para la adecuada y efectiva prestación del servicio, </w:t>
      </w:r>
      <w:r w:rsidRPr="009C2725">
        <w:rPr>
          <w:rFonts w:ascii="Arial Narrow" w:eastAsia="Arial Narrow" w:hAnsi="Arial Narrow" w:cs="Kohinoor Bangla"/>
          <w:color w:val="000000" w:themeColor="text1"/>
        </w:rPr>
        <w:lastRenderedPageBreak/>
        <w:t>el supervisor del contrato, según el procedimiento y orientaciones que emita el ICBF, excepcionalmente podrá autorizar desembolsos parciales coherentes con la ejecución de los recursos debidamente legalizados por parte de EL CONTRATISTA. La autorización excepcional de estos desembolsos parciales no exime a EL CONTRATISTA de la obligación de legalización total de los recursos ni lo exime de las consecuencias conminatorias o sancionatorias a que haya lugar.</w:t>
      </w:r>
    </w:p>
    <w:p w14:paraId="57D288E3"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2DA4A20" w14:textId="77777777" w:rsidR="001A6312" w:rsidRPr="009C2725" w:rsidRDefault="001A6312" w:rsidP="001A6312">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4B5A8969" w14:textId="77777777" w:rsidR="001A6312" w:rsidRPr="009C2725" w:rsidRDefault="001A6312" w:rsidP="001A6312">
      <w:pPr>
        <w:spacing w:after="0" w:line="0" w:lineRule="atLeast"/>
        <w:jc w:val="both"/>
        <w:rPr>
          <w:rFonts w:ascii="Arial Narrow" w:hAnsi="Arial Narrow"/>
          <w:b/>
        </w:rPr>
      </w:pPr>
    </w:p>
    <w:p w14:paraId="6B566E8A" w14:textId="77777777" w:rsidR="001A6312" w:rsidRPr="009C2725" w:rsidRDefault="001A6312" w:rsidP="001A6312">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6DDB8576" w14:textId="77777777" w:rsidR="001A6312" w:rsidRPr="009C2725" w:rsidRDefault="001A6312" w:rsidP="001A6312">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199BFE46" w14:textId="77777777" w:rsidR="001A6312" w:rsidRPr="009C2725" w:rsidRDefault="001A6312" w:rsidP="001A6312">
      <w:pPr>
        <w:spacing w:after="0" w:line="0" w:lineRule="atLeast"/>
        <w:ind w:left="425"/>
        <w:jc w:val="both"/>
        <w:rPr>
          <w:rFonts w:ascii="Arial Narrow" w:hAnsi="Arial Narrow"/>
        </w:rPr>
      </w:pPr>
      <w:r w:rsidRPr="009C2725">
        <w:rPr>
          <w:rFonts w:ascii="Arial Narrow" w:hAnsi="Arial Narrow"/>
        </w:rPr>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10768765" w14:textId="77777777" w:rsidR="001A6312" w:rsidRPr="009C2725" w:rsidRDefault="001A6312" w:rsidP="001A6312">
      <w:pPr>
        <w:spacing w:after="0" w:line="0" w:lineRule="atLeast"/>
        <w:ind w:left="425"/>
        <w:jc w:val="both"/>
        <w:rPr>
          <w:rFonts w:ascii="Arial Narrow" w:hAnsi="Arial Narrow"/>
        </w:rPr>
      </w:pPr>
    </w:p>
    <w:p w14:paraId="2E34D781" w14:textId="77777777" w:rsidR="001A6312" w:rsidRPr="009C2725" w:rsidRDefault="001A6312" w:rsidP="001A6312">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3C3C30FA" w14:textId="77777777" w:rsidR="001A6312" w:rsidRPr="009C2725" w:rsidRDefault="001A6312" w:rsidP="001A6312">
      <w:pPr>
        <w:spacing w:after="0" w:line="0" w:lineRule="atLeast"/>
        <w:jc w:val="both"/>
        <w:rPr>
          <w:rFonts w:ascii="Arial Narrow" w:hAnsi="Arial Narrow"/>
        </w:rPr>
      </w:pPr>
    </w:p>
    <w:p w14:paraId="6C2FBABD" w14:textId="3076650E" w:rsidR="001A6312" w:rsidRPr="009C2725" w:rsidRDefault="001A6312" w:rsidP="001A6312">
      <w:pPr>
        <w:spacing w:after="0" w:line="0" w:lineRule="atLeast"/>
        <w:jc w:val="both"/>
        <w:rPr>
          <w:rFonts w:ascii="Arial Narrow" w:hAnsi="Arial Narrow"/>
        </w:rPr>
      </w:pPr>
      <w:r w:rsidRPr="009C2725">
        <w:rPr>
          <w:rFonts w:ascii="Arial Narrow" w:hAnsi="Arial Narrow"/>
        </w:rPr>
        <w:t>Para estos efectos el I</w:t>
      </w:r>
      <w:r w:rsidR="00854B39">
        <w:rPr>
          <w:rFonts w:ascii="Arial Narrow" w:hAnsi="Arial Narrow"/>
        </w:rPr>
        <w:t>C</w:t>
      </w:r>
      <w:r w:rsidRPr="009C2725">
        <w:rPr>
          <w:rFonts w:ascii="Arial Narrow" w:hAnsi="Arial Narrow"/>
        </w:rPr>
        <w:t>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índole constitucional de garantizar la continuidad en la prestación del servicio público de bienestar familiar, especialmente cuando el presunto incumplimiento de EL CONTRATISTA compromete derechos fundamentales de niños, niñas, adolescentes, madres gestantes, familias y demás beneficiarios del contrato.</w:t>
      </w:r>
    </w:p>
    <w:p w14:paraId="7E1BCF48" w14:textId="77777777" w:rsidR="001A6312" w:rsidRPr="009C2725" w:rsidRDefault="001A6312" w:rsidP="001A6312">
      <w:pPr>
        <w:spacing w:after="0" w:line="0" w:lineRule="atLeast"/>
        <w:jc w:val="both"/>
        <w:rPr>
          <w:rFonts w:ascii="Arial Narrow" w:hAnsi="Arial Narrow"/>
        </w:rPr>
      </w:pPr>
    </w:p>
    <w:p w14:paraId="0BEBE948" w14:textId="77777777" w:rsidR="001A6312" w:rsidRPr="009C2725" w:rsidRDefault="001A6312" w:rsidP="001A6312">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746126D3" w14:textId="77777777" w:rsidR="001A6312" w:rsidRPr="009C2725" w:rsidRDefault="001A6312" w:rsidP="001A6312">
      <w:pPr>
        <w:spacing w:after="0" w:line="0" w:lineRule="atLeast"/>
        <w:jc w:val="both"/>
        <w:rPr>
          <w:rFonts w:ascii="Arial Narrow" w:hAnsi="Arial Narrow"/>
        </w:rPr>
      </w:pPr>
    </w:p>
    <w:p w14:paraId="4E1B6B48" w14:textId="77777777" w:rsidR="001A6312" w:rsidRPr="009C2725" w:rsidRDefault="001A6312" w:rsidP="001A6312">
      <w:pPr>
        <w:spacing w:after="0" w:line="0" w:lineRule="atLeast"/>
        <w:jc w:val="both"/>
        <w:rPr>
          <w:rFonts w:ascii="Arial Narrow" w:hAnsi="Arial Narrow"/>
        </w:rPr>
      </w:pPr>
      <w:r w:rsidRPr="009C2725">
        <w:rPr>
          <w:rFonts w:ascii="Arial Narrow" w:hAnsi="Arial Narrow"/>
        </w:rPr>
        <w:t>Esta estipulación constituye una autorización general, anticipada, irrevocable y expresa de EL CONTRATISTA al ICBF para efectuar, en los términos aquí señalados, el pago directo a sus acreedores en caso de presunto incumplimiento, sin requerir nuevamente una cesión individual, total o parcial de créditos o derechos económicos, ni autorización adicional por parte de EL CONTRATISTA.</w:t>
      </w:r>
    </w:p>
    <w:p w14:paraId="0CEF8219" w14:textId="77777777" w:rsidR="001A6312" w:rsidRPr="009C2725" w:rsidRDefault="001A6312" w:rsidP="001A6312">
      <w:pPr>
        <w:spacing w:after="0" w:line="0" w:lineRule="atLeast"/>
        <w:jc w:val="both"/>
        <w:rPr>
          <w:rFonts w:ascii="Arial Narrow" w:hAnsi="Arial Narrow"/>
        </w:rPr>
      </w:pPr>
    </w:p>
    <w:p w14:paraId="5B5EC3DC" w14:textId="77777777" w:rsidR="001A6312" w:rsidRPr="009C2725" w:rsidRDefault="001A6312" w:rsidP="001A6312">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5D8CB366" w14:textId="77777777" w:rsidR="001A6312" w:rsidRPr="009C2725" w:rsidRDefault="001A6312" w:rsidP="001A6312">
      <w:pPr>
        <w:spacing w:after="0" w:line="0" w:lineRule="atLeast"/>
        <w:jc w:val="both"/>
        <w:rPr>
          <w:rFonts w:ascii="Arial Narrow" w:eastAsia="Arial Narrow" w:hAnsi="Arial Narrow" w:cs="Kohinoor Bangla"/>
          <w:color w:val="000000" w:themeColor="text1"/>
        </w:rPr>
      </w:pPr>
    </w:p>
    <w:p w14:paraId="79CB4025"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PRIMERA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0568C175"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1ED25C47"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072AE12B"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130CEC24" w14:textId="77777777" w:rsidR="001A6312" w:rsidRPr="009C2725" w:rsidRDefault="001A6312" w:rsidP="001A6312">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DÉCIMA SEGUNDA</w:t>
      </w:r>
      <w:r w:rsidRPr="009C2725">
        <w:rPr>
          <w:rFonts w:ascii="Arial Narrow" w:eastAsia="Arial Narrow" w:hAnsi="Arial Narrow" w:cs="Kohinoor Bangla"/>
          <w:b/>
          <w:bCs/>
          <w:u w:val="single"/>
        </w:rPr>
        <w:t xml:space="preserve"> - COMITÉ TÉCNICO OPERATIVO</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 xml:space="preserve">en los estudios y documentos previos, los cuales hacen parte integral del contrato de aporte. Si el objeto del contrato corresponde a un servicio de las modalidades de atención a la primera infancia, el comité deberá dar cumplimiento a lo establecido en </w:t>
      </w:r>
      <w:r w:rsidRPr="009C2725">
        <w:rPr>
          <w:rFonts w:ascii="Arial Narrow" w:eastAsia="Arial Narrow" w:hAnsi="Arial Narrow" w:cs="Kohinoor Bangla"/>
        </w:rPr>
        <w:t>el “Anexo Orientaciones para la Realización de los Comités Técnicos del ICBF”, en su versión que se encuentre vigente, o el documento que lo modifique o sustituya.</w:t>
      </w:r>
    </w:p>
    <w:p w14:paraId="71CBD96C"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3460F4DA"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CLÁUSULA DÉCIMA TERCERA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de las obligaciones contractuales hasta que el documento de cesión esté suscrito por las partes, esto es, por el representante legal de EL CONTRATISTA, el cesionario y el (la) Ordenador (a) del Gasto, y legalizado en SECOP II. </w:t>
      </w:r>
    </w:p>
    <w:p w14:paraId="069E2956"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p>
    <w:p w14:paraId="7CA48F6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501F1181" w14:textId="77777777" w:rsidR="001A6312" w:rsidRPr="009C2725" w:rsidRDefault="001A6312" w:rsidP="001A6312">
      <w:pPr>
        <w:spacing w:after="0" w:line="0" w:lineRule="atLeast"/>
        <w:jc w:val="both"/>
        <w:rPr>
          <w:rFonts w:ascii="Arial Narrow" w:eastAsia="Arial Narrow" w:hAnsi="Arial Narrow" w:cs="Kohinoor Bangla"/>
          <w:color w:val="000000"/>
          <w:u w:val="single"/>
          <w:lang w:val="es-CO"/>
        </w:rPr>
      </w:pPr>
    </w:p>
    <w:p w14:paraId="52EF51A9" w14:textId="77777777" w:rsidR="001A6312" w:rsidRPr="009C2725" w:rsidRDefault="001A6312" w:rsidP="001A6312">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t>CLÁUSULA DÉCIMA CUARTA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421CAB64" w14:textId="77777777" w:rsidR="001A6312" w:rsidRPr="009C2725" w:rsidRDefault="001A6312" w:rsidP="001A6312">
      <w:pPr>
        <w:spacing w:after="0" w:line="0" w:lineRule="atLeast"/>
        <w:jc w:val="both"/>
        <w:rPr>
          <w:rFonts w:ascii="Arial Narrow" w:eastAsia="Arial Narrow" w:hAnsi="Arial Narrow" w:cs="Kohinoor Bangla"/>
          <w:color w:val="000000"/>
          <w:u w:val="single"/>
          <w:lang w:val="es-CO"/>
        </w:rPr>
      </w:pPr>
    </w:p>
    <w:p w14:paraId="60E803D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DÉCIMA QUINTA -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3FE8AAF2"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5BF2DD34"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lastRenderedPageBreak/>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0F1D052F"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p>
    <w:p w14:paraId="675CA820"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68AABB79"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8E707B7"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Pr="009C2725">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521FF3D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2EDB2CD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El valor acumulado de las multas impuestas al CONTRATISTA no podrá superar el quince por ciento (15%)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29541FD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1B56CFA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bookmarkStart w:id="1" w:name="_Hlk202344133"/>
      <w:r w:rsidRPr="009C2725">
        <w:rPr>
          <w:rFonts w:ascii="Arial Narrow" w:eastAsia="Arial Narrow" w:hAnsi="Arial Narrow" w:cs="Kohinoor Bangla"/>
          <w:b/>
          <w:bCs/>
          <w:color w:val="000000" w:themeColor="text1"/>
          <w:lang w:val="es-CO"/>
        </w:rPr>
        <w:t>II) CLÁUSULA PENAL PECUNIARIA</w:t>
      </w:r>
      <w:r w:rsidRPr="009C2725">
        <w:rPr>
          <w:rFonts w:ascii="Arial Narrow" w:eastAsia="Arial Narrow" w:hAnsi="Arial Narrow" w:cs="Kohinoor Bangla"/>
          <w:color w:val="000000" w:themeColor="text1"/>
          <w:lang w:val="es-CO"/>
        </w:rPr>
        <w:t xml:space="preserve">: </w:t>
      </w:r>
      <w:bookmarkEnd w:id="1"/>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a cualquiera, una o más, de aquellas 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w:t>
      </w:r>
      <w:r w:rsidRPr="009C2725">
        <w:rPr>
          <w:rFonts w:ascii="Arial Narrow" w:eastAsia="Arial Narrow" w:hAnsi="Arial Narrow" w:cs="Kohinoor Bangla"/>
          <w:color w:val="000000" w:themeColor="text1"/>
          <w:lang w:val="es-CO"/>
        </w:rPr>
        <w:lastRenderedPageBreak/>
        <w:t xml:space="preserve">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2"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2"/>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6C6A05B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3A6B71C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46F9208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5E61EC8D"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6DBCD3A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0011C11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44291AA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7F0FC5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730E9F5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13042D9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2256CBD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6D77901"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434A2382"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0E410DB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0B7F700"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w:p>
    <w:p w14:paraId="5C8BACD1"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7571A477"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23BF6191"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000EC6B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51EA993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3005F143"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6F05639D"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3CCB7ACB"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653281DB"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w:p>
    <w:p w14:paraId="5DAC8CAB"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w:p>
    <w:p w14:paraId="3F9D5B5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12C686B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652B712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lastRenderedPageBreak/>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4EA0A801" w14:textId="77777777" w:rsidR="001A6312" w:rsidRPr="009C2725" w:rsidRDefault="001A6312" w:rsidP="001A6312">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3"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75CBED08" wp14:editId="2B514B96">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7">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045A091B" w14:textId="77777777" w:rsidR="001A6312" w:rsidRPr="009C2725" w:rsidRDefault="001A6312" w:rsidP="001A6312">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68CD80BF" wp14:editId="2ED115A0">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8">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0D1C0304" w14:textId="77777777" w:rsidR="001A6312" w:rsidRPr="009C2725" w:rsidRDefault="001A6312" w:rsidP="001A6312">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263766BB" wp14:editId="366CD1FA">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9">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06AC5865" w14:textId="77777777" w:rsidR="001A6312" w:rsidRPr="009C2725" w:rsidRDefault="001A6312" w:rsidP="001A6312">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07C02696" wp14:editId="7194F5E5">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0">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7AAA553D" wp14:editId="7394F985">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1CC7C70D" w14:textId="77777777" w:rsidR="001A6312" w:rsidRPr="009C2725" w:rsidRDefault="001A6312" w:rsidP="001A6312">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9C2725">
        <w:rPr>
          <w:rFonts w:ascii="Arial Narrow" w:eastAsia="Arial Narrow" w:hAnsi="Arial Narrow" w:cs="Arial Narrow"/>
          <w:noProof/>
          <w:lang w:val="es"/>
        </w:rPr>
        <w:drawing>
          <wp:inline distT="0" distB="0" distL="0" distR="0" wp14:anchorId="353566F7" wp14:editId="5CBBF11D">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3"/>
    <w:p w14:paraId="372C0594"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2EDEE00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3745172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09700B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6C0492B3"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067CCBD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Cuando el incumplimiento contractual genere la paralización del servicio que advierta la posibilidad de materialización de riesgos de vulneración de los derechos de niños y niñas, el ICBF podrá contratar de manera inmediata la prestación de los servicios de bienestar familiar, en prevalencia del orden constitucional establecido 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7CA5102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636AB86F"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103260C1"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7B68B33" w14:textId="77777777" w:rsidR="001A6312" w:rsidRPr="009C2725" w:rsidRDefault="001A6312" w:rsidP="001A6312">
      <w:pPr>
        <w:pStyle w:val="NormalWeb"/>
        <w:spacing w:before="0" w:beforeAutospacing="0" w:after="0" w:afterAutospacing="0" w:line="0" w:lineRule="atLeast"/>
        <w:jc w:val="both"/>
        <w:rPr>
          <w:rFonts w:ascii="Arial Narrow" w:hAnsi="Arial Narrow" w:cs="Arial"/>
          <w:sz w:val="22"/>
          <w:szCs w:val="22"/>
        </w:rPr>
      </w:pPr>
      <w:bookmarkStart w:id="4" w:name="_Hlk209795918"/>
      <w:bookmarkStart w:id="5"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3107217C" w14:textId="77777777" w:rsidR="001A6312" w:rsidRPr="009C2725" w:rsidRDefault="001A6312" w:rsidP="001A6312">
      <w:pPr>
        <w:pStyle w:val="NormalWeb"/>
        <w:spacing w:before="0" w:beforeAutospacing="0" w:after="0" w:afterAutospacing="0" w:line="0" w:lineRule="atLeast"/>
        <w:jc w:val="both"/>
        <w:rPr>
          <w:rFonts w:ascii="Arial Narrow" w:hAnsi="Arial Narrow" w:cs="Arial"/>
          <w:sz w:val="22"/>
          <w:szCs w:val="22"/>
        </w:rPr>
      </w:pPr>
    </w:p>
    <w:p w14:paraId="799C528F" w14:textId="77777777" w:rsidR="001A6312" w:rsidRPr="009C2725" w:rsidRDefault="001A6312" w:rsidP="001A631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 xml:space="preserve">PARÁGRAFO NOVENO. La citación a la audiencia de que trata el artículo 86 de la Ley 1474 de 2011 con miras a hacer efectiva la cláusula penal por incumplimiento contractual, generará para la Dirección de Contratación o la 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w:t>
      </w:r>
      <w:r w:rsidRPr="009C2725">
        <w:rPr>
          <w:rStyle w:val="Textoennegrita"/>
          <w:rFonts w:ascii="Arial Narrow" w:hAnsi="Arial Narrow" w:cs="Arial"/>
        </w:rPr>
        <w:lastRenderedPageBreak/>
        <w:t>contratista, conforme con lo dispuesto en la Resolución 6300 de 2024 o la norma que la modifique o sustituya, indistintamente del resultado del proceso administrativo sancionatorio contractual.</w:t>
      </w:r>
    </w:p>
    <w:p w14:paraId="7D1820D8" w14:textId="77777777" w:rsidR="001A6312" w:rsidRPr="009C2725" w:rsidRDefault="001A6312" w:rsidP="001A6312">
      <w:pPr>
        <w:spacing w:after="0" w:line="0" w:lineRule="atLeast"/>
        <w:jc w:val="both"/>
        <w:rPr>
          <w:rStyle w:val="Textoennegrita"/>
          <w:rFonts w:ascii="Arial Narrow" w:hAnsi="Arial Narrow" w:cs="Arial"/>
          <w:b w:val="0"/>
          <w:bCs w:val="0"/>
        </w:rPr>
      </w:pPr>
    </w:p>
    <w:p w14:paraId="21B10A10" w14:textId="77777777" w:rsidR="001A6312" w:rsidRPr="009C2725" w:rsidRDefault="001A6312" w:rsidP="001A6312">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1FDBCA93" w14:textId="77777777" w:rsidR="001A6312" w:rsidRPr="009C2725" w:rsidRDefault="001A6312" w:rsidP="001A6312">
      <w:pPr>
        <w:spacing w:after="0" w:line="0" w:lineRule="atLeast"/>
        <w:jc w:val="both"/>
        <w:rPr>
          <w:rFonts w:ascii="Arial Narrow" w:hAnsi="Arial Narrow" w:cs="Arial"/>
          <w:lang w:val="es-CO"/>
        </w:rPr>
      </w:pPr>
    </w:p>
    <w:p w14:paraId="4DF73D2C" w14:textId="77777777" w:rsidR="001A6312" w:rsidRPr="009C2725" w:rsidRDefault="001A6312" w:rsidP="001A6312">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4"/>
      <w:r w:rsidRPr="009C2725">
        <w:rPr>
          <w:rFonts w:ascii="Arial Narrow" w:hAnsi="Arial Narrow" w:cs="Arial"/>
          <w:lang w:val="es-CO"/>
        </w:rPr>
        <w:t xml:space="preserve">. </w:t>
      </w:r>
    </w:p>
    <w:bookmarkEnd w:id="5"/>
    <w:p w14:paraId="20F29DA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16979D6A" w14:textId="77777777" w:rsidR="001A6312" w:rsidRPr="009C2725" w:rsidRDefault="001A6312" w:rsidP="001A631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SÉPTIMA -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517E9B63" w14:textId="77777777" w:rsidR="001A6312" w:rsidRPr="009C2725" w:rsidRDefault="001A6312" w:rsidP="001A6312">
      <w:pPr>
        <w:spacing w:after="0" w:line="0" w:lineRule="atLeast"/>
        <w:jc w:val="both"/>
        <w:rPr>
          <w:rFonts w:ascii="Arial Narrow" w:eastAsia="Arial Narrow" w:hAnsi="Arial Narrow" w:cs="Kohinoor Bangla"/>
          <w:color w:val="000000" w:themeColor="text1"/>
        </w:rPr>
      </w:pPr>
    </w:p>
    <w:p w14:paraId="011C016E" w14:textId="77777777" w:rsidR="001A6312" w:rsidRPr="009C2725" w:rsidRDefault="001A6312" w:rsidP="001A631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PRIMERO. La citación a la audiencia de que trata el artículo 86 de la Ley 1474 de 2011 con miras a hacer efectiva la declaratoria de la caducidad del contrato, generará para la Dirección de Contratación o la 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2A6F91FC" w14:textId="77777777" w:rsidR="001A6312" w:rsidRPr="009C2725" w:rsidRDefault="001A6312" w:rsidP="001A6312">
      <w:pPr>
        <w:spacing w:after="0" w:line="0" w:lineRule="atLeast"/>
        <w:jc w:val="both"/>
        <w:rPr>
          <w:rStyle w:val="Textoennegrita"/>
          <w:rFonts w:ascii="Arial Narrow" w:hAnsi="Arial Narrow" w:cs="Arial"/>
          <w:b w:val="0"/>
          <w:bCs w:val="0"/>
        </w:rPr>
      </w:pPr>
    </w:p>
    <w:p w14:paraId="15402CCB" w14:textId="77777777" w:rsidR="001A6312" w:rsidRPr="009C2725" w:rsidRDefault="001A6312" w:rsidP="001A631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5A032838" w14:textId="77777777" w:rsidR="001A6312" w:rsidRPr="009C2725" w:rsidRDefault="001A6312" w:rsidP="001A6312">
      <w:pPr>
        <w:spacing w:after="0" w:line="0" w:lineRule="atLeast"/>
        <w:jc w:val="both"/>
        <w:rPr>
          <w:rFonts w:ascii="Arial Narrow" w:eastAsia="Arial Narrow" w:hAnsi="Arial Narrow" w:cs="Kohinoor Bangla"/>
          <w:b/>
          <w:color w:val="000000" w:themeColor="text1"/>
        </w:rPr>
      </w:pPr>
    </w:p>
    <w:p w14:paraId="462AE4F1" w14:textId="77777777" w:rsidR="001A6312" w:rsidRPr="009C2725" w:rsidRDefault="001A6312" w:rsidP="001A631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OCTAVA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769DC59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1DB336F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7F5038E1"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1A6312" w:rsidRPr="009C2725" w14:paraId="6D50E0FD"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43A314D0"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626239D1"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1A6312" w:rsidRPr="009C2725" w14:paraId="23CE8FE9"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52D4307C"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3154F883" w14:textId="77777777" w:rsidR="001A6312" w:rsidRPr="009C2725" w:rsidRDefault="001A631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1A6312" w:rsidRPr="009C2725" w14:paraId="7D0B5337"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6739AB6"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5C031361" w14:textId="77777777" w:rsidR="001A6312" w:rsidRPr="009C2725" w:rsidRDefault="001A631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1A6312" w:rsidRPr="009C2725" w14:paraId="2A1F86BB"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36846329"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0FDCF13E" w14:textId="77777777" w:rsidR="001A6312" w:rsidRPr="009C2725" w:rsidRDefault="001A631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1A6312" w:rsidRPr="009C2725" w14:paraId="2265170B"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680780C"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598A1C1B" w14:textId="77777777" w:rsidR="001A6312" w:rsidRPr="009C2725" w:rsidRDefault="001A631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1A6312" w:rsidRPr="009C2725" w14:paraId="3938D271"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B31D5AB" w14:textId="77777777" w:rsidR="001A6312" w:rsidRPr="009C2725" w:rsidRDefault="001A631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61DEBE56" w14:textId="77777777" w:rsidR="001A6312" w:rsidRPr="009C2725" w:rsidRDefault="001A631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53EE13C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F7A04F2" w14:textId="77777777" w:rsidR="001A6312" w:rsidRPr="009C2725" w:rsidRDefault="001A6312" w:rsidP="001A631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371CAC94" w14:textId="77777777" w:rsidR="001A6312" w:rsidRPr="009C2725" w:rsidRDefault="001A6312" w:rsidP="001A6312">
      <w:pPr>
        <w:spacing w:after="0" w:line="0" w:lineRule="atLeast"/>
        <w:jc w:val="both"/>
        <w:rPr>
          <w:rFonts w:ascii="Arial Narrow" w:eastAsia="Arial Narrow" w:hAnsi="Arial Narrow" w:cs="Kohinoor Bangla"/>
          <w:color w:val="000000"/>
        </w:rPr>
      </w:pPr>
    </w:p>
    <w:p w14:paraId="62157C8F"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6D586F22"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74AC6ED9"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162572A5"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35ABE880" w14:textId="77777777" w:rsidR="001A6312" w:rsidRPr="009C2725" w:rsidRDefault="001A6312" w:rsidP="001A631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t xml:space="preserve">CLÁUSULA </w:t>
      </w:r>
      <w:bookmarkStart w:id="6" w:name="_Hlk200100741"/>
      <w:r w:rsidRPr="009C2725">
        <w:rPr>
          <w:rFonts w:ascii="Arial Narrow" w:eastAsia="Arial Narrow" w:hAnsi="Arial Narrow" w:cs="Kohinoor Bangla"/>
          <w:b/>
          <w:bCs/>
          <w:u w:val="single"/>
        </w:rPr>
        <w:t>DÉCIMA NOVENA - SISTEMA DE SEGURIDAD SOCIAL INTEGRAL Y PAGOS PARAFISCALES:</w:t>
      </w:r>
      <w:bookmarkEnd w:id="6"/>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1F03580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bookmarkStart w:id="7" w:name="_Hlk209794943"/>
    </w:p>
    <w:p w14:paraId="5E55FDF5"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VIGÉSIMA </w:t>
      </w:r>
      <w:bookmarkEnd w:id="7"/>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w:t>
      </w:r>
      <w:r w:rsidRPr="009C2725">
        <w:rPr>
          <w:rFonts w:ascii="Arial Narrow" w:eastAsia="Arial Narrow" w:hAnsi="Arial Narrow" w:cs="Kohinoor Bangla"/>
          <w:color w:val="000000" w:themeColor="text1"/>
          <w:lang w:val="es-CO"/>
        </w:rPr>
        <w:lastRenderedPageBreak/>
        <w:t>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23FC76EC"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p>
    <w:p w14:paraId="276B0A30"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PRIMERA</w:t>
      </w:r>
      <w:r w:rsidRPr="009C2725">
        <w:rPr>
          <w:rFonts w:ascii="Arial Narrow" w:eastAsia="Arial Narrow" w:hAnsi="Arial Narrow" w:cs="Kohinoor Bangla"/>
          <w:b/>
          <w:bCs/>
          <w:color w:val="000000"/>
          <w:u w:val="single"/>
          <w:lang w:val="es-CO"/>
        </w:rPr>
        <w:t xml:space="preserve"> -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50728DB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55B424E9"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SEGUNDA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7AF8E0A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38CF309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7F892863"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4BDF5BF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52D90D31"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BDBFC8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71746857"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9D3B79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6A36B135"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4F39358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60C7CF90"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6C72BEBF"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090C93C3"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428D4262"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40387953" w14:textId="77777777" w:rsidR="001A6312" w:rsidRPr="009C2725" w:rsidRDefault="001A6312" w:rsidP="001A6312">
      <w:pPr>
        <w:spacing w:after="0" w:line="0" w:lineRule="atLeast"/>
        <w:jc w:val="both"/>
        <w:rPr>
          <w:rFonts w:ascii="Arial Narrow" w:eastAsia="Arial Narrow" w:hAnsi="Arial Narrow" w:cs="Kohinoor Bangla"/>
          <w:color w:val="000000"/>
        </w:rPr>
      </w:pPr>
    </w:p>
    <w:p w14:paraId="5193492E"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TERCERA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1A6B565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2DCC970"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CUARTA</w:t>
      </w:r>
      <w:r w:rsidRPr="009C2725">
        <w:rPr>
          <w:rFonts w:ascii="Arial Narrow" w:eastAsia="Arial Narrow" w:hAnsi="Arial Narrow" w:cs="Kohinoor Bangla"/>
          <w:b/>
          <w:bCs/>
          <w:color w:val="000000"/>
          <w:u w:val="single"/>
          <w:lang w:val="es-CO"/>
        </w:rPr>
        <w:t xml:space="preserve"> -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Si de la ejecución del presente contrato resultan estudios, investigaciones, descubrimientos, invenciones, información, mejoras, diseños, y/o productos o documentos que puedan ser entendidos como producción intelectual, estos pertenecen al ICBF de conformidad con lo establecido </w:t>
      </w:r>
      <w:r w:rsidRPr="009C2725">
        <w:rPr>
          <w:rFonts w:ascii="Arial Narrow" w:eastAsia="Arial Narrow" w:hAnsi="Arial Narrow" w:cs="Kohinoor Bangla"/>
          <w:color w:val="000000"/>
          <w:lang w:val="es-CO"/>
        </w:rPr>
        <w:lastRenderedPageBreak/>
        <w:t>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0B288224"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C155840" w14:textId="77777777" w:rsidR="001A6312" w:rsidRPr="009C2725" w:rsidRDefault="001A6312" w:rsidP="001A631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VIGÉSIMA QUINTA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49E7596E" w14:textId="77777777" w:rsidR="001A6312" w:rsidRPr="009C2725" w:rsidRDefault="001A6312" w:rsidP="001A6312">
      <w:pPr>
        <w:spacing w:after="0" w:line="0" w:lineRule="atLeast"/>
        <w:jc w:val="both"/>
        <w:rPr>
          <w:rFonts w:ascii="Arial Narrow" w:eastAsia="Arial Narrow" w:hAnsi="Arial Narrow" w:cs="Kohinoor Bangla"/>
          <w:color w:val="000000"/>
        </w:rPr>
      </w:pPr>
    </w:p>
    <w:p w14:paraId="4B5EA40E" w14:textId="77777777" w:rsidR="001A6312" w:rsidRPr="009C2725" w:rsidRDefault="001A6312" w:rsidP="001A631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VIGÉSIMA SEXTA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60 de la 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08C897CA" w14:textId="77777777" w:rsidR="001A6312" w:rsidRPr="009C2725" w:rsidRDefault="001A6312" w:rsidP="001A6312">
      <w:pPr>
        <w:spacing w:after="0" w:line="0" w:lineRule="atLeast"/>
        <w:jc w:val="both"/>
        <w:rPr>
          <w:rFonts w:ascii="Arial Narrow" w:eastAsia="Arial Narrow" w:hAnsi="Arial Narrow" w:cs="Kohinoor Bangla"/>
          <w:color w:val="000000"/>
        </w:rPr>
      </w:pPr>
    </w:p>
    <w:p w14:paraId="1273C6AD"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7E99875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2EA83D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SÉPTIMA</w:t>
      </w:r>
      <w:r w:rsidRPr="009C2725">
        <w:rPr>
          <w:rFonts w:ascii="Arial Narrow" w:eastAsia="Arial Narrow" w:hAnsi="Arial Narrow" w:cs="Kohinoor Bangla"/>
          <w:b/>
          <w:bCs/>
          <w:color w:val="000000"/>
          <w:u w:val="single"/>
          <w:lang w:val="es-CO"/>
        </w:rPr>
        <w:t xml:space="preserve"> -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59D11B49"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4610983C"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w:t>
      </w:r>
      <w:r w:rsidRPr="009C2725">
        <w:rPr>
          <w:rFonts w:ascii="Arial Narrow" w:eastAsia="Arial Narrow" w:hAnsi="Arial Narrow" w:cs="Kohinoor Bangla"/>
          <w:color w:val="000000"/>
          <w:lang w:val="es-CO"/>
        </w:rPr>
        <w:lastRenderedPageBreak/>
        <w:t>hiciera EL CONTRATISTA, el ICBF tendrá derecho a descontar el valor de tales erogaciones de cualquier suma que le adeude a EL CONTRATISTA. </w:t>
      </w:r>
    </w:p>
    <w:p w14:paraId="05AD120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5B99ADBF"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OCTAVA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31AB675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17A8E84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45E39394"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46A17FEA"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NOVENA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3CB5041B" w14:textId="77777777" w:rsidR="001A6312" w:rsidRPr="009C2725" w:rsidRDefault="001A6312" w:rsidP="001A6312">
      <w:pPr>
        <w:spacing w:after="0" w:line="0" w:lineRule="atLeast"/>
        <w:jc w:val="both"/>
        <w:rPr>
          <w:rFonts w:ascii="Arial Narrow" w:eastAsia="Arial Narrow" w:hAnsi="Arial Narrow" w:cs="Kohinoor Bangla"/>
          <w:color w:val="000000"/>
          <w:u w:val="single"/>
          <w:lang w:val="es-CO"/>
        </w:rPr>
      </w:pPr>
    </w:p>
    <w:p w14:paraId="076B6052"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3D5ADB7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61A24E7A"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2AA98DE4"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45B52910"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t>CLÁUSULA TRIGÉSIMA PRIMERA -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51F51E5B"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439A7734"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 SEGUNDA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17DBE02F" w14:textId="77777777" w:rsidR="001A6312" w:rsidRPr="009C2725" w:rsidRDefault="001A6312" w:rsidP="001A6312">
      <w:pPr>
        <w:spacing w:after="0" w:line="0" w:lineRule="atLeast"/>
        <w:jc w:val="both"/>
        <w:rPr>
          <w:rFonts w:ascii="Arial Narrow" w:eastAsia="Arial Narrow" w:hAnsi="Arial Narrow" w:cs="Kohinoor Bangla"/>
          <w:b/>
          <w:bCs/>
          <w:color w:val="000000" w:themeColor="text1"/>
          <w:u w:val="single"/>
          <w:lang w:val="es-CO"/>
        </w:rPr>
      </w:pPr>
    </w:p>
    <w:p w14:paraId="693419D4"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TRIGÉSIMA TERCERA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w:t>
      </w:r>
      <w:r w:rsidRPr="009C2725">
        <w:rPr>
          <w:rFonts w:ascii="Arial Narrow" w:eastAsia="Arial Narrow" w:hAnsi="Arial Narrow" w:cs="Kohinoor Bangla"/>
          <w:color w:val="000000" w:themeColor="text1"/>
        </w:rPr>
        <w:lastRenderedPageBreak/>
        <w:t>adición, modificación o recuperación de la garantía única, cuando a ella haya lugar, y demás gastos del contrato, correrán por cuenta de EL CONTRATISTA.</w:t>
      </w:r>
    </w:p>
    <w:p w14:paraId="0ECFC10C"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532D937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TRIGÉSIMA CUARTA-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167F3F95" w14:textId="77777777" w:rsidR="001A6312" w:rsidRPr="009C2725" w:rsidRDefault="001A6312" w:rsidP="001A6312">
      <w:pPr>
        <w:spacing w:after="0" w:line="0" w:lineRule="atLeast"/>
        <w:jc w:val="both"/>
        <w:rPr>
          <w:rFonts w:ascii="Arial Narrow" w:eastAsia="Arial Narrow" w:hAnsi="Arial Narrow" w:cs="Kohinoor Bangla"/>
          <w:b/>
          <w:bCs/>
          <w:color w:val="000000" w:themeColor="text1"/>
          <w:u w:val="single"/>
        </w:rPr>
      </w:pPr>
    </w:p>
    <w:p w14:paraId="2AB6FA91" w14:textId="77777777" w:rsidR="001A6312" w:rsidRPr="009C2725" w:rsidRDefault="001A6312" w:rsidP="001A631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 QUINTA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48B7526F" w14:textId="77777777" w:rsidR="001A6312" w:rsidRPr="009C2725" w:rsidRDefault="001A6312" w:rsidP="001A6312">
      <w:pPr>
        <w:spacing w:after="0" w:line="0" w:lineRule="atLeast"/>
        <w:jc w:val="both"/>
        <w:rPr>
          <w:rFonts w:ascii="Arial Narrow" w:eastAsia="Arial Narrow" w:hAnsi="Arial Narrow" w:cs="Kohinoor Bangla"/>
          <w:b/>
          <w:bCs/>
          <w:color w:val="000000"/>
          <w:u w:val="single"/>
          <w:lang w:val="es-CO"/>
        </w:rPr>
      </w:pPr>
    </w:p>
    <w:p w14:paraId="3BE24A49" w14:textId="77777777" w:rsidR="001A6312" w:rsidRPr="009C2725" w:rsidRDefault="001A6312" w:rsidP="001A631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SEXTA -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7348A3D0" w14:textId="77777777" w:rsidR="001A6312" w:rsidRPr="009C2725" w:rsidRDefault="001A6312" w:rsidP="001A6312">
      <w:pPr>
        <w:spacing w:after="0" w:line="0" w:lineRule="atLeast"/>
        <w:jc w:val="both"/>
        <w:rPr>
          <w:rFonts w:ascii="Arial Narrow" w:eastAsia="Arial Narrow" w:hAnsi="Arial Narrow" w:cs="Kohinoor Bangla"/>
          <w:b/>
          <w:bCs/>
          <w:color w:val="000000"/>
          <w:u w:val="single"/>
          <w:lang w:val="es-CO"/>
        </w:rPr>
      </w:pPr>
    </w:p>
    <w:p w14:paraId="44C165D6"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SÉPTIMA -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4A6CA593"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4518C24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61E221BD"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3B354AD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w:t>
      </w:r>
      <w:r w:rsidRPr="009C2725">
        <w:rPr>
          <w:rFonts w:ascii="Arial Narrow" w:eastAsia="Arial Narrow" w:hAnsi="Arial Narrow" w:cs="Kohinoor Bangla"/>
          <w:color w:val="000000"/>
          <w:lang w:val="es-CO"/>
        </w:rPr>
        <w:lastRenderedPageBreak/>
        <w:t>EL ICBF tomará la decisión que en derecho corresponda. En caso de incumplimiento del deber de información, EL ICBF ejercerá las acciones legales correspondientes.</w:t>
      </w:r>
    </w:p>
    <w:p w14:paraId="06850BA0"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p>
    <w:p w14:paraId="391BB3B8" w14:textId="77777777" w:rsidR="001A6312" w:rsidRPr="009C2725" w:rsidRDefault="001A6312" w:rsidP="001A631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76CA7554" w14:textId="77777777" w:rsidR="001A6312" w:rsidRPr="009C2725" w:rsidRDefault="001A6312" w:rsidP="001A6312">
      <w:pPr>
        <w:spacing w:after="0" w:line="0" w:lineRule="atLeast"/>
        <w:jc w:val="both"/>
        <w:rPr>
          <w:rFonts w:ascii="Arial Narrow" w:eastAsia="Arial Narrow" w:hAnsi="Arial Narrow" w:cs="Kohinoor Bangla"/>
          <w:b/>
          <w:bCs/>
          <w:color w:val="000000"/>
          <w:u w:val="single"/>
          <w:lang w:val="es-CO"/>
        </w:rPr>
      </w:pPr>
    </w:p>
    <w:p w14:paraId="50040F66" w14:textId="77777777" w:rsidR="001A6312" w:rsidRPr="009C2725" w:rsidRDefault="001A6312" w:rsidP="001A6312">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OCTAVA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46CFADDF" w14:textId="77777777" w:rsidR="001A6312" w:rsidRPr="009C2725" w:rsidRDefault="001A6312" w:rsidP="001A6312">
      <w:pPr>
        <w:spacing w:after="0" w:line="0" w:lineRule="atLeast"/>
        <w:jc w:val="both"/>
        <w:rPr>
          <w:rFonts w:ascii="Arial Narrow" w:eastAsia="Arial Narrow" w:hAnsi="Arial Narrow" w:cs="Kohinoor Bangla"/>
          <w:b/>
          <w:bCs/>
          <w:color w:val="000000"/>
          <w:u w:val="single"/>
          <w:lang w:val="es-CO"/>
        </w:rPr>
      </w:pPr>
    </w:p>
    <w:p w14:paraId="284E1A7B" w14:textId="77777777" w:rsidR="001A6312" w:rsidRPr="009C2725" w:rsidRDefault="001A6312" w:rsidP="001A631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NOVENA - PUBLICACIÓN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En virtud de lo dispuesto en el Artículo 223 del decreto Ley 019 de 2012, en concordancia con el Artículo 2.2.1.1.1.7.1 del Decreto 1082 de 2015 y el manual de contratación vigente, se procederá a la publicación del presente contrato de aporte a través del Sistema Electrónico de Contratación Pública - SECOP II, </w:t>
      </w:r>
      <w:r w:rsidRPr="009C2725">
        <w:rPr>
          <w:rFonts w:ascii="Arial Narrow" w:eastAsia="Arial Narrow" w:hAnsi="Arial Narrow" w:cs="Kohinoor Bangla"/>
          <w:lang w:val="es-CO"/>
        </w:rPr>
        <w:t>que administra la Agencia Nacional de Contratación Pública – Colombia Compra Eficiente: www.colombiacompra.gov.co. </w:t>
      </w:r>
    </w:p>
    <w:p w14:paraId="575AABB0" w14:textId="77777777" w:rsidR="001A6312" w:rsidRPr="009C2725" w:rsidRDefault="001A6312" w:rsidP="001A6312">
      <w:pPr>
        <w:spacing w:after="0" w:line="0" w:lineRule="atLeast"/>
        <w:jc w:val="both"/>
        <w:rPr>
          <w:rFonts w:ascii="Arial Narrow" w:eastAsia="Arial Narrow" w:hAnsi="Arial Narrow" w:cs="Kohinoor Bangla"/>
          <w:lang w:val="es-CO"/>
        </w:rPr>
      </w:pPr>
    </w:p>
    <w:p w14:paraId="4C7951F5" w14:textId="77777777" w:rsidR="001A6312" w:rsidRPr="009C2725" w:rsidRDefault="001A6312" w:rsidP="001A631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color w:val="000000"/>
        </w:rPr>
        <w:t>En constancia, el presente documento se entenderá firmado en la fecha y hora que indique el Sistema Electrónico de Contratación Pública “SECOP II” como aprobación por las partes.</w:t>
      </w:r>
    </w:p>
    <w:p w14:paraId="654A07BB" w14:textId="77777777" w:rsidR="001A6312" w:rsidRPr="009C2725" w:rsidRDefault="001A6312" w:rsidP="001A6312">
      <w:pPr>
        <w:spacing w:after="0" w:line="0" w:lineRule="atLeast"/>
        <w:jc w:val="both"/>
        <w:rPr>
          <w:rFonts w:ascii="Arial Narrow" w:eastAsia="Arial Narrow" w:hAnsi="Arial Narrow" w:cs="Kohinoor Bangla"/>
          <w:b/>
          <w:bCs/>
          <w:color w:val="000000"/>
          <w:lang w:val="es-CO"/>
        </w:rPr>
      </w:pPr>
    </w:p>
    <w:p w14:paraId="64178811" w14:textId="77777777" w:rsidR="001A6312" w:rsidRPr="009B2C0C" w:rsidRDefault="001A6312" w:rsidP="001A6312">
      <w:pPr>
        <w:spacing w:after="0" w:line="0" w:lineRule="atLeast"/>
        <w:jc w:val="both"/>
        <w:rPr>
          <w:rFonts w:ascii="Arial Narrow" w:eastAsia="Arial Narrow" w:hAnsi="Arial Narrow" w:cs="Kohinoor Bangla"/>
          <w:b/>
          <w:color w:val="000000" w:themeColor="text1"/>
        </w:rPr>
      </w:pPr>
      <w:r w:rsidRPr="009C2725">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p w14:paraId="0E7469E6" w14:textId="77777777" w:rsidR="00980DFC" w:rsidRDefault="00980DFC"/>
    <w:sectPr w:rsidR="00980DFC" w:rsidSect="001A6312">
      <w:headerReference w:type="default" r:id="rId13"/>
      <w:footerReference w:type="default" r:id="rId14"/>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0349" w14:textId="77777777" w:rsidR="001A6312" w:rsidRDefault="001A6312" w:rsidP="001A6312">
      <w:pPr>
        <w:spacing w:after="0" w:line="240" w:lineRule="auto"/>
      </w:pPr>
      <w:r>
        <w:separator/>
      </w:r>
    </w:p>
  </w:endnote>
  <w:endnote w:type="continuationSeparator" w:id="0">
    <w:p w14:paraId="5CE4FF1D" w14:textId="77777777" w:rsidR="001A6312" w:rsidRDefault="001A6312" w:rsidP="001A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BC31" w14:textId="77777777" w:rsidR="001A6312" w:rsidRPr="000E0787" w:rsidRDefault="001A6312"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59ED6B5B" w14:textId="77777777" w:rsidR="001A6312" w:rsidRDefault="001A6312"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043C6DCF" w14:textId="77777777" w:rsidR="001A6312" w:rsidRPr="004B4CB8" w:rsidRDefault="001A631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1D4D5952" w14:textId="77777777" w:rsidR="001A6312" w:rsidRDefault="001A6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E3E0" w14:textId="77777777" w:rsidR="001A6312" w:rsidRDefault="001A6312" w:rsidP="001A6312">
      <w:pPr>
        <w:spacing w:after="0" w:line="240" w:lineRule="auto"/>
      </w:pPr>
      <w:r>
        <w:separator/>
      </w:r>
    </w:p>
  </w:footnote>
  <w:footnote w:type="continuationSeparator" w:id="0">
    <w:p w14:paraId="4EFD7E08" w14:textId="77777777" w:rsidR="001A6312" w:rsidRDefault="001A6312" w:rsidP="001A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1A6312" w:rsidRPr="002F61DD" w14:paraId="20407D28" w14:textId="77777777" w:rsidTr="004275B9">
      <w:trPr>
        <w:cantSplit/>
        <w:trHeight w:val="509"/>
        <w:jc w:val="center"/>
      </w:trPr>
      <w:tc>
        <w:tcPr>
          <w:tcW w:w="1398" w:type="dxa"/>
          <w:vMerge w:val="restart"/>
          <w:tcBorders>
            <w:top w:val="single" w:sz="12" w:space="0" w:color="auto"/>
            <w:left w:val="single" w:sz="12" w:space="0" w:color="auto"/>
          </w:tcBorders>
        </w:tcPr>
        <w:p w14:paraId="4745A033" w14:textId="77777777" w:rsidR="001A6312" w:rsidRDefault="001A6312" w:rsidP="00F95312">
          <w:pPr>
            <w:pStyle w:val="Encabezado"/>
            <w:spacing w:after="0"/>
          </w:pPr>
          <w:r>
            <w:rPr>
              <w:noProof/>
            </w:rPr>
            <w:drawing>
              <wp:anchor distT="0" distB="0" distL="114300" distR="114300" simplePos="0" relativeHeight="251657216" behindDoc="0" locked="0" layoutInCell="1" allowOverlap="1" wp14:anchorId="2DA7DB2E" wp14:editId="1B90441D">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551F9A52" w14:textId="77777777" w:rsidR="001A6312" w:rsidRPr="00A5206E" w:rsidRDefault="001A6312" w:rsidP="00F95312">
          <w:pPr>
            <w:pStyle w:val="Encabezado"/>
            <w:spacing w:after="0"/>
            <w:jc w:val="center"/>
            <w:rPr>
              <w:rFonts w:ascii="Arial" w:hAnsi="Arial" w:cs="Arial"/>
              <w:b/>
            </w:rPr>
          </w:pPr>
          <w:r>
            <w:rPr>
              <w:rFonts w:ascii="Arial" w:hAnsi="Arial" w:cs="Arial"/>
              <w:b/>
            </w:rPr>
            <w:t xml:space="preserve"> PROCESO ADQUISICIÓN DE BIENES Y SERVICIOS</w:t>
          </w:r>
        </w:p>
        <w:p w14:paraId="387014CE" w14:textId="77777777" w:rsidR="001A6312" w:rsidRDefault="001A6312" w:rsidP="00F95312">
          <w:pPr>
            <w:spacing w:after="0"/>
            <w:jc w:val="center"/>
            <w:rPr>
              <w:rFonts w:ascii="Arial" w:hAnsi="Arial" w:cs="Arial"/>
              <w:b/>
            </w:rPr>
          </w:pPr>
        </w:p>
        <w:p w14:paraId="3EDAF495" w14:textId="5D764995" w:rsidR="001A6312" w:rsidRPr="00883719" w:rsidRDefault="001A6312" w:rsidP="00F95312">
          <w:pPr>
            <w:spacing w:after="0"/>
            <w:jc w:val="center"/>
            <w:rPr>
              <w:rFonts w:ascii="Arial" w:hAnsi="Arial" w:cs="Arial"/>
              <w:b/>
            </w:rPr>
          </w:pPr>
          <w:r w:rsidRPr="004B4CB8">
            <w:rPr>
              <w:rFonts w:ascii="Arial" w:hAnsi="Arial" w:cs="Arial"/>
              <w:b/>
            </w:rPr>
            <w:t>CLÁUSULAS CONTRACTUALES Y LINEAMIENTOS GENERALES</w:t>
          </w:r>
          <w:r>
            <w:rPr>
              <w:rFonts w:ascii="Arial" w:hAnsi="Arial" w:cs="Arial"/>
              <w:b/>
            </w:rPr>
            <w:t xml:space="preserve"> </w:t>
          </w:r>
          <w:r w:rsidRPr="004B4CB8">
            <w:rPr>
              <w:rFonts w:ascii="Arial" w:hAnsi="Arial" w:cs="Arial"/>
              <w:b/>
            </w:rPr>
            <w:t>Y ESPECÍFICOS DEL CONTRATO DE APORTE</w:t>
          </w:r>
          <w:r>
            <w:rPr>
              <w:rFonts w:ascii="Arial" w:hAnsi="Arial" w:cs="Arial"/>
              <w:b/>
            </w:rPr>
            <w:t xml:space="preserve"> – </w:t>
          </w:r>
          <w:r w:rsidRPr="00CD22C1">
            <w:rPr>
              <w:rFonts w:ascii="Arial" w:hAnsi="Arial" w:cs="Arial"/>
              <w:b/>
            </w:rPr>
            <w:t>CENTROS DE APOYO A LA INCLUSIÓN</w:t>
          </w:r>
        </w:p>
      </w:tc>
      <w:tc>
        <w:tcPr>
          <w:tcW w:w="1531" w:type="dxa"/>
          <w:vMerge w:val="restart"/>
          <w:tcBorders>
            <w:top w:val="single" w:sz="12" w:space="0" w:color="auto"/>
          </w:tcBorders>
          <w:vAlign w:val="center"/>
        </w:tcPr>
        <w:p w14:paraId="70E5D87C" w14:textId="29CF761D" w:rsidR="001A6312" w:rsidRPr="00500961" w:rsidRDefault="001A6312" w:rsidP="00F95312">
          <w:pPr>
            <w:pStyle w:val="Encabezado"/>
            <w:spacing w:after="0"/>
            <w:jc w:val="center"/>
            <w:rPr>
              <w:rFonts w:ascii="Arial" w:hAnsi="Arial"/>
              <w:sz w:val="20"/>
              <w:szCs w:val="20"/>
            </w:rPr>
          </w:pPr>
          <w:r w:rsidRPr="00500961">
            <w:rPr>
              <w:rFonts w:ascii="Arial" w:hAnsi="Arial"/>
              <w:sz w:val="20"/>
              <w:szCs w:val="20"/>
            </w:rPr>
            <w:t>F</w:t>
          </w:r>
          <w:r w:rsidR="000C1BCF" w:rsidRPr="00500961">
            <w:rPr>
              <w:rFonts w:ascii="Arial" w:hAnsi="Arial"/>
              <w:sz w:val="20"/>
              <w:szCs w:val="20"/>
            </w:rPr>
            <w:t>1</w:t>
          </w:r>
          <w:r w:rsidRPr="00500961">
            <w:rPr>
              <w:rFonts w:ascii="Arial" w:hAnsi="Arial"/>
              <w:sz w:val="20"/>
              <w:szCs w:val="20"/>
            </w:rPr>
            <w:t>.P</w:t>
          </w:r>
          <w:r w:rsidR="000C1BCF" w:rsidRPr="00500961">
            <w:rPr>
              <w:rFonts w:ascii="Arial" w:hAnsi="Arial"/>
              <w:sz w:val="20"/>
              <w:szCs w:val="20"/>
            </w:rPr>
            <w:t>31</w:t>
          </w:r>
          <w:r w:rsidRPr="00500961">
            <w:rPr>
              <w:rFonts w:ascii="Arial" w:hAnsi="Arial"/>
              <w:sz w:val="20"/>
              <w:szCs w:val="20"/>
            </w:rPr>
            <w:t>.ABS</w:t>
          </w:r>
        </w:p>
      </w:tc>
      <w:tc>
        <w:tcPr>
          <w:tcW w:w="1404" w:type="dxa"/>
          <w:vMerge w:val="restart"/>
          <w:tcBorders>
            <w:top w:val="single" w:sz="12" w:space="0" w:color="auto"/>
            <w:right w:val="single" w:sz="12" w:space="0" w:color="auto"/>
          </w:tcBorders>
          <w:vAlign w:val="center"/>
        </w:tcPr>
        <w:p w14:paraId="3CAEFD84" w14:textId="2FCD2855" w:rsidR="001A6312" w:rsidRPr="00500961" w:rsidRDefault="0097767B" w:rsidP="00F95312">
          <w:pPr>
            <w:pStyle w:val="Encabezado"/>
            <w:spacing w:after="0"/>
            <w:jc w:val="center"/>
            <w:rPr>
              <w:rFonts w:ascii="Arial" w:hAnsi="Arial"/>
              <w:sz w:val="20"/>
              <w:szCs w:val="20"/>
            </w:rPr>
          </w:pPr>
          <w:r>
            <w:rPr>
              <w:rFonts w:ascii="Arial" w:hAnsi="Arial"/>
              <w:sz w:val="20"/>
              <w:szCs w:val="20"/>
            </w:rPr>
            <w:t>10/10</w:t>
          </w:r>
          <w:r w:rsidR="001A6312" w:rsidRPr="00500961">
            <w:rPr>
              <w:rFonts w:ascii="Arial" w:hAnsi="Arial"/>
              <w:sz w:val="20"/>
              <w:szCs w:val="20"/>
            </w:rPr>
            <w:t>/2025</w:t>
          </w:r>
        </w:p>
      </w:tc>
    </w:tr>
    <w:tr w:rsidR="001A6312" w:rsidRPr="002F61DD" w14:paraId="0755B5C9" w14:textId="77777777" w:rsidTr="004275B9">
      <w:trPr>
        <w:cantSplit/>
        <w:trHeight w:val="309"/>
        <w:jc w:val="center"/>
      </w:trPr>
      <w:tc>
        <w:tcPr>
          <w:tcW w:w="1398" w:type="dxa"/>
          <w:vMerge/>
          <w:tcBorders>
            <w:left w:val="single" w:sz="12" w:space="0" w:color="auto"/>
          </w:tcBorders>
        </w:tcPr>
        <w:p w14:paraId="650E36F4" w14:textId="77777777" w:rsidR="001A6312" w:rsidRDefault="001A6312" w:rsidP="00F95312">
          <w:pPr>
            <w:pStyle w:val="Encabezado"/>
            <w:spacing w:after="0"/>
            <w:rPr>
              <w:noProof/>
            </w:rPr>
          </w:pPr>
        </w:p>
      </w:tc>
      <w:tc>
        <w:tcPr>
          <w:tcW w:w="5881" w:type="dxa"/>
          <w:vMerge/>
        </w:tcPr>
        <w:p w14:paraId="6D5F1D28" w14:textId="77777777" w:rsidR="001A6312" w:rsidRDefault="001A6312" w:rsidP="00F95312">
          <w:pPr>
            <w:pStyle w:val="Encabezado"/>
            <w:spacing w:after="0"/>
            <w:rPr>
              <w:rFonts w:ascii="Arial" w:hAnsi="Arial"/>
            </w:rPr>
          </w:pPr>
        </w:p>
      </w:tc>
      <w:tc>
        <w:tcPr>
          <w:tcW w:w="1531" w:type="dxa"/>
          <w:vMerge/>
          <w:vAlign w:val="center"/>
        </w:tcPr>
        <w:p w14:paraId="74EE84A9" w14:textId="77777777" w:rsidR="001A6312" w:rsidRPr="002F61DD" w:rsidRDefault="001A631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7D642E6B" w14:textId="77777777" w:rsidR="001A6312" w:rsidRPr="002F61DD" w:rsidRDefault="001A6312" w:rsidP="00F95312">
          <w:pPr>
            <w:pStyle w:val="Encabezado"/>
            <w:spacing w:after="0"/>
            <w:jc w:val="center"/>
            <w:rPr>
              <w:rFonts w:ascii="Arial" w:hAnsi="Arial"/>
              <w:b/>
              <w:sz w:val="20"/>
              <w:szCs w:val="20"/>
            </w:rPr>
          </w:pPr>
        </w:p>
      </w:tc>
    </w:tr>
    <w:tr w:rsidR="001A6312" w:rsidRPr="002F61DD" w14:paraId="239F1059" w14:textId="77777777" w:rsidTr="004275B9">
      <w:trPr>
        <w:cantSplit/>
        <w:trHeight w:val="580"/>
        <w:jc w:val="center"/>
      </w:trPr>
      <w:tc>
        <w:tcPr>
          <w:tcW w:w="1398" w:type="dxa"/>
          <w:vMerge/>
          <w:tcBorders>
            <w:left w:val="single" w:sz="12" w:space="0" w:color="auto"/>
            <w:bottom w:val="single" w:sz="12" w:space="0" w:color="auto"/>
          </w:tcBorders>
        </w:tcPr>
        <w:p w14:paraId="7E2B9DAF" w14:textId="77777777" w:rsidR="001A6312" w:rsidRDefault="001A6312" w:rsidP="00F95312">
          <w:pPr>
            <w:pStyle w:val="Encabezado"/>
            <w:spacing w:after="0"/>
            <w:rPr>
              <w:noProof/>
            </w:rPr>
          </w:pPr>
        </w:p>
      </w:tc>
      <w:tc>
        <w:tcPr>
          <w:tcW w:w="5881" w:type="dxa"/>
          <w:vMerge/>
          <w:tcBorders>
            <w:bottom w:val="single" w:sz="12" w:space="0" w:color="auto"/>
          </w:tcBorders>
        </w:tcPr>
        <w:p w14:paraId="6A4D2F38" w14:textId="77777777" w:rsidR="001A6312" w:rsidRDefault="001A6312" w:rsidP="00F95312">
          <w:pPr>
            <w:pStyle w:val="Encabezado"/>
            <w:spacing w:after="0"/>
            <w:rPr>
              <w:rFonts w:ascii="Arial" w:hAnsi="Arial"/>
            </w:rPr>
          </w:pPr>
        </w:p>
      </w:tc>
      <w:tc>
        <w:tcPr>
          <w:tcW w:w="1531" w:type="dxa"/>
          <w:tcBorders>
            <w:bottom w:val="single" w:sz="12" w:space="0" w:color="auto"/>
          </w:tcBorders>
          <w:vAlign w:val="center"/>
        </w:tcPr>
        <w:p w14:paraId="2E195FDF" w14:textId="77777777" w:rsidR="001A6312" w:rsidRPr="002F61DD" w:rsidRDefault="001A631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1E7FB067" w14:textId="77777777" w:rsidR="001A6312" w:rsidRPr="002F61DD" w:rsidRDefault="001A631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2842F143" w14:textId="3DC02C18" w:rsidR="001A6312" w:rsidRDefault="0097767B" w:rsidP="00F95312">
    <w:pPr>
      <w:pStyle w:val="Encabezado"/>
      <w:tabs>
        <w:tab w:val="clear" w:pos="8504"/>
        <w:tab w:val="right" w:pos="9214"/>
      </w:tabs>
      <w:ind w:right="-568"/>
    </w:pPr>
    <w:r>
      <w:rPr>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2049"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1A631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2B9"/>
    <w:multiLevelType w:val="hybridMultilevel"/>
    <w:tmpl w:val="95B6CB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686C69"/>
    <w:multiLevelType w:val="hybridMultilevel"/>
    <w:tmpl w:val="B5AAD168"/>
    <w:lvl w:ilvl="0" w:tplc="1C207CC2">
      <w:start w:val="8"/>
      <w:numFmt w:val="decimal"/>
      <w:lvlText w:val="%1."/>
      <w:lvlJc w:val="left"/>
      <w:pPr>
        <w:ind w:left="720" w:hanging="360"/>
      </w:pPr>
      <w:rPr>
        <w:b/>
        <w:bCs/>
      </w:rPr>
    </w:lvl>
    <w:lvl w:ilvl="1" w:tplc="0A7CBA04">
      <w:start w:val="1"/>
      <w:numFmt w:val="lowerLetter"/>
      <w:lvlText w:val="%2."/>
      <w:lvlJc w:val="left"/>
      <w:pPr>
        <w:ind w:left="1440" w:hanging="360"/>
      </w:pPr>
    </w:lvl>
    <w:lvl w:ilvl="2" w:tplc="BE1CCB50">
      <w:start w:val="1"/>
      <w:numFmt w:val="lowerRoman"/>
      <w:lvlText w:val="%3."/>
      <w:lvlJc w:val="right"/>
      <w:pPr>
        <w:ind w:left="2160" w:hanging="180"/>
      </w:pPr>
    </w:lvl>
    <w:lvl w:ilvl="3" w:tplc="410E0F78">
      <w:start w:val="1"/>
      <w:numFmt w:val="decimal"/>
      <w:lvlText w:val="%4."/>
      <w:lvlJc w:val="left"/>
      <w:pPr>
        <w:ind w:left="2880" w:hanging="360"/>
      </w:pPr>
    </w:lvl>
    <w:lvl w:ilvl="4" w:tplc="E564EE7A">
      <w:start w:val="1"/>
      <w:numFmt w:val="lowerLetter"/>
      <w:lvlText w:val="%5."/>
      <w:lvlJc w:val="left"/>
      <w:pPr>
        <w:ind w:left="3600" w:hanging="360"/>
      </w:pPr>
    </w:lvl>
    <w:lvl w:ilvl="5" w:tplc="5F42E594">
      <w:start w:val="1"/>
      <w:numFmt w:val="lowerRoman"/>
      <w:lvlText w:val="%6."/>
      <w:lvlJc w:val="right"/>
      <w:pPr>
        <w:ind w:left="4320" w:hanging="180"/>
      </w:pPr>
    </w:lvl>
    <w:lvl w:ilvl="6" w:tplc="07A6DE54">
      <w:start w:val="1"/>
      <w:numFmt w:val="decimal"/>
      <w:lvlText w:val="%7."/>
      <w:lvlJc w:val="left"/>
      <w:pPr>
        <w:ind w:left="5040" w:hanging="360"/>
      </w:pPr>
    </w:lvl>
    <w:lvl w:ilvl="7" w:tplc="E91EB11E">
      <w:start w:val="1"/>
      <w:numFmt w:val="lowerLetter"/>
      <w:lvlText w:val="%8."/>
      <w:lvlJc w:val="left"/>
      <w:pPr>
        <w:ind w:left="5760" w:hanging="360"/>
      </w:pPr>
    </w:lvl>
    <w:lvl w:ilvl="8" w:tplc="45A40266">
      <w:start w:val="1"/>
      <w:numFmt w:val="lowerRoman"/>
      <w:lvlText w:val="%9."/>
      <w:lvlJc w:val="right"/>
      <w:pPr>
        <w:ind w:left="6480" w:hanging="180"/>
      </w:pPr>
    </w:lvl>
  </w:abstractNum>
  <w:abstractNum w:abstractNumId="3" w15:restartNumberingAfterBreak="0">
    <w:nsid w:val="33B01934"/>
    <w:multiLevelType w:val="hybridMultilevel"/>
    <w:tmpl w:val="95B6CB5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431A8D"/>
    <w:multiLevelType w:val="hybridMultilevel"/>
    <w:tmpl w:val="E6306B48"/>
    <w:lvl w:ilvl="0" w:tplc="3A3EDCB4">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525" w:hanging="720"/>
      </w:pPr>
      <w:rPr>
        <w:rFonts w:ascii="Arial Narrow" w:hAnsi="Arial Narro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01128">
    <w:abstractNumId w:val="1"/>
  </w:num>
  <w:num w:numId="2" w16cid:durableId="1411191231">
    <w:abstractNumId w:val="5"/>
  </w:num>
  <w:num w:numId="3" w16cid:durableId="1434714219">
    <w:abstractNumId w:val="4"/>
  </w:num>
  <w:num w:numId="4" w16cid:durableId="1666743374">
    <w:abstractNumId w:val="0"/>
  </w:num>
  <w:num w:numId="5" w16cid:durableId="1874882295">
    <w:abstractNumId w:val="2"/>
  </w:num>
  <w:num w:numId="6" w16cid:durableId="22098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12"/>
    <w:rsid w:val="000647D0"/>
    <w:rsid w:val="000C1BCF"/>
    <w:rsid w:val="001413A7"/>
    <w:rsid w:val="001A6312"/>
    <w:rsid w:val="002D3A0A"/>
    <w:rsid w:val="002E0464"/>
    <w:rsid w:val="003E54AE"/>
    <w:rsid w:val="0045242B"/>
    <w:rsid w:val="00460620"/>
    <w:rsid w:val="00500961"/>
    <w:rsid w:val="00517AC6"/>
    <w:rsid w:val="006A2B02"/>
    <w:rsid w:val="006B55DC"/>
    <w:rsid w:val="006D51C5"/>
    <w:rsid w:val="007935C8"/>
    <w:rsid w:val="008438BD"/>
    <w:rsid w:val="00854B39"/>
    <w:rsid w:val="00966726"/>
    <w:rsid w:val="0097767B"/>
    <w:rsid w:val="00980DFC"/>
    <w:rsid w:val="009E1ACB"/>
    <w:rsid w:val="00AD0CDF"/>
    <w:rsid w:val="00B34A97"/>
    <w:rsid w:val="00CD22C1"/>
    <w:rsid w:val="00CE7382"/>
    <w:rsid w:val="00DE2170"/>
    <w:rsid w:val="00DE7E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58C61D"/>
  <w15:chartTrackingRefBased/>
  <w15:docId w15:val="{72FE2B3F-90DD-46B9-A3DE-3F721145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1A6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6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63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63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63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63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63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63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63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63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63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63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63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63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63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63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63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6312"/>
    <w:rPr>
      <w:rFonts w:eastAsiaTheme="majorEastAsia" w:cstheme="majorBidi"/>
      <w:color w:val="272727" w:themeColor="text1" w:themeTint="D8"/>
    </w:rPr>
  </w:style>
  <w:style w:type="paragraph" w:styleId="Ttulo">
    <w:name w:val="Title"/>
    <w:basedOn w:val="Normal"/>
    <w:next w:val="Normal"/>
    <w:link w:val="TtuloCar"/>
    <w:uiPriority w:val="10"/>
    <w:qFormat/>
    <w:rsid w:val="001A6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63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63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63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6312"/>
    <w:pPr>
      <w:spacing w:before="160"/>
      <w:jc w:val="center"/>
    </w:pPr>
    <w:rPr>
      <w:i/>
      <w:iCs/>
      <w:color w:val="404040" w:themeColor="text1" w:themeTint="BF"/>
    </w:rPr>
  </w:style>
  <w:style w:type="character" w:customStyle="1" w:styleId="CitaCar">
    <w:name w:val="Cita Car"/>
    <w:basedOn w:val="Fuentedeprrafopredeter"/>
    <w:link w:val="Cita"/>
    <w:uiPriority w:val="29"/>
    <w:rsid w:val="001A631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1"/>
    <w:qFormat/>
    <w:rsid w:val="001A6312"/>
    <w:pPr>
      <w:ind w:left="720"/>
      <w:contextualSpacing/>
    </w:pPr>
  </w:style>
  <w:style w:type="character" w:styleId="nfasisintenso">
    <w:name w:val="Intense Emphasis"/>
    <w:basedOn w:val="Fuentedeprrafopredeter"/>
    <w:uiPriority w:val="21"/>
    <w:qFormat/>
    <w:rsid w:val="001A6312"/>
    <w:rPr>
      <w:i/>
      <w:iCs/>
      <w:color w:val="0F4761" w:themeColor="accent1" w:themeShade="BF"/>
    </w:rPr>
  </w:style>
  <w:style w:type="paragraph" w:styleId="Citadestacada">
    <w:name w:val="Intense Quote"/>
    <w:basedOn w:val="Normal"/>
    <w:next w:val="Normal"/>
    <w:link w:val="CitadestacadaCar"/>
    <w:uiPriority w:val="30"/>
    <w:qFormat/>
    <w:rsid w:val="001A6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6312"/>
    <w:rPr>
      <w:i/>
      <w:iCs/>
      <w:color w:val="0F4761" w:themeColor="accent1" w:themeShade="BF"/>
    </w:rPr>
  </w:style>
  <w:style w:type="character" w:styleId="Referenciaintensa">
    <w:name w:val="Intense Reference"/>
    <w:basedOn w:val="Fuentedeprrafopredeter"/>
    <w:uiPriority w:val="32"/>
    <w:qFormat/>
    <w:rsid w:val="001A6312"/>
    <w:rPr>
      <w:b/>
      <w:bCs/>
      <w:smallCaps/>
      <w:color w:val="0F4761" w:themeColor="accent1" w:themeShade="BF"/>
      <w:spacing w:val="5"/>
    </w:rPr>
  </w:style>
  <w:style w:type="paragraph" w:styleId="Encabezado">
    <w:name w:val="header"/>
    <w:aliases w:val="h,h8,h9,h10,h18"/>
    <w:basedOn w:val="Normal"/>
    <w:link w:val="EncabezadoCar"/>
    <w:unhideWhenUsed/>
    <w:rsid w:val="001A6312"/>
    <w:pPr>
      <w:tabs>
        <w:tab w:val="center" w:pos="4252"/>
        <w:tab w:val="right" w:pos="8504"/>
      </w:tabs>
    </w:pPr>
  </w:style>
  <w:style w:type="character" w:customStyle="1" w:styleId="EncabezadoCar">
    <w:name w:val="Encabezado Car"/>
    <w:aliases w:val="h Car,h8 Car,h9 Car,h10 Car,h18 Car"/>
    <w:basedOn w:val="Fuentedeprrafopredeter"/>
    <w:link w:val="Encabezado"/>
    <w:rsid w:val="001A6312"/>
    <w:rPr>
      <w:rFonts w:ascii="Calibri" w:eastAsia="Calibri" w:hAnsi="Calibri" w:cs="Times New Roman"/>
      <w:kern w:val="0"/>
      <w:lang w:val="es-ES"/>
    </w:rPr>
  </w:style>
  <w:style w:type="paragraph" w:styleId="Piedepgina">
    <w:name w:val="footer"/>
    <w:basedOn w:val="Normal"/>
    <w:link w:val="PiedepginaCar"/>
    <w:uiPriority w:val="99"/>
    <w:unhideWhenUsed/>
    <w:rsid w:val="001A6312"/>
    <w:pPr>
      <w:tabs>
        <w:tab w:val="center" w:pos="4252"/>
        <w:tab w:val="right" w:pos="8504"/>
      </w:tabs>
    </w:pPr>
  </w:style>
  <w:style w:type="character" w:customStyle="1" w:styleId="PiedepginaCar">
    <w:name w:val="Pie de página Car"/>
    <w:basedOn w:val="Fuentedeprrafopredeter"/>
    <w:link w:val="Piedepgina"/>
    <w:uiPriority w:val="99"/>
    <w:rsid w:val="001A6312"/>
    <w:rPr>
      <w:rFonts w:ascii="Calibri" w:eastAsia="Calibri" w:hAnsi="Calibri" w:cs="Times New Roman"/>
      <w:kern w:val="0"/>
      <w:lang w:val="es-ES"/>
    </w:rPr>
  </w:style>
  <w:style w:type="paragraph" w:styleId="Sinespaciado">
    <w:name w:val="No Spacing"/>
    <w:link w:val="SinespaciadoCar"/>
    <w:uiPriority w:val="99"/>
    <w:qFormat/>
    <w:rsid w:val="001A6312"/>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1A6312"/>
    <w:rPr>
      <w:rFonts w:ascii="Calibri" w:eastAsia="Calibri" w:hAnsi="Calibri" w:cs="Times New Roman"/>
      <w:kern w:val="0"/>
      <w:lang w:val="es-ES"/>
    </w:rPr>
  </w:style>
  <w:style w:type="character" w:styleId="Refdecomentario">
    <w:name w:val="annotation reference"/>
    <w:rsid w:val="001A6312"/>
    <w:rPr>
      <w:sz w:val="16"/>
    </w:rPr>
  </w:style>
  <w:style w:type="paragraph" w:styleId="Textocomentario">
    <w:name w:val="annotation text"/>
    <w:basedOn w:val="Normal"/>
    <w:link w:val="TextocomentarioCar"/>
    <w:uiPriority w:val="99"/>
    <w:unhideWhenUsed/>
    <w:rsid w:val="001A6312"/>
    <w:rPr>
      <w:sz w:val="20"/>
      <w:szCs w:val="20"/>
      <w:lang w:val="x-none" w:eastAsia="x-none"/>
    </w:rPr>
  </w:style>
  <w:style w:type="character" w:customStyle="1" w:styleId="TextocomentarioCar">
    <w:name w:val="Texto comentario Car"/>
    <w:basedOn w:val="Fuentedeprrafopredeter"/>
    <w:link w:val="Textocomentario"/>
    <w:uiPriority w:val="99"/>
    <w:rsid w:val="001A6312"/>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1A6312"/>
    <w:rPr>
      <w:b/>
      <w:bCs/>
    </w:rPr>
  </w:style>
  <w:style w:type="paragraph" w:styleId="NormalWeb">
    <w:name w:val="Normal (Web)"/>
    <w:basedOn w:val="Normal"/>
    <w:uiPriority w:val="99"/>
    <w:unhideWhenUsed/>
    <w:rsid w:val="001A6312"/>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1A6312"/>
  </w:style>
  <w:style w:type="character" w:styleId="Nmerodepgina">
    <w:name w:val="page number"/>
    <w:rsid w:val="001A631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12424</Words>
  <Characters>72063</Characters>
  <Application>Microsoft Office Word</Application>
  <DocSecurity>0</DocSecurity>
  <Lines>2882</Lines>
  <Paragraphs>665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7</cp:revision>
  <dcterms:created xsi:type="dcterms:W3CDTF">2025-10-05T17:16:00Z</dcterms:created>
  <dcterms:modified xsi:type="dcterms:W3CDTF">2025-10-10T21:40:00Z</dcterms:modified>
</cp:coreProperties>
</file>