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C3B" w:rsidRPr="00A24637" w:rsidRDefault="00550C3B" w:rsidP="009E584E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bookmarkStart w:id="0" w:name="_GoBack"/>
      <w:bookmarkEnd w:id="0"/>
      <w:r w:rsidRPr="00A24637">
        <w:rPr>
          <w:rFonts w:ascii="Arial" w:hAnsi="Arial" w:cs="Arial"/>
          <w:b/>
        </w:rPr>
        <w:t>AUTO DE ACUMULACI</w:t>
      </w:r>
      <w:r w:rsidR="00F24FB4" w:rsidRPr="00A24637">
        <w:rPr>
          <w:rFonts w:ascii="Arial" w:hAnsi="Arial" w:cs="Arial"/>
          <w:b/>
        </w:rPr>
        <w:t>Ó</w:t>
      </w:r>
      <w:r w:rsidRPr="00A24637">
        <w:rPr>
          <w:rFonts w:ascii="Arial" w:hAnsi="Arial" w:cs="Arial"/>
          <w:b/>
        </w:rPr>
        <w:t>N</w:t>
      </w:r>
    </w:p>
    <w:p w:rsidR="00550C3B" w:rsidRPr="00A24637" w:rsidRDefault="00550C3B" w:rsidP="009E584E">
      <w:pPr>
        <w:spacing w:after="0" w:line="240" w:lineRule="auto"/>
        <w:rPr>
          <w:rFonts w:ascii="Arial" w:hAnsi="Arial" w:cs="Arial"/>
          <w:b/>
        </w:rPr>
      </w:pPr>
    </w:p>
    <w:p w:rsidR="00DE03D1" w:rsidRPr="00A24637" w:rsidRDefault="00DE03D1" w:rsidP="009E584E">
      <w:pPr>
        <w:spacing w:after="0" w:line="240" w:lineRule="auto"/>
        <w:rPr>
          <w:rFonts w:ascii="Arial" w:hAnsi="Arial" w:cs="Arial"/>
        </w:rPr>
      </w:pPr>
      <w:r w:rsidRPr="00A24637">
        <w:rPr>
          <w:rFonts w:ascii="Arial" w:hAnsi="Arial" w:cs="Arial"/>
        </w:rPr>
        <w:t>Bogotá D.C., (</w:t>
      </w:r>
      <w:r w:rsidRPr="00A24637">
        <w:rPr>
          <w:rFonts w:ascii="Arial" w:hAnsi="Arial" w:cs="Arial"/>
          <w:b/>
          <w:i/>
        </w:rPr>
        <w:t>fechador</w:t>
      </w:r>
      <w:r w:rsidRPr="00A24637">
        <w:rPr>
          <w:rFonts w:ascii="Arial" w:hAnsi="Arial" w:cs="Arial"/>
        </w:rPr>
        <w:t>)</w:t>
      </w:r>
    </w:p>
    <w:p w:rsidR="00550C3B" w:rsidRPr="00A24637" w:rsidRDefault="00550C3B" w:rsidP="009E584E">
      <w:pPr>
        <w:spacing w:after="0" w:line="240" w:lineRule="auto"/>
        <w:rPr>
          <w:rFonts w:ascii="Arial" w:hAnsi="Arial" w:cs="Arial"/>
        </w:rPr>
      </w:pPr>
    </w:p>
    <w:p w:rsidR="00550C3B" w:rsidRDefault="00550C3B" w:rsidP="009E584E">
      <w:pPr>
        <w:spacing w:after="0" w:line="240" w:lineRule="auto"/>
        <w:rPr>
          <w:rFonts w:ascii="Arial" w:hAnsi="Arial" w:cs="Arial"/>
        </w:rPr>
      </w:pPr>
      <w:r w:rsidRPr="00A24637">
        <w:rPr>
          <w:rFonts w:ascii="Arial" w:hAnsi="Arial" w:cs="Arial"/>
        </w:rPr>
        <w:t>Radicación No. (</w:t>
      </w:r>
      <w:r w:rsidR="00650D14" w:rsidRPr="00A24637">
        <w:rPr>
          <w:rFonts w:ascii="Arial" w:hAnsi="Arial" w:cs="Arial"/>
          <w:b/>
          <w:i/>
        </w:rPr>
        <w:t>Número</w:t>
      </w:r>
      <w:r w:rsidRPr="00A24637">
        <w:rPr>
          <w:rFonts w:ascii="Arial" w:hAnsi="Arial" w:cs="Arial"/>
          <w:b/>
          <w:i/>
        </w:rPr>
        <w:t xml:space="preserve"> de expediente</w:t>
      </w:r>
      <w:r w:rsidRPr="00A24637">
        <w:rPr>
          <w:rFonts w:ascii="Arial" w:hAnsi="Arial" w:cs="Arial"/>
        </w:rPr>
        <w:t>)</w:t>
      </w:r>
    </w:p>
    <w:p w:rsidR="00307C79" w:rsidRPr="00A24637" w:rsidRDefault="00307C79" w:rsidP="009E584E">
      <w:pPr>
        <w:spacing w:after="0" w:line="240" w:lineRule="auto"/>
        <w:rPr>
          <w:rFonts w:ascii="Arial" w:eastAsia="Arial" w:hAnsi="Arial" w:cs="Arial"/>
        </w:rPr>
      </w:pPr>
    </w:p>
    <w:p w:rsidR="00550C3B" w:rsidRPr="00A24637" w:rsidRDefault="00550C3B" w:rsidP="009E584E">
      <w:pPr>
        <w:spacing w:after="0" w:line="240" w:lineRule="auto"/>
        <w:rPr>
          <w:rFonts w:ascii="Times New Roman" w:eastAsia="Times New Roman" w:hAnsi="Times New Roman"/>
        </w:rPr>
      </w:pPr>
      <w:r w:rsidRPr="00A24637">
        <w:rPr>
          <w:rFonts w:ascii="Arial" w:eastAsia="Arial" w:hAnsi="Arial" w:cs="Arial"/>
        </w:rPr>
        <w:t xml:space="preserve">         </w:t>
      </w:r>
      <w:r w:rsidRPr="00A24637">
        <w:rPr>
          <w:rFonts w:ascii="Arial" w:hAnsi="Arial" w:cs="Arial"/>
        </w:rPr>
        <w:tab/>
      </w: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  <w:r w:rsidRPr="00A24637">
        <w:rPr>
          <w:sz w:val="22"/>
          <w:szCs w:val="22"/>
          <w:lang w:val="es-ES"/>
        </w:rPr>
        <w:t>El (</w:t>
      </w:r>
      <w:r w:rsidRPr="00A24637">
        <w:rPr>
          <w:b/>
          <w:i/>
          <w:sz w:val="22"/>
          <w:szCs w:val="22"/>
          <w:lang w:val="es-ES"/>
        </w:rPr>
        <w:t>fecha de recepción</w:t>
      </w:r>
      <w:r w:rsidRPr="00A24637">
        <w:rPr>
          <w:sz w:val="22"/>
          <w:szCs w:val="22"/>
          <w:lang w:val="es-ES"/>
        </w:rPr>
        <w:t>) se recibió en esta dependencia (</w:t>
      </w:r>
      <w:r w:rsidRPr="00A24637">
        <w:rPr>
          <w:b/>
          <w:i/>
          <w:sz w:val="22"/>
          <w:szCs w:val="22"/>
          <w:lang w:val="es-ES"/>
        </w:rPr>
        <w:t>queja, informe o anónimo</w:t>
      </w:r>
      <w:r w:rsidRPr="00A24637">
        <w:rPr>
          <w:sz w:val="22"/>
          <w:szCs w:val="22"/>
          <w:lang w:val="es-ES"/>
        </w:rPr>
        <w:t>) en el que se solicitó adelantar la actuación disciplinaria pertinente, relacionada con (</w:t>
      </w:r>
      <w:r w:rsidRPr="00A24637">
        <w:rPr>
          <w:b/>
          <w:i/>
          <w:sz w:val="22"/>
          <w:szCs w:val="22"/>
          <w:lang w:val="es-ES"/>
        </w:rPr>
        <w:t>se hace una breve descripción de los hechos objeto de la actuación</w:t>
      </w:r>
      <w:r w:rsidRPr="00A24637">
        <w:rPr>
          <w:sz w:val="22"/>
          <w:szCs w:val="22"/>
          <w:lang w:val="es-ES"/>
        </w:rPr>
        <w:t>).</w:t>
      </w: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  <w:r w:rsidRPr="00A24637">
        <w:rPr>
          <w:sz w:val="22"/>
          <w:szCs w:val="22"/>
          <w:lang w:val="es-ES"/>
        </w:rPr>
        <w:t xml:space="preserve">Con base en esos hechos este Despacho ordenó </w:t>
      </w:r>
      <w:r w:rsidR="00640B34" w:rsidRPr="00A24637">
        <w:rPr>
          <w:sz w:val="22"/>
          <w:szCs w:val="22"/>
          <w:lang w:val="es-ES"/>
        </w:rPr>
        <w:t xml:space="preserve">iniciar </w:t>
      </w:r>
      <w:r w:rsidRPr="00A24637">
        <w:rPr>
          <w:sz w:val="22"/>
          <w:szCs w:val="22"/>
          <w:lang w:val="es-CO"/>
        </w:rPr>
        <w:t>(</w:t>
      </w:r>
      <w:r w:rsidR="00640B34" w:rsidRPr="00A24637">
        <w:rPr>
          <w:b/>
          <w:i/>
          <w:sz w:val="22"/>
          <w:szCs w:val="22"/>
          <w:lang w:val="es-ES"/>
        </w:rPr>
        <w:t>Indagación P</w:t>
      </w:r>
      <w:r w:rsidRPr="00A24637">
        <w:rPr>
          <w:b/>
          <w:i/>
          <w:sz w:val="22"/>
          <w:szCs w:val="22"/>
          <w:lang w:val="es-ES"/>
        </w:rPr>
        <w:t>reliminar</w:t>
      </w:r>
      <w:r w:rsidRPr="00A24637">
        <w:rPr>
          <w:b/>
          <w:sz w:val="22"/>
          <w:szCs w:val="22"/>
          <w:lang w:val="es-ES"/>
        </w:rPr>
        <w:t xml:space="preserve"> </w:t>
      </w:r>
      <w:r w:rsidRPr="00A24637">
        <w:rPr>
          <w:b/>
          <w:i/>
          <w:sz w:val="22"/>
          <w:szCs w:val="22"/>
          <w:lang w:val="es-ES"/>
        </w:rPr>
        <w:t xml:space="preserve">o </w:t>
      </w:r>
      <w:r w:rsidR="00640B34" w:rsidRPr="00A24637">
        <w:rPr>
          <w:b/>
          <w:i/>
          <w:sz w:val="22"/>
          <w:szCs w:val="22"/>
          <w:lang w:val="es-ES"/>
        </w:rPr>
        <w:t>Investigación D</w:t>
      </w:r>
      <w:r w:rsidRPr="00A24637">
        <w:rPr>
          <w:b/>
          <w:i/>
          <w:sz w:val="22"/>
          <w:szCs w:val="22"/>
          <w:lang w:val="es-ES"/>
        </w:rPr>
        <w:t>isciplinaria</w:t>
      </w:r>
      <w:r w:rsidRPr="00A24637">
        <w:rPr>
          <w:sz w:val="22"/>
          <w:szCs w:val="22"/>
          <w:lang w:val="es-ES"/>
        </w:rPr>
        <w:t>) el (</w:t>
      </w:r>
      <w:r w:rsidRPr="00A24637">
        <w:rPr>
          <w:b/>
          <w:i/>
          <w:sz w:val="22"/>
          <w:szCs w:val="22"/>
          <w:lang w:val="es-ES"/>
        </w:rPr>
        <w:t>fecha del auto</w:t>
      </w:r>
      <w:r w:rsidRPr="00A24637">
        <w:rPr>
          <w:sz w:val="22"/>
          <w:szCs w:val="22"/>
          <w:lang w:val="es-ES"/>
        </w:rPr>
        <w:t>), en contra de (</w:t>
      </w:r>
      <w:r w:rsidRPr="00A24637">
        <w:rPr>
          <w:b/>
          <w:i/>
          <w:sz w:val="22"/>
          <w:szCs w:val="22"/>
          <w:lang w:val="es-ES"/>
        </w:rPr>
        <w:t>nombre del implicado o en averiguación</w:t>
      </w:r>
      <w:r w:rsidRPr="00A24637">
        <w:rPr>
          <w:sz w:val="22"/>
          <w:szCs w:val="22"/>
          <w:lang w:val="es-ES"/>
        </w:rPr>
        <w:t>)</w:t>
      </w:r>
      <w:r w:rsidR="00640B34" w:rsidRPr="00A24637">
        <w:rPr>
          <w:sz w:val="22"/>
          <w:szCs w:val="22"/>
          <w:lang w:val="es-ES"/>
        </w:rPr>
        <w:t xml:space="preserve">, siendo radicado </w:t>
      </w:r>
      <w:r w:rsidRPr="00A24637">
        <w:rPr>
          <w:sz w:val="22"/>
          <w:szCs w:val="22"/>
          <w:lang w:val="es-ES"/>
        </w:rPr>
        <w:t xml:space="preserve">con el </w:t>
      </w:r>
      <w:r w:rsidR="0061331E" w:rsidRPr="00A24637">
        <w:rPr>
          <w:sz w:val="22"/>
          <w:szCs w:val="22"/>
          <w:lang w:val="es-ES"/>
        </w:rPr>
        <w:t xml:space="preserve">Número </w:t>
      </w:r>
      <w:r w:rsidRPr="00A24637">
        <w:rPr>
          <w:sz w:val="22"/>
          <w:szCs w:val="22"/>
          <w:lang w:val="es-ES"/>
        </w:rPr>
        <w:t>(</w:t>
      </w:r>
      <w:r w:rsidRPr="00A24637">
        <w:rPr>
          <w:b/>
          <w:i/>
          <w:sz w:val="22"/>
          <w:szCs w:val="22"/>
          <w:lang w:val="es-ES"/>
        </w:rPr>
        <w:t>No. del expediente</w:t>
      </w:r>
      <w:r w:rsidRPr="00A24637">
        <w:rPr>
          <w:sz w:val="22"/>
          <w:szCs w:val="22"/>
          <w:lang w:val="es-ES"/>
        </w:rPr>
        <w:t>).</w:t>
      </w: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  <w:r w:rsidRPr="00A24637">
        <w:rPr>
          <w:sz w:val="22"/>
          <w:szCs w:val="22"/>
          <w:lang w:val="es-ES"/>
        </w:rPr>
        <w:t xml:space="preserve">En este mismo </w:t>
      </w:r>
      <w:r w:rsidR="008019F5" w:rsidRPr="00A24637">
        <w:rPr>
          <w:sz w:val="22"/>
          <w:szCs w:val="22"/>
          <w:lang w:val="es-ES"/>
        </w:rPr>
        <w:t>Despacho</w:t>
      </w:r>
      <w:r w:rsidR="00640B34" w:rsidRPr="00A24637">
        <w:rPr>
          <w:sz w:val="22"/>
          <w:szCs w:val="22"/>
          <w:lang w:val="es-ES"/>
        </w:rPr>
        <w:t>,</w:t>
      </w:r>
      <w:r w:rsidR="008019F5" w:rsidRPr="00A24637">
        <w:rPr>
          <w:sz w:val="22"/>
          <w:szCs w:val="22"/>
          <w:lang w:val="es-ES"/>
        </w:rPr>
        <w:t xml:space="preserve"> </w:t>
      </w:r>
      <w:r w:rsidRPr="00A24637">
        <w:rPr>
          <w:sz w:val="22"/>
          <w:szCs w:val="22"/>
          <w:lang w:val="es-ES"/>
        </w:rPr>
        <w:t xml:space="preserve">se adelanta actuación administrativa bajo el radicado </w:t>
      </w:r>
      <w:r w:rsidR="008019F5" w:rsidRPr="00A24637">
        <w:rPr>
          <w:sz w:val="22"/>
          <w:szCs w:val="22"/>
          <w:lang w:val="es-ES"/>
        </w:rPr>
        <w:t xml:space="preserve">No. </w:t>
      </w:r>
      <w:r w:rsidR="00FF3BB7" w:rsidRPr="00FF3BB7">
        <w:rPr>
          <w:b/>
          <w:i/>
          <w:sz w:val="22"/>
          <w:szCs w:val="22"/>
          <w:lang w:val="es-ES"/>
        </w:rPr>
        <w:t>(xxx)</w:t>
      </w:r>
      <w:r w:rsidR="00FF3BB7">
        <w:rPr>
          <w:sz w:val="22"/>
          <w:szCs w:val="22"/>
          <w:lang w:val="es-ES"/>
        </w:rPr>
        <w:t xml:space="preserve">, relacionada con </w:t>
      </w:r>
      <w:r w:rsidRPr="00A24637">
        <w:rPr>
          <w:sz w:val="22"/>
          <w:szCs w:val="22"/>
          <w:lang w:val="es-ES"/>
        </w:rPr>
        <w:t>(</w:t>
      </w:r>
      <w:r w:rsidRPr="00A24637">
        <w:rPr>
          <w:b/>
          <w:i/>
          <w:sz w:val="22"/>
          <w:szCs w:val="22"/>
          <w:lang w:val="es-ES"/>
        </w:rPr>
        <w:t>describir  los hechos conexos y/o sujetos</w:t>
      </w:r>
      <w:r w:rsidR="008019F5" w:rsidRPr="00A24637">
        <w:rPr>
          <w:sz w:val="22"/>
          <w:szCs w:val="22"/>
          <w:lang w:val="es-ES"/>
        </w:rPr>
        <w:t>).</w:t>
      </w: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</w:p>
    <w:p w:rsidR="00550C3B" w:rsidRPr="00A24637" w:rsidRDefault="00550C3B" w:rsidP="009E584E">
      <w:pPr>
        <w:spacing w:after="0" w:line="240" w:lineRule="auto"/>
        <w:jc w:val="both"/>
        <w:rPr>
          <w:rFonts w:ascii="Arial" w:hAnsi="Arial" w:cs="Arial"/>
        </w:rPr>
      </w:pPr>
      <w:r w:rsidRPr="00A24637">
        <w:rPr>
          <w:rFonts w:ascii="Arial" w:hAnsi="Arial" w:cs="Arial"/>
        </w:rPr>
        <w:t xml:space="preserve">Si bien la Ley 734 de 2002 no prevé la figura de la acumulación, de conformidad con lo dispuesto en el </w:t>
      </w:r>
      <w:r w:rsidR="008019F5" w:rsidRPr="00A24637">
        <w:rPr>
          <w:rFonts w:ascii="Arial" w:hAnsi="Arial" w:cs="Arial"/>
        </w:rPr>
        <w:t xml:space="preserve">Artículo </w:t>
      </w:r>
      <w:r w:rsidRPr="00A24637">
        <w:rPr>
          <w:rFonts w:ascii="Arial" w:hAnsi="Arial" w:cs="Arial"/>
        </w:rPr>
        <w:t xml:space="preserve">21 ibídem, en los aspectos no previstos se admite la aplicación de otras normatividades como son los Códigos </w:t>
      </w:r>
      <w:r w:rsidR="008019F5" w:rsidRPr="00A24637">
        <w:rPr>
          <w:rFonts w:ascii="Arial" w:hAnsi="Arial" w:cs="Arial"/>
        </w:rPr>
        <w:t xml:space="preserve">de Procedimiento </w:t>
      </w:r>
      <w:r w:rsidRPr="00A24637">
        <w:rPr>
          <w:rFonts w:ascii="Arial" w:hAnsi="Arial" w:cs="Arial"/>
        </w:rPr>
        <w:t>Administrativo</w:t>
      </w:r>
      <w:r w:rsidR="008019F5" w:rsidRPr="00A24637">
        <w:rPr>
          <w:rFonts w:ascii="Arial" w:hAnsi="Arial" w:cs="Arial"/>
        </w:rPr>
        <w:t xml:space="preserve"> y de lo Contencioso Administrativo</w:t>
      </w:r>
      <w:r w:rsidRPr="00A24637">
        <w:rPr>
          <w:rFonts w:ascii="Arial" w:hAnsi="Arial" w:cs="Arial"/>
        </w:rPr>
        <w:t>, Penal, de Procedimiento Penal y de Procedimiento Civil, en lo que no contravenga la natura</w:t>
      </w:r>
      <w:r w:rsidR="00FF3BB7">
        <w:rPr>
          <w:rFonts w:ascii="Arial" w:hAnsi="Arial" w:cs="Arial"/>
        </w:rPr>
        <w:t>leza del derecho disciplinario.</w:t>
      </w:r>
    </w:p>
    <w:p w:rsidR="00550C3B" w:rsidRPr="00A24637" w:rsidRDefault="00550C3B" w:rsidP="009E584E">
      <w:pPr>
        <w:spacing w:after="0" w:line="240" w:lineRule="auto"/>
        <w:jc w:val="both"/>
        <w:rPr>
          <w:rFonts w:ascii="Arial" w:hAnsi="Arial" w:cs="Arial"/>
        </w:rPr>
      </w:pPr>
    </w:p>
    <w:p w:rsidR="00215367" w:rsidRDefault="00550C3B" w:rsidP="009E584E">
      <w:pPr>
        <w:spacing w:after="0" w:line="240" w:lineRule="auto"/>
        <w:jc w:val="both"/>
        <w:rPr>
          <w:rFonts w:ascii="Arial" w:hAnsi="Arial" w:cs="Arial"/>
        </w:rPr>
      </w:pPr>
      <w:r w:rsidRPr="00215367">
        <w:rPr>
          <w:rFonts w:ascii="Arial" w:hAnsi="Arial" w:cs="Arial"/>
        </w:rPr>
        <w:t>Respecto al principio de la unidad procesal, l</w:t>
      </w:r>
      <w:r w:rsidR="00215367" w:rsidRPr="00215367">
        <w:rPr>
          <w:rFonts w:ascii="Arial" w:hAnsi="Arial" w:cs="Arial"/>
        </w:rPr>
        <w:t xml:space="preserve">a Ley 1437 de 2011 </w:t>
      </w:r>
      <w:r w:rsidR="00215367" w:rsidRPr="00215367">
        <w:rPr>
          <w:rFonts w:ascii="Arial" w:hAnsi="Arial" w:cs="Arial"/>
          <w:i/>
        </w:rPr>
        <w:t>“Por la cual se expide el Código de Procedimiento Administrativo y de lo Contencioso Administrativo”</w:t>
      </w:r>
      <w:r w:rsidR="00215367" w:rsidRPr="00215367">
        <w:rPr>
          <w:rFonts w:ascii="Arial" w:hAnsi="Arial" w:cs="Arial"/>
        </w:rPr>
        <w:t>, señala:</w:t>
      </w:r>
    </w:p>
    <w:p w:rsidR="002156DF" w:rsidRPr="00215367" w:rsidRDefault="002156DF" w:rsidP="009E584E">
      <w:pPr>
        <w:spacing w:after="0" w:line="240" w:lineRule="auto"/>
        <w:jc w:val="both"/>
        <w:rPr>
          <w:rFonts w:ascii="Arial" w:hAnsi="Arial" w:cs="Arial"/>
        </w:rPr>
      </w:pPr>
    </w:p>
    <w:p w:rsidR="00215367" w:rsidRDefault="00550C3B" w:rsidP="009E584E">
      <w:pPr>
        <w:pStyle w:val="NormalWeb"/>
        <w:shd w:val="clear" w:color="auto" w:fill="FFFFFF"/>
        <w:spacing w:before="0" w:after="0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215367">
        <w:rPr>
          <w:rFonts w:ascii="Arial" w:eastAsia="Calibri" w:hAnsi="Arial" w:cs="Arial"/>
          <w:i/>
          <w:sz w:val="22"/>
          <w:szCs w:val="22"/>
          <w:lang w:eastAsia="en-US"/>
        </w:rPr>
        <w:t>“</w:t>
      </w:r>
      <w:r w:rsidR="00215367" w:rsidRPr="00E9098B">
        <w:rPr>
          <w:rFonts w:ascii="Arial" w:eastAsia="Calibri" w:hAnsi="Arial" w:cs="Arial"/>
          <w:b/>
          <w:i/>
          <w:sz w:val="22"/>
          <w:szCs w:val="22"/>
          <w:lang w:eastAsia="en-US"/>
        </w:rPr>
        <w:t>Artículo </w:t>
      </w:r>
      <w:bookmarkStart w:id="1" w:name="36"/>
      <w:r w:rsidR="00215367" w:rsidRPr="00E9098B">
        <w:rPr>
          <w:rFonts w:ascii="Arial" w:eastAsia="Calibri" w:hAnsi="Arial" w:cs="Arial"/>
          <w:b/>
          <w:i/>
          <w:sz w:val="22"/>
          <w:szCs w:val="22"/>
          <w:lang w:eastAsia="en-US"/>
        </w:rPr>
        <w:t> </w:t>
      </w:r>
      <w:bookmarkEnd w:id="1"/>
      <w:r w:rsidR="00215367" w:rsidRPr="00E9098B">
        <w:rPr>
          <w:rFonts w:ascii="Arial" w:eastAsia="Calibri" w:hAnsi="Arial" w:cs="Arial"/>
          <w:b/>
          <w:i/>
          <w:sz w:val="22"/>
          <w:szCs w:val="22"/>
          <w:lang w:eastAsia="en-US"/>
        </w:rPr>
        <w:t>36. Formación y examen de expedientes.</w:t>
      </w:r>
      <w:r w:rsidR="00215367" w:rsidRPr="00215367">
        <w:rPr>
          <w:rFonts w:ascii="Arial" w:eastAsia="Calibri" w:hAnsi="Arial" w:cs="Arial"/>
          <w:i/>
          <w:sz w:val="22"/>
          <w:szCs w:val="22"/>
          <w:lang w:eastAsia="en-US"/>
        </w:rPr>
        <w:t> Los documentos y diligencias relacionados con una misma actuación se organizarán en un solo expediente, al cual se acumularán, con el fin de evitar decisiones contradictorias, de oficio o a petición de interesado, cualesquiera otros que se tramiten ante la misma autoridad.</w:t>
      </w:r>
    </w:p>
    <w:p w:rsidR="002156DF" w:rsidRPr="00215367" w:rsidRDefault="002156DF" w:rsidP="009E584E">
      <w:pPr>
        <w:pStyle w:val="NormalWeb"/>
        <w:shd w:val="clear" w:color="auto" w:fill="FFFFFF"/>
        <w:spacing w:before="0" w:after="0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</w:p>
    <w:p w:rsidR="00215367" w:rsidRDefault="00215367" w:rsidP="009E584E">
      <w:pPr>
        <w:shd w:val="clear" w:color="auto" w:fill="FFFFFF"/>
        <w:spacing w:after="0" w:line="240" w:lineRule="auto"/>
        <w:jc w:val="both"/>
        <w:rPr>
          <w:rFonts w:ascii="Arial" w:hAnsi="Arial" w:cs="Arial"/>
          <w:i/>
        </w:rPr>
      </w:pPr>
      <w:r w:rsidRPr="00215367">
        <w:rPr>
          <w:rFonts w:ascii="Arial" w:hAnsi="Arial" w:cs="Arial"/>
          <w:i/>
        </w:rPr>
        <w:t>Si las actuaciones se tramitaren ante distintas autoridades, la acumulación se hará en la entidad u organismo donde se realizó la primera actuación. Si alguna de ellas se opone a la acumulación, podrá acudirse, sin más trámite, al mecanismo de definición de competencias administrativas.</w:t>
      </w:r>
    </w:p>
    <w:p w:rsidR="002156DF" w:rsidRPr="00215367" w:rsidRDefault="002156DF" w:rsidP="009E584E">
      <w:pPr>
        <w:shd w:val="clear" w:color="auto" w:fill="FFFFFF"/>
        <w:spacing w:after="0" w:line="240" w:lineRule="auto"/>
        <w:jc w:val="both"/>
        <w:rPr>
          <w:rFonts w:ascii="Arial" w:hAnsi="Arial" w:cs="Arial"/>
          <w:i/>
        </w:rPr>
      </w:pPr>
    </w:p>
    <w:p w:rsidR="00215367" w:rsidRDefault="00215367" w:rsidP="009E584E">
      <w:pPr>
        <w:shd w:val="clear" w:color="auto" w:fill="FFFFFF"/>
        <w:spacing w:after="0" w:line="240" w:lineRule="auto"/>
        <w:jc w:val="both"/>
        <w:rPr>
          <w:rFonts w:ascii="Arial" w:hAnsi="Arial" w:cs="Arial"/>
          <w:i/>
        </w:rPr>
      </w:pPr>
      <w:r w:rsidRPr="00215367">
        <w:rPr>
          <w:rFonts w:ascii="Arial" w:hAnsi="Arial" w:cs="Arial"/>
          <w:i/>
        </w:rPr>
        <w:t>Con los documentos que por mandato de la Constitución Política o de la ley tengan el carácter de reservados y obren dentro de un expediente, se hará cuaderno separado.</w:t>
      </w:r>
    </w:p>
    <w:p w:rsidR="002156DF" w:rsidRPr="00215367" w:rsidRDefault="002156DF" w:rsidP="009E584E">
      <w:pPr>
        <w:shd w:val="clear" w:color="auto" w:fill="FFFFFF"/>
        <w:spacing w:after="0" w:line="240" w:lineRule="auto"/>
        <w:jc w:val="both"/>
        <w:rPr>
          <w:rFonts w:ascii="Arial" w:hAnsi="Arial" w:cs="Arial"/>
          <w:i/>
        </w:rPr>
      </w:pPr>
    </w:p>
    <w:p w:rsidR="00215367" w:rsidRDefault="00215367" w:rsidP="009E584E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215367">
        <w:rPr>
          <w:rFonts w:ascii="Arial" w:hAnsi="Arial" w:cs="Arial"/>
          <w:i/>
        </w:rPr>
        <w:t xml:space="preserve">Cualquier persona tendrá derecho a examinar los expedientes en el estado en que se encuentren, salvo los documentos o cuadernos sujetos a reserva y a obtener copias y </w:t>
      </w:r>
      <w:r w:rsidRPr="00215367">
        <w:rPr>
          <w:rFonts w:ascii="Arial" w:hAnsi="Arial" w:cs="Arial"/>
          <w:i/>
        </w:rPr>
        <w:lastRenderedPageBreak/>
        <w:t>certificaciones sobre los mismos, las cuales se entregarán en los plazos señalados en el artículo 14.”</w:t>
      </w:r>
      <w:r w:rsidRPr="00215367">
        <w:rPr>
          <w:rFonts w:ascii="Arial" w:hAnsi="Arial" w:cs="Arial"/>
        </w:rPr>
        <w:t>.</w:t>
      </w:r>
    </w:p>
    <w:p w:rsidR="002156DF" w:rsidRPr="00215367" w:rsidRDefault="002156DF" w:rsidP="009E584E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:rsidR="00550C3B" w:rsidRPr="00A24637" w:rsidRDefault="00550C3B" w:rsidP="009E584E">
      <w:pPr>
        <w:pStyle w:val="cuerpotexto"/>
        <w:spacing w:before="0" w:after="0"/>
        <w:jc w:val="both"/>
        <w:rPr>
          <w:rFonts w:ascii="Arial" w:hAnsi="Arial" w:cs="Arial"/>
          <w:color w:val="000000"/>
          <w:sz w:val="22"/>
          <w:szCs w:val="22"/>
        </w:rPr>
      </w:pPr>
      <w:r w:rsidRPr="00A24637">
        <w:rPr>
          <w:rFonts w:ascii="Arial" w:hAnsi="Arial" w:cs="Arial"/>
          <w:sz w:val="22"/>
          <w:szCs w:val="22"/>
          <w:lang w:val="es-CO"/>
        </w:rPr>
        <w:t xml:space="preserve">En el proceso disciplinario rige igual principio </w:t>
      </w:r>
      <w:r w:rsidR="008019F5" w:rsidRPr="00A24637">
        <w:rPr>
          <w:rFonts w:ascii="Arial" w:hAnsi="Arial" w:cs="Arial"/>
          <w:sz w:val="22"/>
          <w:szCs w:val="22"/>
          <w:lang w:val="es-CO"/>
        </w:rPr>
        <w:t xml:space="preserve">- </w:t>
      </w:r>
      <w:r w:rsidRPr="00A24637">
        <w:rPr>
          <w:rFonts w:ascii="Arial" w:hAnsi="Arial" w:cs="Arial"/>
          <w:sz w:val="22"/>
          <w:szCs w:val="22"/>
          <w:lang w:val="es-CO"/>
        </w:rPr>
        <w:t>Unidad procesal</w:t>
      </w:r>
      <w:r w:rsidR="008019F5" w:rsidRPr="00A24637">
        <w:rPr>
          <w:rFonts w:ascii="Arial" w:hAnsi="Arial" w:cs="Arial"/>
          <w:sz w:val="22"/>
          <w:szCs w:val="22"/>
          <w:lang w:val="es-CO"/>
        </w:rPr>
        <w:t xml:space="preserve"> - </w:t>
      </w:r>
      <w:r w:rsidRPr="00A24637">
        <w:rPr>
          <w:rFonts w:ascii="Arial" w:hAnsi="Arial" w:cs="Arial"/>
          <w:sz w:val="22"/>
          <w:szCs w:val="22"/>
          <w:lang w:val="es-CO"/>
        </w:rPr>
        <w:t xml:space="preserve">lo que implica que por cada falta, se adelantará una sola investigación; asimismo, </w:t>
      </w:r>
      <w:r w:rsidR="00E9098B">
        <w:rPr>
          <w:rFonts w:ascii="Arial" w:hAnsi="Arial" w:cs="Arial"/>
          <w:sz w:val="22"/>
          <w:szCs w:val="22"/>
          <w:lang w:val="es-CO"/>
        </w:rPr>
        <w:t xml:space="preserve">el Artículo 81 de la Ley 734 de 2002, </w:t>
      </w:r>
      <w:r w:rsidR="002156DF">
        <w:rPr>
          <w:rFonts w:ascii="Arial" w:hAnsi="Arial" w:cs="Arial"/>
          <w:sz w:val="22"/>
          <w:szCs w:val="22"/>
          <w:lang w:val="es-CO"/>
        </w:rPr>
        <w:t xml:space="preserve">determina </w:t>
      </w:r>
      <w:r w:rsidR="00E9098B">
        <w:rPr>
          <w:rFonts w:ascii="Arial" w:hAnsi="Arial" w:cs="Arial"/>
          <w:sz w:val="22"/>
          <w:szCs w:val="22"/>
          <w:lang w:val="es-CO"/>
        </w:rPr>
        <w:t xml:space="preserve">de la siguiente manera que </w:t>
      </w:r>
      <w:r w:rsidRPr="00A24637">
        <w:rPr>
          <w:rFonts w:ascii="Arial" w:hAnsi="Arial" w:cs="Arial"/>
          <w:bCs/>
          <w:spacing w:val="4"/>
          <w:sz w:val="22"/>
          <w:szCs w:val="22"/>
        </w:rPr>
        <w:t>las faltas conexas, se i</w:t>
      </w:r>
      <w:r w:rsidR="008019F5" w:rsidRPr="00A24637">
        <w:rPr>
          <w:rFonts w:ascii="Arial" w:hAnsi="Arial" w:cs="Arial"/>
          <w:bCs/>
          <w:spacing w:val="4"/>
          <w:sz w:val="22"/>
          <w:szCs w:val="22"/>
        </w:rPr>
        <w:t>nvestigarán de manera conjunta</w:t>
      </w:r>
      <w:r w:rsidR="00E9098B">
        <w:rPr>
          <w:rFonts w:ascii="Arial" w:hAnsi="Arial" w:cs="Arial"/>
          <w:bCs/>
          <w:spacing w:val="4"/>
          <w:sz w:val="22"/>
          <w:szCs w:val="22"/>
        </w:rPr>
        <w:t>:</w:t>
      </w:r>
    </w:p>
    <w:p w:rsidR="00F420B6" w:rsidRPr="00A24637" w:rsidRDefault="00F420B6" w:rsidP="009E584E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550C3B" w:rsidRPr="00A24637" w:rsidRDefault="00550C3B" w:rsidP="009E584E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  <w:r w:rsidRPr="00DE03D1">
        <w:rPr>
          <w:rFonts w:ascii="Arial" w:eastAsia="Arial" w:hAnsi="Arial" w:cs="Arial"/>
          <w:b/>
          <w:bCs/>
          <w:i/>
          <w:sz w:val="22"/>
          <w:szCs w:val="22"/>
        </w:rPr>
        <w:t>“</w:t>
      </w:r>
      <w:r w:rsidRPr="00DE03D1">
        <w:rPr>
          <w:rFonts w:ascii="Arial" w:eastAsia="Times New Roman" w:hAnsi="Arial" w:cs="Arial"/>
          <w:b/>
          <w:bCs/>
          <w:i/>
          <w:sz w:val="22"/>
          <w:szCs w:val="22"/>
          <w:lang w:val="es-CO"/>
        </w:rPr>
        <w:t>A</w:t>
      </w:r>
      <w:r w:rsidRPr="00A24637">
        <w:rPr>
          <w:rFonts w:ascii="Arial" w:eastAsia="Times New Roman" w:hAnsi="Arial" w:cs="Arial"/>
          <w:b/>
          <w:bCs/>
          <w:i/>
          <w:sz w:val="22"/>
          <w:szCs w:val="22"/>
          <w:lang w:val="es-CO"/>
        </w:rPr>
        <w:t>RTÍCULO 81. C</w:t>
      </w:r>
      <w:r w:rsidR="00E9098B" w:rsidRPr="00A24637">
        <w:rPr>
          <w:rFonts w:ascii="Arial" w:eastAsia="Times New Roman" w:hAnsi="Arial" w:cs="Arial"/>
          <w:b/>
          <w:bCs/>
          <w:i/>
          <w:sz w:val="22"/>
          <w:szCs w:val="22"/>
          <w:lang w:val="es-CO"/>
        </w:rPr>
        <w:t>ompetencia por razón de la conexidad</w:t>
      </w:r>
      <w:r w:rsidRPr="00A24637">
        <w:rPr>
          <w:rFonts w:ascii="Arial" w:eastAsia="Times New Roman" w:hAnsi="Arial" w:cs="Arial"/>
          <w:bCs/>
          <w:i/>
          <w:sz w:val="22"/>
          <w:szCs w:val="22"/>
          <w:lang w:val="es-CO"/>
        </w:rPr>
        <w:t>. Cuando un servidor público cometa varias faltas disciplinarias conexas, se investigarán y decidirán en un solo proceso</w:t>
      </w:r>
      <w:r w:rsidRPr="00A24637">
        <w:rPr>
          <w:rFonts w:ascii="Arial" w:hAnsi="Arial" w:cs="Arial"/>
          <w:sz w:val="22"/>
          <w:szCs w:val="22"/>
        </w:rPr>
        <w:t xml:space="preserve">. </w:t>
      </w:r>
    </w:p>
    <w:p w:rsidR="00550C3B" w:rsidRPr="00A24637" w:rsidRDefault="00550C3B" w:rsidP="009E584E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550C3B" w:rsidRPr="00A24637" w:rsidRDefault="00550C3B" w:rsidP="009E584E">
      <w:pPr>
        <w:pStyle w:val="NormalWeb"/>
        <w:spacing w:before="0" w:after="0"/>
        <w:jc w:val="both"/>
        <w:rPr>
          <w:rFonts w:ascii="Arial" w:hAnsi="Arial" w:cs="Arial"/>
          <w:bCs/>
          <w:spacing w:val="4"/>
          <w:sz w:val="22"/>
          <w:szCs w:val="22"/>
        </w:rPr>
      </w:pPr>
      <w:r w:rsidRPr="00A24637">
        <w:rPr>
          <w:rFonts w:ascii="Arial" w:hAnsi="Arial" w:cs="Arial"/>
          <w:i/>
          <w:sz w:val="22"/>
          <w:szCs w:val="22"/>
        </w:rPr>
        <w:t>Cuando varios servidores públicos de la misma entidad participen en la comisión de una falta o de varias que sean conexas, se investigarán y decidirán en el mismo proceso, por quien tenga la competencia para juzgar al de mayor jerarquía</w:t>
      </w:r>
      <w:r w:rsidR="00E9098B">
        <w:rPr>
          <w:rFonts w:ascii="Arial" w:hAnsi="Arial" w:cs="Arial"/>
          <w:sz w:val="22"/>
          <w:szCs w:val="22"/>
        </w:rPr>
        <w:t>”.</w:t>
      </w:r>
    </w:p>
    <w:p w:rsidR="00550C3B" w:rsidRPr="00A24637" w:rsidRDefault="00550C3B" w:rsidP="009E584E">
      <w:pPr>
        <w:pStyle w:val="cuerpotexto"/>
        <w:spacing w:before="0" w:after="0"/>
        <w:jc w:val="both"/>
        <w:rPr>
          <w:rFonts w:ascii="Arial" w:hAnsi="Arial" w:cs="Arial"/>
          <w:bCs/>
          <w:spacing w:val="4"/>
          <w:sz w:val="22"/>
          <w:szCs w:val="22"/>
        </w:rPr>
      </w:pPr>
    </w:p>
    <w:p w:rsidR="00550C3B" w:rsidRPr="00A24637" w:rsidRDefault="00550C3B" w:rsidP="009E584E">
      <w:pPr>
        <w:spacing w:after="0" w:line="240" w:lineRule="auto"/>
        <w:jc w:val="both"/>
        <w:rPr>
          <w:rFonts w:ascii="Times New Roman" w:hAnsi="Times New Roman"/>
        </w:rPr>
      </w:pPr>
      <w:r w:rsidRPr="00A24637">
        <w:rPr>
          <w:rFonts w:ascii="Arial" w:hAnsi="Arial" w:cs="Arial"/>
          <w:color w:val="000000"/>
        </w:rPr>
        <w:t>(</w:t>
      </w:r>
      <w:r w:rsidRPr="00A24637">
        <w:rPr>
          <w:rFonts w:ascii="Arial" w:hAnsi="Arial" w:cs="Arial"/>
          <w:b/>
          <w:i/>
          <w:color w:val="000000"/>
        </w:rPr>
        <w:t xml:space="preserve">Es necesario determinar los hechos materia de indagación o investigación en los expedientes respecto de los cuales se solicita la acumulación, así como las razones que argumenta el </w:t>
      </w:r>
      <w:r w:rsidR="00F420B6" w:rsidRPr="00A24637">
        <w:rPr>
          <w:rFonts w:ascii="Arial" w:hAnsi="Arial" w:cs="Arial"/>
          <w:b/>
          <w:i/>
          <w:color w:val="000000"/>
        </w:rPr>
        <w:t xml:space="preserve">indagado, </w:t>
      </w:r>
      <w:r w:rsidRPr="00A24637">
        <w:rPr>
          <w:rFonts w:ascii="Arial" w:hAnsi="Arial" w:cs="Arial"/>
          <w:b/>
          <w:i/>
          <w:color w:val="000000"/>
        </w:rPr>
        <w:t xml:space="preserve">investigado </w:t>
      </w:r>
      <w:r w:rsidR="00F420B6" w:rsidRPr="00A24637">
        <w:rPr>
          <w:rFonts w:ascii="Arial" w:hAnsi="Arial" w:cs="Arial"/>
          <w:b/>
          <w:i/>
          <w:color w:val="000000"/>
        </w:rPr>
        <w:t xml:space="preserve">o el Despacho </w:t>
      </w:r>
      <w:r w:rsidRPr="00A24637">
        <w:rPr>
          <w:rFonts w:ascii="Arial" w:hAnsi="Arial" w:cs="Arial"/>
          <w:b/>
          <w:i/>
          <w:color w:val="000000"/>
        </w:rPr>
        <w:t>para solicitar la acumulación si es del caso</w:t>
      </w:r>
      <w:r w:rsidRPr="00A24637">
        <w:rPr>
          <w:rFonts w:ascii="Arial" w:hAnsi="Arial" w:cs="Arial"/>
          <w:color w:val="000000"/>
        </w:rPr>
        <w:t>).</w:t>
      </w: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  <w:r w:rsidRPr="00A24637">
        <w:rPr>
          <w:sz w:val="22"/>
          <w:szCs w:val="22"/>
          <w:lang w:val="es-ES"/>
        </w:rPr>
        <w:t xml:space="preserve">Por lo anterior se hace necesario acumular estas actuaciones, razón por la cual se ordena la incorporación del </w:t>
      </w:r>
      <w:r w:rsidR="00101944" w:rsidRPr="00A24637">
        <w:rPr>
          <w:sz w:val="22"/>
          <w:szCs w:val="22"/>
          <w:lang w:val="es-ES"/>
        </w:rPr>
        <w:t xml:space="preserve">Expediente </w:t>
      </w:r>
      <w:r w:rsidR="008019F5" w:rsidRPr="00A24637">
        <w:rPr>
          <w:sz w:val="22"/>
          <w:szCs w:val="22"/>
          <w:lang w:val="es-ES"/>
        </w:rPr>
        <w:t xml:space="preserve">No. </w:t>
      </w:r>
      <w:r w:rsidRPr="00A24637">
        <w:rPr>
          <w:sz w:val="22"/>
          <w:szCs w:val="22"/>
          <w:lang w:val="es-ES"/>
        </w:rPr>
        <w:t>(</w:t>
      </w:r>
      <w:r w:rsidRPr="00A24637">
        <w:rPr>
          <w:b/>
          <w:i/>
          <w:sz w:val="22"/>
          <w:szCs w:val="22"/>
          <w:lang w:val="es-ES"/>
        </w:rPr>
        <w:t>N</w:t>
      </w:r>
      <w:r w:rsidR="008019F5" w:rsidRPr="00A24637">
        <w:rPr>
          <w:b/>
          <w:i/>
          <w:sz w:val="22"/>
          <w:szCs w:val="22"/>
          <w:lang w:val="es-ES"/>
        </w:rPr>
        <w:t>úmero</w:t>
      </w:r>
      <w:r w:rsidRPr="00A24637">
        <w:rPr>
          <w:b/>
          <w:i/>
          <w:sz w:val="22"/>
          <w:szCs w:val="22"/>
          <w:lang w:val="es-ES"/>
        </w:rPr>
        <w:t xml:space="preserve"> del expediente más reciente o que se encuentre menos avanzado procesalmente</w:t>
      </w:r>
      <w:r w:rsidRPr="00A24637">
        <w:rPr>
          <w:sz w:val="22"/>
          <w:szCs w:val="22"/>
          <w:lang w:val="es-ES"/>
        </w:rPr>
        <w:t xml:space="preserve">) al </w:t>
      </w:r>
      <w:r w:rsidR="00101944" w:rsidRPr="00A24637">
        <w:rPr>
          <w:sz w:val="22"/>
          <w:szCs w:val="22"/>
          <w:lang w:val="es-ES"/>
        </w:rPr>
        <w:t xml:space="preserve">Expediente </w:t>
      </w:r>
      <w:r w:rsidR="008019F5" w:rsidRPr="00A24637">
        <w:rPr>
          <w:sz w:val="22"/>
          <w:szCs w:val="22"/>
          <w:lang w:val="es-ES"/>
        </w:rPr>
        <w:t>No.</w:t>
      </w:r>
      <w:r w:rsidRPr="00A24637">
        <w:rPr>
          <w:sz w:val="22"/>
          <w:szCs w:val="22"/>
          <w:lang w:val="es-ES"/>
        </w:rPr>
        <w:t xml:space="preserve"> (</w:t>
      </w:r>
      <w:r w:rsidRPr="00A24637">
        <w:rPr>
          <w:b/>
          <w:i/>
          <w:sz w:val="22"/>
          <w:szCs w:val="22"/>
          <w:lang w:val="es-ES"/>
        </w:rPr>
        <w:t>N</w:t>
      </w:r>
      <w:r w:rsidR="008019F5" w:rsidRPr="00A24637">
        <w:rPr>
          <w:b/>
          <w:i/>
          <w:sz w:val="22"/>
          <w:szCs w:val="22"/>
          <w:lang w:val="es-ES"/>
        </w:rPr>
        <w:t>úmero</w:t>
      </w:r>
      <w:r w:rsidRPr="00A24637">
        <w:rPr>
          <w:b/>
          <w:i/>
          <w:sz w:val="22"/>
          <w:szCs w:val="22"/>
          <w:lang w:val="es-ES"/>
        </w:rPr>
        <w:t xml:space="preserve"> del expediente que recibe las diligencias</w:t>
      </w:r>
      <w:r w:rsidRPr="00A24637">
        <w:rPr>
          <w:sz w:val="22"/>
          <w:szCs w:val="22"/>
          <w:lang w:val="es-ES"/>
        </w:rPr>
        <w:t>), donde se continuará el procedimiento.</w:t>
      </w: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</w:p>
    <w:p w:rsidR="00C136A7" w:rsidRDefault="00C136A7" w:rsidP="00C136A7">
      <w:pPr>
        <w:pStyle w:val="Textoindependiente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Comun</w:t>
      </w:r>
      <w:r w:rsidR="00C41866">
        <w:rPr>
          <w:sz w:val="22"/>
          <w:szCs w:val="22"/>
          <w:lang w:val="es-ES"/>
        </w:rPr>
        <w:t>í</w:t>
      </w:r>
      <w:r>
        <w:rPr>
          <w:sz w:val="22"/>
          <w:szCs w:val="22"/>
          <w:lang w:val="es-ES"/>
        </w:rPr>
        <w:t>que</w:t>
      </w:r>
      <w:r w:rsidR="00C41866">
        <w:rPr>
          <w:sz w:val="22"/>
          <w:szCs w:val="22"/>
          <w:lang w:val="es-ES"/>
        </w:rPr>
        <w:t>se</w:t>
      </w:r>
      <w:r>
        <w:rPr>
          <w:sz w:val="22"/>
          <w:szCs w:val="22"/>
          <w:lang w:val="es-ES"/>
        </w:rPr>
        <w:t xml:space="preserve"> la presente decisión a </w:t>
      </w:r>
      <w:r w:rsidRPr="00C60FB3">
        <w:rPr>
          <w:b/>
          <w:i/>
          <w:sz w:val="22"/>
          <w:szCs w:val="22"/>
          <w:lang w:val="es-ES"/>
        </w:rPr>
        <w:t>(xxx)</w:t>
      </w:r>
      <w:r>
        <w:rPr>
          <w:sz w:val="22"/>
          <w:szCs w:val="22"/>
          <w:lang w:val="es-ES"/>
        </w:rPr>
        <w:t xml:space="preserve"> en su calidad de implicado, informándole que contra la misma no procede recurso alguno.  </w:t>
      </w:r>
    </w:p>
    <w:p w:rsidR="00550C3B" w:rsidRPr="00A24637" w:rsidRDefault="00550C3B" w:rsidP="009E584E">
      <w:pPr>
        <w:pStyle w:val="Textoindependiente"/>
        <w:rPr>
          <w:sz w:val="22"/>
          <w:szCs w:val="22"/>
          <w:lang w:val="es-ES"/>
        </w:rPr>
      </w:pPr>
    </w:p>
    <w:p w:rsidR="00F420B6" w:rsidRPr="00A24637" w:rsidRDefault="00F420B6" w:rsidP="009E584E">
      <w:pPr>
        <w:pStyle w:val="Textoindependiente"/>
        <w:rPr>
          <w:sz w:val="22"/>
          <w:szCs w:val="22"/>
          <w:lang w:val="es-ES"/>
        </w:rPr>
      </w:pPr>
    </w:p>
    <w:p w:rsidR="00550C3B" w:rsidRPr="00A24637" w:rsidRDefault="008019F5" w:rsidP="009E584E">
      <w:pPr>
        <w:pStyle w:val="Textoindependiente"/>
        <w:jc w:val="center"/>
        <w:rPr>
          <w:b/>
          <w:sz w:val="22"/>
          <w:szCs w:val="22"/>
          <w:lang w:val="es-ES"/>
        </w:rPr>
      </w:pPr>
      <w:r w:rsidRPr="00A24637">
        <w:rPr>
          <w:b/>
          <w:sz w:val="22"/>
          <w:szCs w:val="22"/>
          <w:lang w:val="es-ES"/>
        </w:rPr>
        <w:t>COMUNÍ</w:t>
      </w:r>
      <w:r w:rsidR="00550C3B" w:rsidRPr="00A24637">
        <w:rPr>
          <w:b/>
          <w:sz w:val="22"/>
          <w:szCs w:val="22"/>
          <w:lang w:val="es-ES"/>
        </w:rPr>
        <w:t>QUESE Y C</w:t>
      </w:r>
      <w:r w:rsidRPr="00A24637">
        <w:rPr>
          <w:b/>
          <w:sz w:val="22"/>
          <w:szCs w:val="22"/>
          <w:lang w:val="es-ES"/>
        </w:rPr>
        <w:t>Ú</w:t>
      </w:r>
      <w:r w:rsidR="00550C3B" w:rsidRPr="00A24637">
        <w:rPr>
          <w:b/>
          <w:sz w:val="22"/>
          <w:szCs w:val="22"/>
          <w:lang w:val="es-ES"/>
        </w:rPr>
        <w:t>MPLASE</w:t>
      </w:r>
      <w:r w:rsidRPr="00A24637">
        <w:rPr>
          <w:b/>
          <w:sz w:val="22"/>
          <w:szCs w:val="22"/>
          <w:lang w:val="es-ES"/>
        </w:rPr>
        <w:t>,</w:t>
      </w:r>
    </w:p>
    <w:p w:rsidR="00550C3B" w:rsidRPr="00A24637" w:rsidRDefault="00550C3B" w:rsidP="009E584E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550C3B" w:rsidRPr="00A24637" w:rsidRDefault="00550C3B" w:rsidP="009E584E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550C3B" w:rsidRPr="00A24637" w:rsidRDefault="00550C3B" w:rsidP="009E584E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550C3B" w:rsidRPr="00A24637" w:rsidRDefault="00550C3B" w:rsidP="009E584E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550C3B" w:rsidRPr="00A24637" w:rsidRDefault="00A55D32" w:rsidP="009E584E">
      <w:pPr>
        <w:spacing w:after="0" w:line="240" w:lineRule="auto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XXXXXXXXXXXXXXXXXX</w:t>
      </w:r>
    </w:p>
    <w:p w:rsidR="00550C3B" w:rsidRPr="00DE03D1" w:rsidRDefault="008019F5" w:rsidP="009E584E">
      <w:pPr>
        <w:spacing w:after="0" w:line="240" w:lineRule="auto"/>
        <w:jc w:val="center"/>
        <w:rPr>
          <w:rFonts w:ascii="Arial" w:hAnsi="Arial" w:cs="Arial"/>
        </w:rPr>
      </w:pPr>
      <w:r w:rsidRPr="00DE03D1">
        <w:rPr>
          <w:rFonts w:ascii="Arial" w:hAnsi="Arial" w:cs="Arial"/>
          <w:spacing w:val="-3"/>
        </w:rPr>
        <w:t>Jefe de la Oficina de Control Interno Disciplinario</w:t>
      </w:r>
    </w:p>
    <w:p w:rsidR="00550C3B" w:rsidRPr="00DE03D1" w:rsidRDefault="00550C3B" w:rsidP="009E584E">
      <w:pPr>
        <w:spacing w:after="0" w:line="240" w:lineRule="auto"/>
        <w:jc w:val="both"/>
        <w:rPr>
          <w:rFonts w:ascii="Arial" w:hAnsi="Arial" w:cs="Arial"/>
        </w:rPr>
      </w:pPr>
    </w:p>
    <w:p w:rsidR="008019F5" w:rsidRPr="00A24637" w:rsidRDefault="008019F5" w:rsidP="009E584E">
      <w:pPr>
        <w:spacing w:after="0" w:line="240" w:lineRule="auto"/>
        <w:jc w:val="both"/>
        <w:rPr>
          <w:rFonts w:ascii="Arial" w:hAnsi="Arial" w:cs="Arial"/>
        </w:rPr>
      </w:pPr>
    </w:p>
    <w:p w:rsidR="00AC43BF" w:rsidRPr="00A24637" w:rsidRDefault="00A24637" w:rsidP="009E584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24637">
        <w:rPr>
          <w:rFonts w:ascii="Arial" w:hAnsi="Arial" w:cs="Arial"/>
          <w:iCs/>
          <w:sz w:val="16"/>
          <w:szCs w:val="16"/>
        </w:rPr>
        <w:t>Proyectó</w:t>
      </w:r>
      <w:r w:rsidR="00DE03D1">
        <w:rPr>
          <w:rFonts w:ascii="Arial" w:hAnsi="Arial" w:cs="Arial"/>
          <w:iCs/>
          <w:sz w:val="16"/>
          <w:szCs w:val="16"/>
        </w:rPr>
        <w:t>.</w:t>
      </w:r>
      <w:r w:rsidR="00DE03D1">
        <w:rPr>
          <w:rFonts w:ascii="Arial" w:hAnsi="Arial" w:cs="Arial"/>
          <w:iCs/>
          <w:sz w:val="16"/>
          <w:szCs w:val="16"/>
        </w:rPr>
        <w:tab/>
      </w:r>
      <w:r w:rsidR="00AC43BF" w:rsidRPr="00A24637">
        <w:rPr>
          <w:rFonts w:ascii="Arial" w:hAnsi="Arial" w:cs="Arial"/>
          <w:iCs/>
          <w:sz w:val="16"/>
          <w:szCs w:val="16"/>
        </w:rPr>
        <w:t>(Nombre y cargo)</w:t>
      </w:r>
    </w:p>
    <w:p w:rsidR="00AC43BF" w:rsidRDefault="00F420B6" w:rsidP="009E584E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A24637">
        <w:rPr>
          <w:rFonts w:ascii="Arial" w:hAnsi="Arial" w:cs="Arial"/>
          <w:sz w:val="16"/>
          <w:szCs w:val="16"/>
        </w:rPr>
        <w:t>Revisó</w:t>
      </w:r>
      <w:r w:rsidR="00DE03D1">
        <w:rPr>
          <w:rFonts w:ascii="Arial" w:hAnsi="Arial" w:cs="Arial"/>
          <w:sz w:val="16"/>
          <w:szCs w:val="16"/>
        </w:rPr>
        <w:t>.</w:t>
      </w:r>
      <w:r w:rsidR="00DE03D1">
        <w:rPr>
          <w:rFonts w:ascii="Arial" w:hAnsi="Arial" w:cs="Arial"/>
          <w:sz w:val="16"/>
          <w:szCs w:val="16"/>
        </w:rPr>
        <w:tab/>
      </w:r>
      <w:r w:rsidR="00AC43BF" w:rsidRPr="00A24637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A24637" w:rsidRDefault="00DE03D1" w:rsidP="009E584E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Aprob</w:t>
      </w:r>
      <w:r w:rsidRPr="00A24637">
        <w:rPr>
          <w:rFonts w:ascii="Arial" w:hAnsi="Arial" w:cs="Arial"/>
          <w:sz w:val="16"/>
          <w:szCs w:val="16"/>
        </w:rPr>
        <w:t>ó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ab/>
      </w:r>
      <w:r w:rsidRPr="00A24637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A24637" w:rsidRDefault="00DE03D1" w:rsidP="009E584E">
      <w:pPr>
        <w:spacing w:after="0" w:line="240" w:lineRule="auto"/>
        <w:rPr>
          <w:rFonts w:ascii="Arial" w:hAnsi="Arial" w:cs="Arial"/>
          <w:iCs/>
          <w:sz w:val="16"/>
          <w:szCs w:val="16"/>
        </w:rPr>
      </w:pPr>
    </w:p>
    <w:sectPr w:rsidR="00DE03D1" w:rsidRPr="00A24637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F41" w:rsidRDefault="00C56F41">
      <w:pPr>
        <w:spacing w:after="0" w:line="240" w:lineRule="auto"/>
      </w:pPr>
      <w:r>
        <w:separator/>
      </w:r>
    </w:p>
  </w:endnote>
  <w:endnote w:type="continuationSeparator" w:id="0">
    <w:p w:rsidR="00C56F41" w:rsidRDefault="00C56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802" w:rsidRDefault="00BE480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8F23CB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63D95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8F23CB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C56F41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C56F41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C56F41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C56F41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C1127B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2</w:t>
    </w:r>
    <w:r w:rsidR="00C1127B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C1127B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2</w:t>
    </w:r>
    <w:r w:rsidR="00C1127B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C56F41" w:rsidP="0070457A"/>
  <w:p w:rsidR="0070457A" w:rsidRPr="00322B6D" w:rsidRDefault="00C56F41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802" w:rsidRDefault="00BE480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F41" w:rsidRDefault="00C56F41">
      <w:pPr>
        <w:spacing w:after="0" w:line="240" w:lineRule="auto"/>
      </w:pPr>
      <w:r>
        <w:separator/>
      </w:r>
    </w:p>
  </w:footnote>
  <w:footnote w:type="continuationSeparator" w:id="0">
    <w:p w:rsidR="00C56F41" w:rsidRDefault="00C56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802" w:rsidRDefault="00C56F4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604907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C56F41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604908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8F23C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C56F41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C56F41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8F23CB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68C5F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802" w:rsidRDefault="00C56F4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604906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11753"/>
    <w:rsid w:val="00070B1F"/>
    <w:rsid w:val="00101944"/>
    <w:rsid w:val="00146C84"/>
    <w:rsid w:val="00193A50"/>
    <w:rsid w:val="002019BB"/>
    <w:rsid w:val="002106F0"/>
    <w:rsid w:val="00215367"/>
    <w:rsid w:val="002156DF"/>
    <w:rsid w:val="002546C0"/>
    <w:rsid w:val="002B6AE5"/>
    <w:rsid w:val="00307C79"/>
    <w:rsid w:val="00323969"/>
    <w:rsid w:val="0049300F"/>
    <w:rsid w:val="0054149B"/>
    <w:rsid w:val="00550C3B"/>
    <w:rsid w:val="00556AB7"/>
    <w:rsid w:val="00591754"/>
    <w:rsid w:val="0061331E"/>
    <w:rsid w:val="00622079"/>
    <w:rsid w:val="00630F8A"/>
    <w:rsid w:val="00631E13"/>
    <w:rsid w:val="00640B34"/>
    <w:rsid w:val="00650D14"/>
    <w:rsid w:val="00676DC2"/>
    <w:rsid w:val="00743B6A"/>
    <w:rsid w:val="007F06EE"/>
    <w:rsid w:val="008019F5"/>
    <w:rsid w:val="008F23CB"/>
    <w:rsid w:val="00955122"/>
    <w:rsid w:val="009A16E1"/>
    <w:rsid w:val="009B0489"/>
    <w:rsid w:val="009E584E"/>
    <w:rsid w:val="00A24637"/>
    <w:rsid w:val="00A55D32"/>
    <w:rsid w:val="00AB423F"/>
    <w:rsid w:val="00AB5658"/>
    <w:rsid w:val="00AC43BF"/>
    <w:rsid w:val="00B15737"/>
    <w:rsid w:val="00B3786A"/>
    <w:rsid w:val="00B81DAD"/>
    <w:rsid w:val="00B941F4"/>
    <w:rsid w:val="00BE4802"/>
    <w:rsid w:val="00C1127B"/>
    <w:rsid w:val="00C136A7"/>
    <w:rsid w:val="00C41866"/>
    <w:rsid w:val="00C56F41"/>
    <w:rsid w:val="00C95BE9"/>
    <w:rsid w:val="00CC7BF3"/>
    <w:rsid w:val="00D3771C"/>
    <w:rsid w:val="00D4108E"/>
    <w:rsid w:val="00D520E8"/>
    <w:rsid w:val="00DC44FC"/>
    <w:rsid w:val="00DE03D1"/>
    <w:rsid w:val="00DF61EC"/>
    <w:rsid w:val="00E9098B"/>
    <w:rsid w:val="00F24FB4"/>
    <w:rsid w:val="00F420B6"/>
    <w:rsid w:val="00F551A9"/>
    <w:rsid w:val="00F73A4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39BC4AAD-1470-4FFC-8AB8-94E9BDA6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2016-10-24T13:29:00Z</dcterms:created>
  <dcterms:modified xsi:type="dcterms:W3CDTF">2016-10-24T13:29:00Z</dcterms:modified>
</cp:coreProperties>
</file>