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81" w:rsidRPr="00E514DD" w:rsidRDefault="00411F81" w:rsidP="00411F81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E514DD">
        <w:rPr>
          <w:rFonts w:ascii="Arial" w:hAnsi="Arial" w:cs="Arial"/>
          <w:b/>
          <w:sz w:val="16"/>
          <w:szCs w:val="16"/>
        </w:rPr>
        <w:t>PLAN DE ACCION DEPARTAMENTAL</w:t>
      </w:r>
    </w:p>
    <w:p w:rsidR="00411F81" w:rsidRPr="00E514DD" w:rsidRDefault="00411F81" w:rsidP="00411F81">
      <w:pPr>
        <w:jc w:val="center"/>
        <w:rPr>
          <w:rFonts w:ascii="Arial" w:hAnsi="Arial" w:cs="Arial"/>
          <w:b/>
          <w:sz w:val="16"/>
          <w:szCs w:val="16"/>
        </w:rPr>
      </w:pPr>
      <w:r w:rsidRPr="00E514DD">
        <w:rPr>
          <w:rFonts w:ascii="Arial" w:hAnsi="Arial" w:cs="Arial"/>
          <w:b/>
          <w:sz w:val="16"/>
          <w:szCs w:val="16"/>
        </w:rPr>
        <w:t>SISTEMA NACIONAL DE COORDINACION DE RESPOSABILIDAD PENAL PARA ADOLESCENTES – SNCRPA</w:t>
      </w:r>
    </w:p>
    <w:p w:rsidR="00411F81" w:rsidRPr="00E514DD" w:rsidRDefault="00411F81" w:rsidP="00411F81">
      <w:pPr>
        <w:jc w:val="center"/>
        <w:rPr>
          <w:rFonts w:ascii="Arial" w:hAnsi="Arial" w:cs="Arial"/>
          <w:b/>
          <w:sz w:val="16"/>
          <w:szCs w:val="16"/>
        </w:rPr>
      </w:pPr>
      <w:r w:rsidRPr="00E514DD">
        <w:rPr>
          <w:rFonts w:ascii="Arial" w:hAnsi="Arial" w:cs="Arial"/>
          <w:b/>
          <w:sz w:val="16"/>
          <w:szCs w:val="16"/>
        </w:rPr>
        <w:t>2016 – 2020</w:t>
      </w:r>
    </w:p>
    <w:p w:rsidR="00411F81" w:rsidRPr="00E514DD" w:rsidRDefault="00F03E4E" w:rsidP="00411F81">
      <w:pPr>
        <w:jc w:val="center"/>
        <w:rPr>
          <w:rFonts w:ascii="Arial" w:hAnsi="Arial" w:cs="Arial"/>
          <w:b/>
          <w:sz w:val="16"/>
          <w:szCs w:val="16"/>
        </w:rPr>
      </w:pPr>
      <w:r w:rsidRPr="00E514DD">
        <w:rPr>
          <w:rFonts w:ascii="Arial" w:hAnsi="Arial" w:cs="Arial"/>
          <w:b/>
          <w:sz w:val="16"/>
          <w:szCs w:val="16"/>
        </w:rPr>
        <w:t>DEPARTAMENTO: TOLIMA</w:t>
      </w:r>
    </w:p>
    <w:p w:rsidR="00411F81" w:rsidRPr="00E514DD" w:rsidRDefault="00411F81" w:rsidP="007C0888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172"/>
        <w:gridCol w:w="311"/>
        <w:gridCol w:w="847"/>
        <w:gridCol w:w="1781"/>
        <w:gridCol w:w="851"/>
        <w:gridCol w:w="1701"/>
        <w:gridCol w:w="567"/>
        <w:gridCol w:w="567"/>
        <w:gridCol w:w="850"/>
        <w:gridCol w:w="567"/>
        <w:gridCol w:w="567"/>
        <w:gridCol w:w="709"/>
        <w:gridCol w:w="567"/>
        <w:gridCol w:w="1134"/>
        <w:gridCol w:w="709"/>
        <w:gridCol w:w="567"/>
        <w:gridCol w:w="567"/>
        <w:gridCol w:w="567"/>
        <w:gridCol w:w="666"/>
      </w:tblGrid>
      <w:tr w:rsidR="00BC1EC0" w:rsidRPr="00E514DD" w:rsidTr="00F03E4E">
        <w:tc>
          <w:tcPr>
            <w:tcW w:w="1172" w:type="dxa"/>
          </w:tcPr>
          <w:p w:rsidR="00411F81" w:rsidRPr="00186ABC" w:rsidRDefault="00411F81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ABC">
              <w:rPr>
                <w:rFonts w:ascii="Arial" w:hAnsi="Arial" w:cs="Arial"/>
                <w:b/>
                <w:sz w:val="16"/>
                <w:szCs w:val="16"/>
              </w:rPr>
              <w:t>Líneas estratégicas</w:t>
            </w:r>
          </w:p>
        </w:tc>
        <w:tc>
          <w:tcPr>
            <w:tcW w:w="311" w:type="dxa"/>
          </w:tcPr>
          <w:p w:rsidR="00411F81" w:rsidRPr="00186ABC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ABC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2628" w:type="dxa"/>
            <w:gridSpan w:val="2"/>
          </w:tcPr>
          <w:p w:rsidR="00411F81" w:rsidRPr="00186ABC" w:rsidRDefault="00411F81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ABC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  <w:r w:rsidR="001125EE"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186ABC">
              <w:rPr>
                <w:rFonts w:ascii="Arial" w:hAnsi="Arial" w:cs="Arial"/>
                <w:b/>
                <w:sz w:val="16"/>
                <w:szCs w:val="16"/>
              </w:rPr>
              <w:t>Acción</w:t>
            </w:r>
          </w:p>
        </w:tc>
        <w:tc>
          <w:tcPr>
            <w:tcW w:w="851" w:type="dxa"/>
          </w:tcPr>
          <w:p w:rsidR="00411F81" w:rsidRPr="00186ABC" w:rsidRDefault="00411F81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ABC">
              <w:rPr>
                <w:rFonts w:ascii="Arial" w:hAnsi="Arial" w:cs="Arial"/>
                <w:b/>
                <w:sz w:val="16"/>
                <w:szCs w:val="16"/>
              </w:rPr>
              <w:t>Articulación con otras entidades</w:t>
            </w:r>
          </w:p>
        </w:tc>
        <w:tc>
          <w:tcPr>
            <w:tcW w:w="1701" w:type="dxa"/>
          </w:tcPr>
          <w:p w:rsidR="00411F81" w:rsidRPr="00186ABC" w:rsidRDefault="00411F81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ABC">
              <w:rPr>
                <w:rFonts w:ascii="Arial" w:hAnsi="Arial" w:cs="Arial"/>
                <w:b/>
                <w:sz w:val="16"/>
                <w:szCs w:val="16"/>
              </w:rPr>
              <w:t>Entregable</w:t>
            </w:r>
          </w:p>
        </w:tc>
        <w:tc>
          <w:tcPr>
            <w:tcW w:w="567" w:type="dxa"/>
          </w:tcPr>
          <w:p w:rsidR="00411F81" w:rsidRPr="00F03E4E" w:rsidRDefault="00411F81" w:rsidP="00112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03E4E">
              <w:rPr>
                <w:rFonts w:ascii="Arial" w:hAnsi="Arial" w:cs="Arial"/>
                <w:b/>
                <w:sz w:val="14"/>
                <w:szCs w:val="14"/>
              </w:rPr>
              <w:t>Meta</w:t>
            </w:r>
          </w:p>
        </w:tc>
        <w:tc>
          <w:tcPr>
            <w:tcW w:w="567" w:type="dxa"/>
          </w:tcPr>
          <w:p w:rsidR="00411F81" w:rsidRPr="00F03E4E" w:rsidRDefault="00411F81" w:rsidP="00112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03E4E">
              <w:rPr>
                <w:rFonts w:ascii="Arial" w:hAnsi="Arial" w:cs="Arial"/>
                <w:b/>
                <w:sz w:val="14"/>
                <w:szCs w:val="14"/>
              </w:rPr>
              <w:t>Indicador</w:t>
            </w:r>
          </w:p>
        </w:tc>
        <w:tc>
          <w:tcPr>
            <w:tcW w:w="850" w:type="dxa"/>
          </w:tcPr>
          <w:p w:rsidR="00411F81" w:rsidRPr="00F03E4E" w:rsidRDefault="00411F81" w:rsidP="00112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03E4E">
              <w:rPr>
                <w:rFonts w:ascii="Arial" w:hAnsi="Arial" w:cs="Arial"/>
                <w:b/>
                <w:sz w:val="14"/>
                <w:szCs w:val="14"/>
              </w:rPr>
              <w:t>Responsable</w:t>
            </w:r>
          </w:p>
        </w:tc>
        <w:tc>
          <w:tcPr>
            <w:tcW w:w="567" w:type="dxa"/>
          </w:tcPr>
          <w:p w:rsidR="00411F81" w:rsidRPr="00F03E4E" w:rsidRDefault="00411F81" w:rsidP="00112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03E4E">
              <w:rPr>
                <w:rFonts w:ascii="Arial" w:hAnsi="Arial" w:cs="Arial"/>
                <w:b/>
                <w:sz w:val="14"/>
                <w:szCs w:val="14"/>
              </w:rPr>
              <w:t>plazo</w:t>
            </w:r>
          </w:p>
        </w:tc>
        <w:tc>
          <w:tcPr>
            <w:tcW w:w="567" w:type="dxa"/>
          </w:tcPr>
          <w:p w:rsidR="00411F81" w:rsidRPr="00F03E4E" w:rsidRDefault="00411F81" w:rsidP="00112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03E4E">
              <w:rPr>
                <w:rFonts w:ascii="Arial" w:hAnsi="Arial" w:cs="Arial"/>
                <w:b/>
                <w:sz w:val="14"/>
                <w:szCs w:val="14"/>
              </w:rPr>
              <w:t>Fecha de inicio</w:t>
            </w:r>
          </w:p>
        </w:tc>
        <w:tc>
          <w:tcPr>
            <w:tcW w:w="709" w:type="dxa"/>
          </w:tcPr>
          <w:p w:rsidR="00411F81" w:rsidRPr="00F03E4E" w:rsidRDefault="00411F81" w:rsidP="00112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03E4E">
              <w:rPr>
                <w:rFonts w:ascii="Arial" w:hAnsi="Arial" w:cs="Arial"/>
                <w:b/>
                <w:sz w:val="14"/>
                <w:szCs w:val="14"/>
              </w:rPr>
              <w:t>Fecha de fin</w:t>
            </w:r>
          </w:p>
        </w:tc>
        <w:tc>
          <w:tcPr>
            <w:tcW w:w="567" w:type="dxa"/>
          </w:tcPr>
          <w:p w:rsidR="00411F81" w:rsidRPr="00F03E4E" w:rsidRDefault="00411F81" w:rsidP="00112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03E4E">
              <w:rPr>
                <w:rFonts w:ascii="Arial" w:hAnsi="Arial" w:cs="Arial"/>
                <w:b/>
                <w:sz w:val="14"/>
                <w:szCs w:val="14"/>
              </w:rPr>
              <w:t>costo</w:t>
            </w:r>
          </w:p>
        </w:tc>
        <w:tc>
          <w:tcPr>
            <w:tcW w:w="1134" w:type="dxa"/>
          </w:tcPr>
          <w:p w:rsidR="00411F81" w:rsidRPr="00F03E4E" w:rsidRDefault="00411F81" w:rsidP="001125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03E4E">
              <w:rPr>
                <w:rFonts w:ascii="Arial" w:hAnsi="Arial" w:cs="Arial"/>
                <w:b/>
                <w:sz w:val="14"/>
                <w:szCs w:val="14"/>
              </w:rPr>
              <w:t>Fuente de financiación</w:t>
            </w:r>
          </w:p>
        </w:tc>
        <w:tc>
          <w:tcPr>
            <w:tcW w:w="2410" w:type="dxa"/>
            <w:gridSpan w:val="4"/>
          </w:tcPr>
          <w:p w:rsidR="00411F81" w:rsidRPr="00186ABC" w:rsidRDefault="00411F81" w:rsidP="001125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6ABC">
              <w:rPr>
                <w:rFonts w:ascii="Arial" w:hAnsi="Arial" w:cs="Arial"/>
                <w:b/>
                <w:sz w:val="16"/>
                <w:szCs w:val="16"/>
              </w:rPr>
              <w:t>avances</w:t>
            </w:r>
          </w:p>
        </w:tc>
        <w:tc>
          <w:tcPr>
            <w:tcW w:w="666" w:type="dxa"/>
          </w:tcPr>
          <w:p w:rsidR="00411F81" w:rsidRPr="00186ABC" w:rsidRDefault="00411F81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ABC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BC1EC0" w:rsidRPr="00E514DD" w:rsidTr="00F03E4E">
        <w:tc>
          <w:tcPr>
            <w:tcW w:w="1172" w:type="dxa"/>
          </w:tcPr>
          <w:p w:rsidR="007B4104" w:rsidRPr="00E514DD" w:rsidRDefault="007B4104" w:rsidP="00BC1EC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sz w:val="16"/>
                <w:szCs w:val="16"/>
              </w:rPr>
              <w:t>Definición general</w:t>
            </w:r>
          </w:p>
        </w:tc>
        <w:tc>
          <w:tcPr>
            <w:tcW w:w="1781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sz w:val="16"/>
                <w:szCs w:val="16"/>
              </w:rPr>
              <w:t>Descripción detalladle o sub actividad</w:t>
            </w:r>
          </w:p>
        </w:tc>
        <w:tc>
          <w:tcPr>
            <w:tcW w:w="851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sz w:val="16"/>
                <w:szCs w:val="16"/>
              </w:rPr>
              <w:t>Fecha de medición</w:t>
            </w:r>
          </w:p>
        </w:tc>
        <w:tc>
          <w:tcPr>
            <w:tcW w:w="56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sz w:val="16"/>
                <w:szCs w:val="16"/>
              </w:rPr>
              <w:t>Avance previsto</w:t>
            </w:r>
          </w:p>
        </w:tc>
        <w:tc>
          <w:tcPr>
            <w:tcW w:w="56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sz w:val="16"/>
                <w:szCs w:val="16"/>
              </w:rPr>
              <w:t>Avance real</w:t>
            </w:r>
          </w:p>
        </w:tc>
        <w:tc>
          <w:tcPr>
            <w:tcW w:w="567" w:type="dxa"/>
          </w:tcPr>
          <w:p w:rsidR="007B4104" w:rsidRPr="00E514DD" w:rsidRDefault="007B4104" w:rsidP="001125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sz w:val="16"/>
                <w:szCs w:val="16"/>
              </w:rPr>
              <w:t>semáforo</w:t>
            </w:r>
          </w:p>
        </w:tc>
        <w:tc>
          <w:tcPr>
            <w:tcW w:w="666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255"/>
        </w:trPr>
        <w:tc>
          <w:tcPr>
            <w:tcW w:w="1172" w:type="dxa"/>
            <w:vMerge w:val="restart"/>
          </w:tcPr>
          <w:p w:rsidR="007B4104" w:rsidRPr="00E514DD" w:rsidRDefault="00A05385" w:rsidP="00BC1E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 </w:t>
            </w:r>
            <w:r w:rsidR="007B4104"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Diseño y formulación de políticas</w:t>
            </w:r>
          </w:p>
        </w:tc>
        <w:tc>
          <w:tcPr>
            <w:tcW w:w="311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28" w:type="dxa"/>
            <w:gridSpan w:val="2"/>
          </w:tcPr>
          <w:p w:rsidR="007B4104" w:rsidRPr="00E514DD" w:rsidRDefault="00E514DD" w:rsidP="002735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Infraestructura</w:t>
            </w:r>
            <w:r w:rsidR="002735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 w:rsidR="00273523" w:rsidRPr="002735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se realizara la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inversión de recursos</w:t>
            </w:r>
            <w:r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por el ICBF, Gobernación y Alcaldía</w:t>
            </w:r>
            <w:r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7B4104" w:rsidRPr="00E514DD" w:rsidRDefault="00482F6A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Gobernacion, Alcaldia, ICBF</w:t>
            </w:r>
          </w:p>
        </w:tc>
        <w:tc>
          <w:tcPr>
            <w:tcW w:w="1701" w:type="dxa"/>
          </w:tcPr>
          <w:p w:rsidR="007B4104" w:rsidRPr="00E514D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Adecuaciones en el IPLAR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B4104" w:rsidRPr="00E514D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Gobernacion, Alcaldia, ICBF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252"/>
        </w:trPr>
        <w:tc>
          <w:tcPr>
            <w:tcW w:w="1172" w:type="dxa"/>
            <w:vMerge/>
          </w:tcPr>
          <w:p w:rsidR="007B4104" w:rsidRPr="00E514DD" w:rsidRDefault="007B4104" w:rsidP="00BC1EC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28" w:type="dxa"/>
            <w:gridSpan w:val="2"/>
          </w:tcPr>
          <w:p w:rsidR="007B4104" w:rsidRPr="00E514DD" w:rsidRDefault="00E514DD" w:rsidP="00B92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Modelo de atención especializada en </w:t>
            </w:r>
            <w:r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salud</w:t>
            </w:r>
            <w:r w:rsidR="0027352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2735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 realizaran 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jornadas de salud</w:t>
            </w:r>
            <w:r w:rsidR="002735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trimestralmente, 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la </w:t>
            </w:r>
            <w:r w:rsidR="002735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fecha de la 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primera se definirá </w:t>
            </w:r>
            <w:r w:rsidR="002735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en la mesa de salud organizada por el ICBF el 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 de abril</w:t>
            </w:r>
            <w:r w:rsidR="002735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en la Regional Tolima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</w:t>
            </w:r>
            <w:r w:rsidR="00B921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la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Gobernación, Alcaldía, FEI, </w:t>
            </w:r>
            <w:r w:rsidR="00B921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en temas de 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prevención, tratamiento en consumo de SPA.  </w:t>
            </w:r>
          </w:p>
        </w:tc>
        <w:tc>
          <w:tcPr>
            <w:tcW w:w="851" w:type="dxa"/>
          </w:tcPr>
          <w:p w:rsidR="007B4104" w:rsidRPr="00E514DD" w:rsidRDefault="00482F6A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Gobernación, Alcaldía, FEI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7B4104" w:rsidRPr="00E514D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Actas de las jornadas de salud.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B4104" w:rsidRPr="00E514D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Gobernación, Alcaldía, FEI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252"/>
        </w:trPr>
        <w:tc>
          <w:tcPr>
            <w:tcW w:w="1172" w:type="dxa"/>
            <w:vMerge/>
          </w:tcPr>
          <w:p w:rsidR="007B4104" w:rsidRPr="00E514DD" w:rsidRDefault="007B4104" w:rsidP="00BC1EC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28" w:type="dxa"/>
            <w:gridSpan w:val="2"/>
          </w:tcPr>
          <w:p w:rsidR="007B4104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Política pública de prevención de la delincuencia juvenil</w:t>
            </w:r>
            <w:r w:rsidR="00B37098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el consejo superio</w:t>
            </w:r>
            <w:r w:rsidR="00482F6A">
              <w:rPr>
                <w:rFonts w:ascii="Arial" w:hAnsi="Arial" w:cs="Arial"/>
                <w:color w:val="000000"/>
                <w:sz w:val="16"/>
                <w:szCs w:val="16"/>
              </w:rPr>
              <w:t>r de política criminal, lidera</w:t>
            </w:r>
            <w:r w:rsidR="00B37098">
              <w:rPr>
                <w:rFonts w:ascii="Arial" w:hAnsi="Arial" w:cs="Arial"/>
                <w:color w:val="000000"/>
                <w:sz w:val="16"/>
                <w:szCs w:val="16"/>
              </w:rPr>
              <w:t>da por la</w:t>
            </w:r>
            <w:r w:rsidR="00482F6A">
              <w:rPr>
                <w:rFonts w:ascii="Arial" w:hAnsi="Arial" w:cs="Arial"/>
                <w:color w:val="000000"/>
                <w:sz w:val="16"/>
                <w:szCs w:val="16"/>
              </w:rPr>
              <w:t xml:space="preserve"> G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obernación del Tolima.</w:t>
            </w:r>
          </w:p>
        </w:tc>
        <w:tc>
          <w:tcPr>
            <w:tcW w:w="851" w:type="dxa"/>
          </w:tcPr>
          <w:p w:rsidR="007B4104" w:rsidRPr="00E514DD" w:rsidRDefault="00482F6A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obernación del Tolima.</w:t>
            </w:r>
          </w:p>
        </w:tc>
        <w:tc>
          <w:tcPr>
            <w:tcW w:w="1701" w:type="dxa"/>
          </w:tcPr>
          <w:p w:rsidR="007B4104" w:rsidRPr="00E514D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Implementación de la PP con los respectivos avances socializados en el comité departamental del SRPA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B4104" w:rsidRPr="00E514D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obernación del Tolima.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7B4104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75C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75C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75CD" w:rsidRPr="00E514DD" w:rsidRDefault="004775C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252"/>
        </w:trPr>
        <w:tc>
          <w:tcPr>
            <w:tcW w:w="1172" w:type="dxa"/>
            <w:vMerge/>
          </w:tcPr>
          <w:p w:rsidR="007B4104" w:rsidRPr="00E514DD" w:rsidRDefault="007B4104" w:rsidP="00BC1EC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</w:tcPr>
          <w:p w:rsidR="007B4104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28" w:type="dxa"/>
            <w:gridSpan w:val="2"/>
          </w:tcPr>
          <w:p w:rsidR="007B4104" w:rsidRPr="00E514DD" w:rsidRDefault="00E514DD" w:rsidP="00A958F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Educación</w:t>
            </w:r>
            <w:r w:rsidR="00A958F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la implementación del decreto 2883 de 2015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la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secretaria de Educación Departamental, 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 xml:space="preserve">la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gestión de becas universitarias para la vigencia 2017 en estudios técnicos, tec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>nológicos y universitarios por G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obernación del Tolima. Se </w:t>
            </w:r>
            <w:proofErr w:type="gramStart"/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continua</w:t>
            </w:r>
            <w:proofErr w:type="gramEnd"/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la gestión de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becas con ASCUN por parte del ICBF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 xml:space="preserve"> y se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elevar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parte del comité departamental del SRPA la solicitud de 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 xml:space="preserve">la ampliación de la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planta docente para atender primaria y secundaria de los jóvenes vinculados al SRPA 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 xml:space="preserve">a la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alcaldía, 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 xml:space="preserve">el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oficio 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 xml:space="preserve"> se proyectara por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FEI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que sea firmado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el procurador de familia</w:t>
            </w:r>
            <w:r w:rsidR="00A958F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7B4104" w:rsidRPr="00E514DD" w:rsidRDefault="00482F6A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Secretaria de Educacion departamental, ICBF, Alcaldia.</w:t>
            </w:r>
          </w:p>
        </w:tc>
        <w:tc>
          <w:tcPr>
            <w:tcW w:w="1701" w:type="dxa"/>
          </w:tcPr>
          <w:p w:rsidR="007B4104" w:rsidRDefault="003A5235" w:rsidP="003A52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775CD" w:rsidRPr="003A5235">
              <w:rPr>
                <w:rFonts w:ascii="Arial" w:hAnsi="Arial" w:cs="Arial"/>
                <w:sz w:val="16"/>
                <w:szCs w:val="16"/>
              </w:rPr>
              <w:t>Mesas de trabajo lideradas por Educacion con la participación de los entes que conforman el SRPA.</w:t>
            </w:r>
          </w:p>
          <w:p w:rsidR="003A5235" w:rsidRDefault="003A5235" w:rsidP="003A52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-La gestión de Becas se proyectara para la vigencia 2017 con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informe al comité departamental del SRPA.</w:t>
            </w:r>
          </w:p>
          <w:p w:rsidR="003A5235" w:rsidRDefault="003A5235" w:rsidP="003A52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El ICBF informara en el  comité técnico sobre los jovenes beneficiados por el convenio ASCUN – ICBF en el comité departamental del SRPA.</w:t>
            </w:r>
          </w:p>
          <w:p w:rsidR="003A5235" w:rsidRPr="003A5235" w:rsidRDefault="003A5235" w:rsidP="003A52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-El operador FEI proyectara oficio para solicitar ampliación de planta docente para el IPLAR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252"/>
        </w:trPr>
        <w:tc>
          <w:tcPr>
            <w:tcW w:w="1172" w:type="dxa"/>
            <w:vMerge/>
          </w:tcPr>
          <w:p w:rsidR="007B4104" w:rsidRPr="00E514DD" w:rsidRDefault="007B4104" w:rsidP="00BC1EC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</w:tcPr>
          <w:p w:rsidR="007B4104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28" w:type="dxa"/>
            <w:gridSpan w:val="2"/>
          </w:tcPr>
          <w:p w:rsidR="00E514DD" w:rsidRPr="00E514DD" w:rsidRDefault="00E514DD" w:rsidP="00E514DD">
            <w:pPr>
              <w:pStyle w:val="xmsolistparagraph"/>
              <w:shd w:val="clear" w:color="auto" w:fill="FFFFFF"/>
              <w:ind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- fortalecimiento de programas deportivos y culturales para la ocupación del tiempo libre, Gobernación del Tolima en lo deportivo</w:t>
            </w:r>
            <w:r w:rsidR="002E153E">
              <w:rPr>
                <w:rFonts w:ascii="Arial" w:hAnsi="Arial" w:cs="Arial"/>
                <w:color w:val="000000"/>
                <w:sz w:val="16"/>
                <w:szCs w:val="16"/>
              </w:rPr>
              <w:t xml:space="preserve"> y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Alcaldía </w:t>
            </w:r>
            <w:r w:rsidR="002E153E">
              <w:rPr>
                <w:rFonts w:ascii="Arial" w:hAnsi="Arial" w:cs="Arial"/>
                <w:color w:val="000000"/>
                <w:sz w:val="16"/>
                <w:szCs w:val="16"/>
              </w:rPr>
              <w:t xml:space="preserve">en lo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Cultural. </w:t>
            </w:r>
          </w:p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7B4104" w:rsidRPr="00E514DD" w:rsidRDefault="00482F6A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Gobernación del Tolima en lo deportivo, Alcaldía Cultural.</w:t>
            </w:r>
          </w:p>
        </w:tc>
        <w:tc>
          <w:tcPr>
            <w:tcW w:w="1701" w:type="dxa"/>
          </w:tcPr>
          <w:p w:rsidR="007B4104" w:rsidRPr="00E514DD" w:rsidRDefault="003A5235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Evidencias como actas e informes presentados al comité departamental del SRPA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252"/>
        </w:trPr>
        <w:tc>
          <w:tcPr>
            <w:tcW w:w="1172" w:type="dxa"/>
            <w:vMerge/>
          </w:tcPr>
          <w:p w:rsidR="007B4104" w:rsidRPr="00E514DD" w:rsidRDefault="007B4104" w:rsidP="00BC1EC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</w:tcPr>
          <w:p w:rsidR="007B4104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28" w:type="dxa"/>
            <w:gridSpan w:val="2"/>
          </w:tcPr>
          <w:p w:rsidR="007B4104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Seguridad perimetral y traslado de los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jóvenes y adolescentes del SRPA</w:t>
            </w:r>
            <w:r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="002E1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Responsables Policía N</w:t>
            </w:r>
            <w:r w:rsidRPr="00E514D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acional</w:t>
            </w:r>
          </w:p>
        </w:tc>
        <w:tc>
          <w:tcPr>
            <w:tcW w:w="851" w:type="dxa"/>
          </w:tcPr>
          <w:p w:rsidR="007B4104" w:rsidRPr="00E514DD" w:rsidRDefault="00482F6A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Policia Nacional</w:t>
            </w:r>
          </w:p>
        </w:tc>
        <w:tc>
          <w:tcPr>
            <w:tcW w:w="1701" w:type="dxa"/>
          </w:tcPr>
          <w:p w:rsidR="007B4104" w:rsidRPr="00E514DD" w:rsidRDefault="003A5235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de acción y/o estrategias presentadas por la policía al comité departamental SRPA.</w:t>
            </w: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7B4104" w:rsidRPr="00E514DD" w:rsidRDefault="007B4104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368"/>
        </w:trPr>
        <w:tc>
          <w:tcPr>
            <w:tcW w:w="1172" w:type="dxa"/>
            <w:vMerge w:val="restart"/>
          </w:tcPr>
          <w:p w:rsidR="00E514DD" w:rsidRPr="00E514DD" w:rsidRDefault="00A05385" w:rsidP="00BC1E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</w:t>
            </w:r>
            <w:r w:rsidR="00E514DD"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Sistemas de información.</w:t>
            </w:r>
          </w:p>
        </w:tc>
        <w:tc>
          <w:tcPr>
            <w:tcW w:w="311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28" w:type="dxa"/>
            <w:gridSpan w:val="2"/>
          </w:tcPr>
          <w:p w:rsidR="00E514DD" w:rsidRPr="00E514DD" w:rsidRDefault="002E153E" w:rsidP="00E514DD">
            <w:pPr>
              <w:pStyle w:val="xmsolistparagraph"/>
              <w:shd w:val="clear" w:color="auto" w:fill="FFFFFF"/>
              <w:ind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 - - coordinar el </w:t>
            </w:r>
            <w:r w:rsidR="00E514DD" w:rsidRPr="00E514DD">
              <w:rPr>
                <w:rFonts w:ascii="Arial" w:hAnsi="Arial" w:cs="Arial"/>
                <w:color w:val="000000"/>
                <w:sz w:val="16"/>
                <w:szCs w:val="16"/>
              </w:rPr>
              <w:t>proceso para la estandarización del sistema de información del SRPA</w:t>
            </w:r>
            <w:r w:rsidR="00835DCB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parte del CESPA y el </w:t>
            </w:r>
            <w:r w:rsidR="00E514DD" w:rsidRPr="00E514DD">
              <w:rPr>
                <w:rFonts w:ascii="Arial" w:hAnsi="Arial" w:cs="Arial"/>
                <w:color w:val="000000"/>
                <w:sz w:val="16"/>
                <w:szCs w:val="16"/>
              </w:rPr>
              <w:t>ICBF.</w:t>
            </w:r>
          </w:p>
          <w:p w:rsidR="00E514DD" w:rsidRPr="00E514DD" w:rsidRDefault="00E514DD" w:rsidP="00E514DD">
            <w:pPr>
              <w:pStyle w:val="xmsolistparagraph"/>
              <w:shd w:val="clear" w:color="auto" w:fill="FFFFFF"/>
              <w:ind w:hanging="3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-     </w:t>
            </w:r>
          </w:p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514DD" w:rsidRPr="00E514DD" w:rsidRDefault="00482F6A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CESPA </w:t>
            </w:r>
            <w:r w:rsidR="00C6207C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ICBF</w:t>
            </w:r>
          </w:p>
        </w:tc>
        <w:tc>
          <w:tcPr>
            <w:tcW w:w="1701" w:type="dxa"/>
          </w:tcPr>
          <w:p w:rsidR="00E514DD" w:rsidRPr="00C6207C" w:rsidRDefault="00C6207C" w:rsidP="00C620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-presentar estadísticas del SRPA en el comité departamental del SRPA y solicitar a los integrantes la remisión de las estadísticas</w:t>
            </w:r>
            <w:r w:rsidR="00835DCB">
              <w:rPr>
                <w:rFonts w:ascii="Arial" w:hAnsi="Arial" w:cs="Arial"/>
                <w:sz w:val="16"/>
                <w:szCs w:val="16"/>
              </w:rPr>
              <w:t xml:space="preserve"> para consolidar y unificar la información.</w:t>
            </w: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367"/>
        </w:trPr>
        <w:tc>
          <w:tcPr>
            <w:tcW w:w="1172" w:type="dxa"/>
            <w:vMerge/>
          </w:tcPr>
          <w:p w:rsidR="00E514DD" w:rsidRPr="00E514DD" w:rsidRDefault="00E514DD" w:rsidP="00BC1EC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28" w:type="dxa"/>
            <w:gridSpan w:val="2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Generar un mecanismo de articulación de los diferentes sistemas de información del SRPA.</w:t>
            </w:r>
          </w:p>
        </w:tc>
        <w:tc>
          <w:tcPr>
            <w:tcW w:w="851" w:type="dxa"/>
          </w:tcPr>
          <w:p w:rsidR="00E514DD" w:rsidRPr="00E514DD" w:rsidRDefault="00482F6A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Instituciones que conforman el </w:t>
            </w:r>
            <w:r w:rsidR="00A05385">
              <w:rPr>
                <w:rFonts w:ascii="Arial" w:hAnsi="Arial" w:cs="Arial"/>
                <w:sz w:val="16"/>
                <w:szCs w:val="16"/>
              </w:rPr>
              <w:t>Comité</w:t>
            </w:r>
            <w:r>
              <w:rPr>
                <w:rFonts w:ascii="Arial" w:hAnsi="Arial" w:cs="Arial"/>
                <w:sz w:val="16"/>
                <w:szCs w:val="16"/>
              </w:rPr>
              <w:t xml:space="preserve"> técnico SRPA</w:t>
            </w:r>
          </w:p>
        </w:tc>
        <w:tc>
          <w:tcPr>
            <w:tcW w:w="1701" w:type="dxa"/>
          </w:tcPr>
          <w:p w:rsidR="00E514DD" w:rsidRPr="00E514DD" w:rsidRDefault="00C6207C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-coordinar la metodología para unificar la información estadística del SRPA en el departamento.</w:t>
            </w: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1EC0" w:rsidRPr="00E514DD" w:rsidTr="00F03E4E">
        <w:tc>
          <w:tcPr>
            <w:tcW w:w="1172" w:type="dxa"/>
          </w:tcPr>
          <w:p w:rsidR="00411F81" w:rsidRPr="00E514DD" w:rsidRDefault="00A05385" w:rsidP="00BC1E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3 </w:t>
            </w:r>
            <w:r w:rsidR="00E514DD" w:rsidRPr="00E514DD">
              <w:rPr>
                <w:rFonts w:ascii="Arial" w:hAnsi="Arial" w:cs="Arial"/>
                <w:b/>
                <w:color w:val="000000"/>
                <w:sz w:val="16"/>
                <w:szCs w:val="16"/>
              </w:rPr>
              <w:t>Gestión conocimiento</w:t>
            </w:r>
            <w:r w:rsidR="00E514DD" w:rsidRPr="00E514D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11" w:type="dxa"/>
          </w:tcPr>
          <w:p w:rsidR="00411F81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28" w:type="dxa"/>
            <w:gridSpan w:val="2"/>
          </w:tcPr>
          <w:p w:rsidR="00411F81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Gestionar articulación con universidades para los temas del SRPA, ICBF</w:t>
            </w:r>
            <w:r w:rsidR="00F937A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operadores</w:t>
            </w:r>
            <w:r w:rsidR="00F937A9">
              <w:rPr>
                <w:rFonts w:ascii="Arial" w:hAnsi="Arial" w:cs="Arial"/>
                <w:color w:val="000000"/>
                <w:sz w:val="16"/>
                <w:szCs w:val="16"/>
              </w:rPr>
              <w:t xml:space="preserve"> del SRPA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411F81" w:rsidRPr="00E514DD" w:rsidRDefault="00A05385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ICBF – operadores SRPA</w:t>
            </w:r>
          </w:p>
        </w:tc>
        <w:tc>
          <w:tcPr>
            <w:tcW w:w="1701" w:type="dxa"/>
          </w:tcPr>
          <w:p w:rsidR="00411F81" w:rsidRPr="00E514DD" w:rsidRDefault="00C6207C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-iniciar convenios con las universidades interesadas en hacer proyectos de investigación en</w:t>
            </w:r>
            <w:r w:rsidR="006065E9">
              <w:rPr>
                <w:rFonts w:ascii="Arial" w:hAnsi="Arial" w:cs="Arial"/>
                <w:sz w:val="16"/>
                <w:szCs w:val="16"/>
              </w:rPr>
              <w:t xml:space="preserve"> temas del</w:t>
            </w:r>
            <w:r>
              <w:rPr>
                <w:rFonts w:ascii="Arial" w:hAnsi="Arial" w:cs="Arial"/>
                <w:sz w:val="16"/>
                <w:szCs w:val="16"/>
              </w:rPr>
              <w:t xml:space="preserve"> SRPA.</w:t>
            </w: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458"/>
        </w:trPr>
        <w:tc>
          <w:tcPr>
            <w:tcW w:w="1172" w:type="dxa"/>
            <w:vMerge w:val="restart"/>
          </w:tcPr>
          <w:p w:rsidR="00E514DD" w:rsidRPr="00E514DD" w:rsidRDefault="00A05385" w:rsidP="00BC1E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</w:t>
            </w:r>
            <w:r w:rsidR="00E514DD"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Articulación Nación Territorio.</w:t>
            </w:r>
          </w:p>
        </w:tc>
        <w:tc>
          <w:tcPr>
            <w:tcW w:w="311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28" w:type="dxa"/>
            <w:gridSpan w:val="2"/>
          </w:tcPr>
          <w:p w:rsidR="00E514DD" w:rsidRPr="00E514DD" w:rsidRDefault="00E514DD" w:rsidP="006065E9">
            <w:pPr>
              <w:pStyle w:val="xmsolistparagraph"/>
              <w:shd w:val="clear" w:color="auto" w:fill="FFFFFF"/>
              <w:ind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Articular</w:t>
            </w:r>
            <w:r w:rsidR="006065E9">
              <w:rPr>
                <w:rFonts w:ascii="Arial" w:hAnsi="Arial" w:cs="Arial"/>
                <w:color w:val="000000"/>
                <w:sz w:val="16"/>
                <w:szCs w:val="16"/>
              </w:rPr>
              <w:t xml:space="preserve"> con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el SNCRPA  capacitación a los integrantes del comité técnico y departamental del SRPA.</w:t>
            </w:r>
          </w:p>
        </w:tc>
        <w:tc>
          <w:tcPr>
            <w:tcW w:w="851" w:type="dxa"/>
          </w:tcPr>
          <w:p w:rsidR="00E514DD" w:rsidRPr="00E514DD" w:rsidRDefault="00A05385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Instituciones que conforman el Comité técnico SRPA</w:t>
            </w:r>
          </w:p>
        </w:tc>
        <w:tc>
          <w:tcPr>
            <w:tcW w:w="1701" w:type="dxa"/>
          </w:tcPr>
          <w:p w:rsidR="00E514DD" w:rsidRPr="00E514DD" w:rsidRDefault="00C6207C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-Solicitar capacitación al SNCRPA sobre los temas del SRPA.</w:t>
            </w: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3E4E" w:rsidRPr="00E514DD" w:rsidTr="00F03E4E">
        <w:trPr>
          <w:trHeight w:val="457"/>
        </w:trPr>
        <w:tc>
          <w:tcPr>
            <w:tcW w:w="1172" w:type="dxa"/>
            <w:vMerge/>
          </w:tcPr>
          <w:p w:rsidR="00E514DD" w:rsidRPr="00E514DD" w:rsidRDefault="00E514DD" w:rsidP="00BC1EC0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28" w:type="dxa"/>
            <w:gridSpan w:val="2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Generar acciones para armonizar los planes de trabajo de las mesas de infancia, adolescencia y familia y los planes de acción de los comités departamentales del SNCRPA</w:t>
            </w:r>
          </w:p>
        </w:tc>
        <w:tc>
          <w:tcPr>
            <w:tcW w:w="851" w:type="dxa"/>
          </w:tcPr>
          <w:p w:rsidR="00E514DD" w:rsidRPr="00E514DD" w:rsidRDefault="00A05385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Gobernacion, Alcaldia, ICBF</w:t>
            </w:r>
          </w:p>
        </w:tc>
        <w:tc>
          <w:tcPr>
            <w:tcW w:w="1701" w:type="dxa"/>
          </w:tcPr>
          <w:p w:rsidR="00E514DD" w:rsidRPr="00E514DD" w:rsidRDefault="00C6207C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-incluir en los consejos de política social municipal y departamental el tema del SRPA y garantizar que se ref</w:t>
            </w:r>
            <w:r w:rsidR="00870076">
              <w:rPr>
                <w:rFonts w:ascii="Arial" w:hAnsi="Arial" w:cs="Arial"/>
                <w:sz w:val="16"/>
                <w:szCs w:val="16"/>
              </w:rPr>
              <w:t>leje en las diferentes mesas de infancia, adolescencia y juventud</w:t>
            </w: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E514DD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1EC0" w:rsidRPr="00E514DD" w:rsidTr="00F03E4E">
        <w:tc>
          <w:tcPr>
            <w:tcW w:w="1172" w:type="dxa"/>
          </w:tcPr>
          <w:p w:rsidR="00411F81" w:rsidRPr="00E514DD" w:rsidRDefault="00A05385" w:rsidP="00BC1E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</w:t>
            </w:r>
            <w:r w:rsidR="00E514DD" w:rsidRPr="00E514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Financiamiento del SNCRPA</w:t>
            </w:r>
          </w:p>
        </w:tc>
        <w:tc>
          <w:tcPr>
            <w:tcW w:w="311" w:type="dxa"/>
          </w:tcPr>
          <w:p w:rsidR="00411F81" w:rsidRPr="00E514DD" w:rsidRDefault="00E514DD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28" w:type="dxa"/>
            <w:gridSpan w:val="2"/>
          </w:tcPr>
          <w:p w:rsidR="00E514DD" w:rsidRPr="00E514DD" w:rsidRDefault="00E514DD" w:rsidP="00E514DD">
            <w:pPr>
              <w:pStyle w:val="xmsolistparagraph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="00D543AA">
              <w:rPr>
                <w:rFonts w:ascii="Arial" w:hAnsi="Arial" w:cs="Arial"/>
                <w:color w:val="000000"/>
                <w:sz w:val="16"/>
                <w:szCs w:val="16"/>
              </w:rPr>
              <w:t xml:space="preserve">se 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Elaborar</w:t>
            </w:r>
            <w:r w:rsidR="00D543AA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el plan de financiamiento del SNCRPA</w:t>
            </w:r>
            <w:r w:rsidR="00D543AA">
              <w:rPr>
                <w:rFonts w:ascii="Arial" w:hAnsi="Arial" w:cs="Arial"/>
                <w:color w:val="000000"/>
                <w:sz w:val="16"/>
                <w:szCs w:val="16"/>
              </w:rPr>
              <w:t xml:space="preserve"> por la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43AA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obernación, </w:t>
            </w:r>
            <w:r w:rsidR="00D543AA">
              <w:rPr>
                <w:rFonts w:ascii="Arial" w:hAnsi="Arial" w:cs="Arial"/>
                <w:color w:val="000000"/>
                <w:sz w:val="16"/>
                <w:szCs w:val="16"/>
              </w:rPr>
              <w:t>Alcaldía y el</w:t>
            </w: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 xml:space="preserve"> ICBF.</w:t>
            </w:r>
          </w:p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F81" w:rsidRPr="00E514DD" w:rsidRDefault="00C12F70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14DD">
              <w:rPr>
                <w:rFonts w:ascii="Arial" w:hAnsi="Arial" w:cs="Arial"/>
                <w:color w:val="000000"/>
                <w:sz w:val="16"/>
                <w:szCs w:val="16"/>
              </w:rPr>
              <w:t>Gobernación</w:t>
            </w:r>
            <w:r w:rsidR="00A05385" w:rsidRPr="00E514DD">
              <w:rPr>
                <w:rFonts w:ascii="Arial" w:hAnsi="Arial" w:cs="Arial"/>
                <w:color w:val="000000"/>
                <w:sz w:val="16"/>
                <w:szCs w:val="16"/>
              </w:rPr>
              <w:t>, alcaldía, ICBF.</w:t>
            </w:r>
          </w:p>
        </w:tc>
        <w:tc>
          <w:tcPr>
            <w:tcW w:w="1701" w:type="dxa"/>
          </w:tcPr>
          <w:p w:rsidR="00411F81" w:rsidRPr="00E514DD" w:rsidRDefault="00C12F70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-proyección del plan de financiamiento departamental del SRPA para aprobación en el comité departamental.</w:t>
            </w: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1EC0" w:rsidRPr="00E514DD" w:rsidTr="00F03E4E">
        <w:tc>
          <w:tcPr>
            <w:tcW w:w="1172" w:type="dxa"/>
          </w:tcPr>
          <w:p w:rsidR="00411F81" w:rsidRPr="00E514DD" w:rsidRDefault="00411F81" w:rsidP="00BC1E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gridSpan w:val="2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4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</w:tcPr>
          <w:p w:rsidR="00411F81" w:rsidRPr="00E514DD" w:rsidRDefault="00411F81" w:rsidP="007C088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1F81" w:rsidRPr="00E514DD" w:rsidRDefault="00411F81" w:rsidP="007C0888">
      <w:pPr>
        <w:jc w:val="both"/>
        <w:rPr>
          <w:rFonts w:ascii="Arial" w:hAnsi="Arial" w:cs="Arial"/>
          <w:sz w:val="16"/>
          <w:szCs w:val="16"/>
        </w:rPr>
      </w:pPr>
    </w:p>
    <w:sectPr w:rsidR="00411F81" w:rsidRPr="00E514DD" w:rsidSect="00812914">
      <w:pgSz w:w="15840" w:h="12240" w:orient="landscape"/>
      <w:pgMar w:top="1418" w:right="28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11CFA"/>
    <w:multiLevelType w:val="hybridMultilevel"/>
    <w:tmpl w:val="24CE4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91470"/>
    <w:multiLevelType w:val="hybridMultilevel"/>
    <w:tmpl w:val="DA8A630C"/>
    <w:lvl w:ilvl="0" w:tplc="2B408A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31718"/>
    <w:multiLevelType w:val="hybridMultilevel"/>
    <w:tmpl w:val="6C185E0E"/>
    <w:lvl w:ilvl="0" w:tplc="D2A0FA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D4"/>
    <w:rsid w:val="000C61D4"/>
    <w:rsid w:val="000C754F"/>
    <w:rsid w:val="001125EE"/>
    <w:rsid w:val="00186ABC"/>
    <w:rsid w:val="00273523"/>
    <w:rsid w:val="002C70F8"/>
    <w:rsid w:val="002E153E"/>
    <w:rsid w:val="00377D77"/>
    <w:rsid w:val="003A5235"/>
    <w:rsid w:val="003E1FB6"/>
    <w:rsid w:val="00411F81"/>
    <w:rsid w:val="004775CD"/>
    <w:rsid w:val="00482F6A"/>
    <w:rsid w:val="004C13F8"/>
    <w:rsid w:val="004C3AE9"/>
    <w:rsid w:val="00563502"/>
    <w:rsid w:val="00585273"/>
    <w:rsid w:val="005F6C71"/>
    <w:rsid w:val="006065E9"/>
    <w:rsid w:val="00675082"/>
    <w:rsid w:val="006C2AED"/>
    <w:rsid w:val="006E0AF2"/>
    <w:rsid w:val="007B4104"/>
    <w:rsid w:val="007C0888"/>
    <w:rsid w:val="00812914"/>
    <w:rsid w:val="00835DCB"/>
    <w:rsid w:val="00870076"/>
    <w:rsid w:val="008F0241"/>
    <w:rsid w:val="00997538"/>
    <w:rsid w:val="00A05385"/>
    <w:rsid w:val="00A958F1"/>
    <w:rsid w:val="00AF1906"/>
    <w:rsid w:val="00B37098"/>
    <w:rsid w:val="00B90AD4"/>
    <w:rsid w:val="00B92122"/>
    <w:rsid w:val="00BC1EC0"/>
    <w:rsid w:val="00BE5391"/>
    <w:rsid w:val="00C00731"/>
    <w:rsid w:val="00C12F70"/>
    <w:rsid w:val="00C23FCA"/>
    <w:rsid w:val="00C417D1"/>
    <w:rsid w:val="00C43B93"/>
    <w:rsid w:val="00C6207C"/>
    <w:rsid w:val="00C84378"/>
    <w:rsid w:val="00CE7957"/>
    <w:rsid w:val="00D02FEA"/>
    <w:rsid w:val="00D543AA"/>
    <w:rsid w:val="00D553B4"/>
    <w:rsid w:val="00D72E2A"/>
    <w:rsid w:val="00DD15D5"/>
    <w:rsid w:val="00DF723C"/>
    <w:rsid w:val="00E24719"/>
    <w:rsid w:val="00E514DD"/>
    <w:rsid w:val="00F03E4E"/>
    <w:rsid w:val="00F14897"/>
    <w:rsid w:val="00F82513"/>
    <w:rsid w:val="00F937A9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010A97-821D-41E7-9AAE-199079C2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D77"/>
    <w:pPr>
      <w:ind w:left="720"/>
      <w:contextualSpacing/>
    </w:pPr>
  </w:style>
  <w:style w:type="paragraph" w:customStyle="1" w:styleId="xmsolistparagraph">
    <w:name w:val="x_msolistparagraph"/>
    <w:basedOn w:val="Normal"/>
    <w:rsid w:val="0037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msonormal">
    <w:name w:val="x_msonormal"/>
    <w:basedOn w:val="Normal"/>
    <w:rsid w:val="0037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41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224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6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672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7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6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7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34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50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 de vida del Tolima</dc:creator>
  <cp:keywords/>
  <dc:description/>
  <cp:lastModifiedBy>Luz Amanda Avella Pinto</cp:lastModifiedBy>
  <cp:revision>2</cp:revision>
  <dcterms:created xsi:type="dcterms:W3CDTF">2016-07-25T21:01:00Z</dcterms:created>
  <dcterms:modified xsi:type="dcterms:W3CDTF">2016-07-25T21:01:00Z</dcterms:modified>
</cp:coreProperties>
</file>