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553EE"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7007 DE 2018</w:t>
      </w:r>
    </w:p>
    <w:p w14:paraId="00000002" w14:textId="77777777" w:rsidR="00F553EE" w:rsidRDefault="00000000">
      <w:pPr>
        <w:spacing w:line="240" w:lineRule="auto"/>
        <w:rPr>
          <w:rFonts w:ascii="Verdana" w:eastAsia="Verdana" w:hAnsi="Verdana" w:cs="Verdana"/>
        </w:rPr>
      </w:pPr>
      <w:r>
        <w:rPr>
          <w:rFonts w:ascii="Verdana" w:eastAsia="Verdana" w:hAnsi="Verdana" w:cs="Verdana"/>
        </w:rPr>
        <w:t>Fecha de Expedición: 13 de junio de 2018</w:t>
      </w:r>
    </w:p>
    <w:p w14:paraId="00000003" w14:textId="77777777" w:rsidR="00F553EE" w:rsidRDefault="00000000">
      <w:pPr>
        <w:spacing w:line="240" w:lineRule="auto"/>
        <w:rPr>
          <w:rFonts w:ascii="Verdana" w:eastAsia="Verdana" w:hAnsi="Verdana" w:cs="Verdana"/>
        </w:rPr>
      </w:pPr>
      <w:r>
        <w:rPr>
          <w:rFonts w:ascii="Verdana" w:eastAsia="Verdana" w:hAnsi="Verdana" w:cs="Verdana"/>
        </w:rPr>
        <w:t xml:space="preserve">Fecha de </w:t>
      </w:r>
      <w:proofErr w:type="gramStart"/>
      <w:r>
        <w:rPr>
          <w:rFonts w:ascii="Verdana" w:eastAsia="Verdana" w:hAnsi="Verdana" w:cs="Verdana"/>
        </w:rPr>
        <w:t>entrada en vigencia</w:t>
      </w:r>
      <w:proofErr w:type="gramEnd"/>
      <w:r>
        <w:rPr>
          <w:rFonts w:ascii="Verdana" w:eastAsia="Verdana" w:hAnsi="Verdana" w:cs="Verdana"/>
        </w:rPr>
        <w:t>: 13 de junio de 2018</w:t>
      </w:r>
    </w:p>
    <w:p w14:paraId="00000004" w14:textId="77777777" w:rsidR="00F553EE" w:rsidRDefault="00000000">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00000005" w14:textId="77777777" w:rsidR="00F553EE" w:rsidRDefault="00F553EE">
      <w:pPr>
        <w:spacing w:line="240" w:lineRule="auto"/>
        <w:rPr>
          <w:rFonts w:ascii="Verdana" w:eastAsia="Verdana" w:hAnsi="Verdana" w:cs="Verdana"/>
        </w:rPr>
      </w:pPr>
    </w:p>
    <w:p w14:paraId="00000006" w14:textId="77777777" w:rsidR="00F553EE" w:rsidRDefault="00000000">
      <w:pPr>
        <w:spacing w:line="240" w:lineRule="auto"/>
        <w:rPr>
          <w:rFonts w:ascii="Verdana" w:eastAsia="Verdana" w:hAnsi="Verdana" w:cs="Verdana"/>
        </w:rPr>
      </w:pPr>
      <w:r>
        <w:rPr>
          <w:rFonts w:ascii="Verdana" w:eastAsia="Verdana" w:hAnsi="Verdana" w:cs="Verdana"/>
        </w:rPr>
        <w:t>Fecha de publicación en Diario Oficial: N/A</w:t>
      </w:r>
    </w:p>
    <w:p w14:paraId="00000007" w14:textId="77777777" w:rsidR="00F553EE" w:rsidRDefault="00000000">
      <w:pPr>
        <w:spacing w:line="240" w:lineRule="auto"/>
        <w:rPr>
          <w:rFonts w:ascii="Verdana" w:eastAsia="Verdana" w:hAnsi="Verdana" w:cs="Verdana"/>
        </w:rPr>
      </w:pPr>
      <w:r>
        <w:rPr>
          <w:rFonts w:ascii="Verdana" w:eastAsia="Verdana" w:hAnsi="Verdana" w:cs="Verdana"/>
        </w:rPr>
        <w:t>Número del Diario Oficial: N/A</w:t>
      </w:r>
    </w:p>
    <w:p w14:paraId="00000008" w14:textId="77777777" w:rsidR="00F553EE" w:rsidRDefault="00F553EE">
      <w:pPr>
        <w:shd w:val="clear" w:color="auto" w:fill="FFFFFF"/>
        <w:jc w:val="center"/>
        <w:rPr>
          <w:rFonts w:ascii="Verdana" w:eastAsia="Verdana" w:hAnsi="Verdana" w:cs="Verdana"/>
          <w:b/>
          <w:bCs/>
        </w:rPr>
      </w:pPr>
    </w:p>
    <w:p w14:paraId="00000009" w14:textId="77777777" w:rsidR="00F553EE"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7007 DE 2018</w:t>
      </w:r>
    </w:p>
    <w:p w14:paraId="0000000A" w14:textId="77777777" w:rsidR="00F553EE" w:rsidRDefault="00000000">
      <w:pPr>
        <w:shd w:val="clear" w:color="auto" w:fill="FFFFFF"/>
        <w:spacing w:after="240"/>
        <w:jc w:val="center"/>
        <w:rPr>
          <w:rFonts w:ascii="Verdana" w:eastAsia="Verdana" w:hAnsi="Verdana" w:cs="Verdana"/>
        </w:rPr>
      </w:pPr>
      <w:r>
        <w:rPr>
          <w:rFonts w:ascii="Verdana" w:eastAsia="Verdana" w:hAnsi="Verdana" w:cs="Verdana"/>
        </w:rPr>
        <w:t>(</w:t>
      </w:r>
      <w:proofErr w:type="gramStart"/>
      <w:r>
        <w:rPr>
          <w:rFonts w:ascii="Verdana" w:eastAsia="Verdana" w:hAnsi="Verdana" w:cs="Verdana"/>
        </w:rPr>
        <w:t>Junio</w:t>
      </w:r>
      <w:proofErr w:type="gramEnd"/>
      <w:r>
        <w:rPr>
          <w:rFonts w:ascii="Verdana" w:eastAsia="Verdana" w:hAnsi="Verdana" w:cs="Verdana"/>
        </w:rPr>
        <w:t xml:space="preserve"> 13)</w:t>
      </w:r>
    </w:p>
    <w:p w14:paraId="0000000B" w14:textId="77777777" w:rsidR="00F553EE"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C" w14:textId="3DD41A14" w:rsidR="00F553EE" w:rsidRDefault="00000000">
      <w:pPr>
        <w:shd w:val="clear" w:color="auto" w:fill="FFFFFF"/>
        <w:spacing w:after="240"/>
        <w:jc w:val="center"/>
        <w:rPr>
          <w:rFonts w:ascii="Verdana" w:eastAsia="Verdana" w:hAnsi="Verdana" w:cs="Verdana"/>
        </w:rPr>
      </w:pPr>
      <w:r>
        <w:rPr>
          <w:rFonts w:ascii="Verdana" w:eastAsia="Verdana" w:hAnsi="Verdana" w:cs="Verdana"/>
        </w:rPr>
        <w:t>Por medio de la cual se modifica la Resolución No. 2794 de 2017 “Por la cual se reglamenta el funcionamiento del Entorno Protector Digital "Búho" del Instituto Colombiano de Bienestar Familiar - Cecilia de la Fuente de Lleras</w:t>
      </w:r>
    </w:p>
    <w:p w14:paraId="0000000D" w14:textId="77777777" w:rsidR="00F553EE"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0E" w14:textId="754D0F36" w:rsidR="00F553EE" w:rsidRDefault="00000000">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en especial las conferidas en el literal b) del artículo 28 de la Ley 7o de 1979, en el artículo 78 de 489 de 1998, y</w:t>
      </w:r>
    </w:p>
    <w:p w14:paraId="0000000F" w14:textId="77777777" w:rsidR="00F553EE"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Entorno Protector Digital “BÚHO” es una herramienta interactiva y dinámica por medio de la cual el ICBF quiere establecer un diálogo comprensivo, asertivo y constante con las familias, los padres, cuidadores, la comunidad educativa y la comunidad en general, en el </w:t>
      </w:r>
      <w:proofErr w:type="gramStart"/>
      <w:r>
        <w:rPr>
          <w:rFonts w:ascii="Verdana" w:eastAsia="Verdana" w:hAnsi="Verdana" w:cs="Verdana"/>
        </w:rPr>
        <w:t>que</w:t>
      </w:r>
      <w:proofErr w:type="gramEnd"/>
      <w:r>
        <w:rPr>
          <w:rFonts w:ascii="Verdana" w:eastAsia="Verdana" w:hAnsi="Verdana" w:cs="Verdana"/>
        </w:rPr>
        <w:t xml:space="preserve"> de una manera amigable y accesible, encuentren información y orientación confiable acerca de la crianza, el desarrollo y el bienestar de los niños, niñas y adolescentes a través de sus distintas etapas de desarrollo.</w:t>
      </w:r>
    </w:p>
    <w:p w14:paraId="00000011" w14:textId="443C01A6" w:rsidR="00F553EE" w:rsidRDefault="00000000">
      <w:pPr>
        <w:shd w:val="clear" w:color="auto" w:fill="FFFFFF"/>
        <w:spacing w:after="240"/>
        <w:jc w:val="both"/>
        <w:rPr>
          <w:rFonts w:ascii="Verdana" w:eastAsia="Verdana" w:hAnsi="Verdana" w:cs="Verdana"/>
        </w:rPr>
      </w:pPr>
      <w:r>
        <w:rPr>
          <w:rFonts w:ascii="Verdana" w:eastAsia="Verdana" w:hAnsi="Verdana" w:cs="Verdana"/>
        </w:rPr>
        <w:t>Que por medio de Resolución No. 2794 del 26 de abril de 2017, se reglamentó el funcionamiento del Entorno Protector Digital “BÚHO" del Instituto Colombiano de Bienestar Familiar - Cecilia de la Fuente de Lleras, cuyo objeto principal es el de permitir a los padres de familia, cuidadores y docentes, tener un espacio de reflexión, motivación y pedagogía para construir un ambiente de bienestar y entendimiento en los hogares colombianos y que responda a inquietudes cotidianas y reales.</w:t>
      </w:r>
    </w:p>
    <w:p w14:paraId="00000012" w14:textId="496145B3" w:rsidR="00F553EE" w:rsidRDefault="00000000">
      <w:pPr>
        <w:shd w:val="clear" w:color="auto" w:fill="FFFFFF"/>
        <w:spacing w:after="240"/>
        <w:jc w:val="both"/>
        <w:rPr>
          <w:rFonts w:ascii="Verdana" w:eastAsia="Verdana" w:hAnsi="Verdana" w:cs="Verdana"/>
        </w:rPr>
      </w:pPr>
      <w:r>
        <w:rPr>
          <w:rFonts w:ascii="Verdana" w:eastAsia="Verdana" w:hAnsi="Verdana" w:cs="Verdana"/>
        </w:rPr>
        <w:t>Que el precitado acto administrativo fue modificado mediante la Resolución No. 2044 del 15 de febrero de 2018, ajustando la conformación del Consejo Editorial y el Comité Temático de “BUHO”.</w:t>
      </w:r>
    </w:p>
    <w:p w14:paraId="00000013" w14:textId="2F9A9402" w:rsidR="00F553EE" w:rsidRDefault="00000000">
      <w:pPr>
        <w:shd w:val="clear" w:color="auto" w:fill="FFFFFF"/>
        <w:spacing w:after="240"/>
        <w:jc w:val="both"/>
        <w:rPr>
          <w:rFonts w:ascii="Verdana" w:eastAsia="Verdana" w:hAnsi="Verdana" w:cs="Verdana"/>
        </w:rPr>
      </w:pPr>
      <w:r>
        <w:rPr>
          <w:rFonts w:ascii="Verdana" w:eastAsia="Verdana" w:hAnsi="Verdana" w:cs="Verdana"/>
        </w:rPr>
        <w:lastRenderedPageBreak/>
        <w:t>Que conforme el artículo cuarto de la Resolución No. 2794 de 2017, el Consejo Editorial es la instancia superior de carácter consultivo que vela por la correcta implementación de la línea editorial de Búho y la operación eficiente.</w:t>
      </w:r>
    </w:p>
    <w:p w14:paraId="00000014" w14:textId="2276DBFC" w:rsidR="00F553EE" w:rsidRDefault="00000000">
      <w:pPr>
        <w:shd w:val="clear" w:color="auto" w:fill="FFFFFF"/>
        <w:spacing w:after="240"/>
        <w:jc w:val="both"/>
        <w:rPr>
          <w:rFonts w:ascii="Verdana" w:eastAsia="Verdana" w:hAnsi="Verdana" w:cs="Verdana"/>
        </w:rPr>
      </w:pPr>
      <w:r>
        <w:rPr>
          <w:rFonts w:ascii="Verdana" w:eastAsia="Verdana" w:hAnsi="Verdana" w:cs="Verdana"/>
        </w:rPr>
        <w:t>Que de acuerdo con las funciones establecidas en el Decreto 987 de 2012, la Subdirección General del ICBF, es la encargada de coordinar las direcciones misionales, la definición y el desarrollo de Políticas y lineamientos, planes y programas en materia de primera infancia, niñez y adolescencia, familia, poblaciones especiales, nutrición, protección y los demás temas que le sean asignados por la Dirección General.</w:t>
      </w:r>
    </w:p>
    <w:p w14:paraId="00000015"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Que teniendo en cuenta que los contenidos del Entorno Protector Digital “BÚHO”, corresponden a reflexiones que han surgido como resultado de los grupos de trabajo de las áreas misionales y como motivación y pedagogía para construir un ambiente de bienestar y entendimiento en los hogares, así como de una compañía calificada que resuelva las inquietudes cotidianas y reales que surge y sirva como guía para padres, madres, cuidadores y docentes, se hace necesario, modificar el rol y las atribuciones del Subdirector General como cabeza de las direcciones misionales, en las diferentes instancias en las cuales participa, ajustando la conformación de las mismas.</w:t>
      </w:r>
    </w:p>
    <w:p w14:paraId="00000016" w14:textId="77777777" w:rsidR="00F553EE"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w:t>
      </w:r>
    </w:p>
    <w:p w14:paraId="00000017" w14:textId="77777777" w:rsidR="00F553EE"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8" w14:textId="49533016" w:rsidR="00F553EE"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Modificar al artículo 4o de la Resolución No. 2794 de 2017, el cual quedará así:</w:t>
      </w:r>
    </w:p>
    <w:p w14:paraId="00000019"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CONSEJO EDITORIAL. Es la instancia superior de carácter consultivo que velará por la correcta implementación de la línea editorial de Búho y la operación eficiente, en total apoyo a su objetivo. El Consejo Editorial estará integrado así:</w:t>
      </w:r>
    </w:p>
    <w:p w14:paraId="0000001A"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 xml:space="preserve">- El </w:t>
      </w:r>
      <w:proofErr w:type="gramStart"/>
      <w:r>
        <w:rPr>
          <w:rFonts w:ascii="Verdana" w:eastAsia="Verdana" w:hAnsi="Verdana" w:cs="Verdana"/>
        </w:rPr>
        <w:t>Subdirector</w:t>
      </w:r>
      <w:proofErr w:type="gramEnd"/>
      <w:r>
        <w:rPr>
          <w:rFonts w:ascii="Verdana" w:eastAsia="Verdana" w:hAnsi="Verdana" w:cs="Verdana"/>
        </w:rPr>
        <w:t xml:space="preserve"> General del ICBF, quien ejercerá como presidente.</w:t>
      </w:r>
    </w:p>
    <w:p w14:paraId="0000001B"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 xml:space="preserve">- Seis (6) miembros externos ad honorem que trabajen en beneficio de la promoción, prevención y protección de los niños, niñas y adolescentes, los cuales serán invitados y designados por el </w:t>
      </w:r>
      <w:proofErr w:type="gramStart"/>
      <w:r>
        <w:rPr>
          <w:rFonts w:ascii="Verdana" w:eastAsia="Verdana" w:hAnsi="Verdana" w:cs="Verdana"/>
        </w:rPr>
        <w:t>Subdirector</w:t>
      </w:r>
      <w:proofErr w:type="gramEnd"/>
      <w:r>
        <w:rPr>
          <w:rFonts w:ascii="Verdana" w:eastAsia="Verdana" w:hAnsi="Verdana" w:cs="Verdana"/>
        </w:rPr>
        <w:t xml:space="preserve"> General del ICBF por un periodo de máximo dos (2) años. Los miembros externos podrán contar con un suplente, el cual será designado de la misma forma.</w:t>
      </w:r>
    </w:p>
    <w:p w14:paraId="0000001C"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 xml:space="preserve">Las decisiones las tomará el presidente del Consejo previo las recomendaciones de los miembros </w:t>
      </w:r>
      <w:proofErr w:type="gramStart"/>
      <w:r>
        <w:rPr>
          <w:rFonts w:ascii="Verdana" w:eastAsia="Verdana" w:hAnsi="Verdana" w:cs="Verdana"/>
        </w:rPr>
        <w:t>del mismo</w:t>
      </w:r>
      <w:proofErr w:type="gramEnd"/>
      <w:r>
        <w:rPr>
          <w:rFonts w:ascii="Verdana" w:eastAsia="Verdana" w:hAnsi="Verdana" w:cs="Verdana"/>
        </w:rPr>
        <w:t>.</w:t>
      </w:r>
    </w:p>
    <w:p w14:paraId="0000001D" w14:textId="2D4C6A81" w:rsidR="00F553E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Modificar al artículo 6o de la Resolución No. 2794 de 2017, el cual quedará así:</w:t>
      </w:r>
    </w:p>
    <w:p w14:paraId="0000001E"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ARTÍCULO SEXTO.</w:t>
      </w:r>
      <w:r>
        <w:rPr>
          <w:rFonts w:ascii="Verdana" w:eastAsia="Verdana" w:hAnsi="Verdana" w:cs="Verdana"/>
        </w:rPr>
        <w:t xml:space="preserve"> COMITÉ TEMÁTICO. Es la instancia temática en la cual se fijan pautas para el desarrollo de las recomendaciones del Consejo Editorial, alineados a la misionalidad del ICBF, el cual estará integrado por:</w:t>
      </w:r>
    </w:p>
    <w:p w14:paraId="0000001F"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 xml:space="preserve">- El </w:t>
      </w:r>
      <w:proofErr w:type="gramStart"/>
      <w:r>
        <w:rPr>
          <w:rFonts w:ascii="Verdana" w:eastAsia="Verdana" w:hAnsi="Verdana" w:cs="Verdana"/>
        </w:rPr>
        <w:t>Subdirector</w:t>
      </w:r>
      <w:proofErr w:type="gramEnd"/>
      <w:r>
        <w:rPr>
          <w:rFonts w:ascii="Verdana" w:eastAsia="Verdana" w:hAnsi="Verdana" w:cs="Verdana"/>
        </w:rPr>
        <w:t xml:space="preserve"> General del ICBF, o su delegado.</w:t>
      </w:r>
    </w:p>
    <w:p w14:paraId="00000020"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 xml:space="preserve">- El </w:t>
      </w:r>
      <w:proofErr w:type="gramStart"/>
      <w:r>
        <w:rPr>
          <w:rFonts w:ascii="Verdana" w:eastAsia="Verdana" w:hAnsi="Verdana" w:cs="Verdana"/>
        </w:rPr>
        <w:t>Director</w:t>
      </w:r>
      <w:proofErr w:type="gramEnd"/>
      <w:r>
        <w:rPr>
          <w:rFonts w:ascii="Verdana" w:eastAsia="Verdana" w:hAnsi="Verdana" w:cs="Verdana"/>
        </w:rPr>
        <w:t xml:space="preserve"> de Primera Infancia.</w:t>
      </w:r>
    </w:p>
    <w:p w14:paraId="00000021"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 xml:space="preserve">- El </w:t>
      </w:r>
      <w:proofErr w:type="gramStart"/>
      <w:r>
        <w:rPr>
          <w:rFonts w:ascii="Verdana" w:eastAsia="Verdana" w:hAnsi="Verdana" w:cs="Verdana"/>
        </w:rPr>
        <w:t>Director</w:t>
      </w:r>
      <w:proofErr w:type="gramEnd"/>
      <w:r>
        <w:rPr>
          <w:rFonts w:ascii="Verdana" w:eastAsia="Verdana" w:hAnsi="Verdana" w:cs="Verdana"/>
        </w:rPr>
        <w:t xml:space="preserve"> de Familias y Comunidad.</w:t>
      </w:r>
    </w:p>
    <w:p w14:paraId="00000022"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 xml:space="preserve">- El </w:t>
      </w:r>
      <w:proofErr w:type="gramStart"/>
      <w:r>
        <w:rPr>
          <w:rFonts w:ascii="Verdana" w:eastAsia="Verdana" w:hAnsi="Verdana" w:cs="Verdana"/>
        </w:rPr>
        <w:t>Director</w:t>
      </w:r>
      <w:proofErr w:type="gramEnd"/>
      <w:r>
        <w:rPr>
          <w:rFonts w:ascii="Verdana" w:eastAsia="Verdana" w:hAnsi="Verdana" w:cs="Verdana"/>
        </w:rPr>
        <w:t xml:space="preserve"> de Nutrición.</w:t>
      </w:r>
    </w:p>
    <w:p w14:paraId="00000023"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 xml:space="preserve">- El </w:t>
      </w:r>
      <w:proofErr w:type="gramStart"/>
      <w:r>
        <w:rPr>
          <w:rFonts w:ascii="Verdana" w:eastAsia="Verdana" w:hAnsi="Verdana" w:cs="Verdana"/>
        </w:rPr>
        <w:t>Director</w:t>
      </w:r>
      <w:proofErr w:type="gramEnd"/>
      <w:r>
        <w:rPr>
          <w:rFonts w:ascii="Verdana" w:eastAsia="Verdana" w:hAnsi="Verdana" w:cs="Verdana"/>
        </w:rPr>
        <w:t xml:space="preserve"> de Protección.</w:t>
      </w:r>
    </w:p>
    <w:p w14:paraId="00000024"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 xml:space="preserve">- El </w:t>
      </w:r>
      <w:proofErr w:type="gramStart"/>
      <w:r>
        <w:rPr>
          <w:rFonts w:ascii="Verdana" w:eastAsia="Verdana" w:hAnsi="Verdana" w:cs="Verdana"/>
        </w:rPr>
        <w:t>Director</w:t>
      </w:r>
      <w:proofErr w:type="gramEnd"/>
      <w:r>
        <w:rPr>
          <w:rFonts w:ascii="Verdana" w:eastAsia="Verdana" w:hAnsi="Verdana" w:cs="Verdana"/>
        </w:rPr>
        <w:t xml:space="preserve"> de Niñez y Adolescencia</w:t>
      </w:r>
    </w:p>
    <w:p w14:paraId="00000025"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 xml:space="preserve">- El </w:t>
      </w:r>
      <w:proofErr w:type="gramStart"/>
      <w:r>
        <w:rPr>
          <w:rFonts w:ascii="Verdana" w:eastAsia="Verdana" w:hAnsi="Verdana" w:cs="Verdana"/>
        </w:rPr>
        <w:t>Jefe</w:t>
      </w:r>
      <w:proofErr w:type="gramEnd"/>
      <w:r>
        <w:rPr>
          <w:rFonts w:ascii="Verdana" w:eastAsia="Verdana" w:hAnsi="Verdana" w:cs="Verdana"/>
        </w:rPr>
        <w:t xml:space="preserve"> de la Oficina Asesora de Comunicaciones.</w:t>
      </w:r>
    </w:p>
    <w:p w14:paraId="00000026"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 xml:space="preserve">- El Líder Editorial, el cual será designado por el </w:t>
      </w:r>
      <w:proofErr w:type="gramStart"/>
      <w:r>
        <w:rPr>
          <w:rFonts w:ascii="Verdana" w:eastAsia="Verdana" w:hAnsi="Verdana" w:cs="Verdana"/>
        </w:rPr>
        <w:t>Subdirector</w:t>
      </w:r>
      <w:proofErr w:type="gramEnd"/>
      <w:r>
        <w:rPr>
          <w:rFonts w:ascii="Verdana" w:eastAsia="Verdana" w:hAnsi="Verdana" w:cs="Verdana"/>
        </w:rPr>
        <w:t xml:space="preserve"> General y quien deberá hacer parte de la Oficina Asesora de Comunicaciones.</w:t>
      </w:r>
    </w:p>
    <w:p w14:paraId="00000027" w14:textId="36284453" w:rsidR="00F553EE"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Modificar el artículo 11 de la Resolución No. 2794 de 2017, el cual quedará así:</w:t>
      </w:r>
    </w:p>
    <w:p w14:paraId="00000028"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PRIMERO.</w:t>
      </w:r>
      <w:r>
        <w:rPr>
          <w:rFonts w:ascii="Verdana" w:eastAsia="Verdana" w:hAnsi="Verdana" w:cs="Verdana"/>
        </w:rPr>
        <w:t xml:space="preserve"> SECRETARIA TÉCNICA. La Secretaría Técnica del Consejo Editorial Entorno Protector Digital “Búho" será designada por el </w:t>
      </w:r>
      <w:proofErr w:type="gramStart"/>
      <w:r>
        <w:rPr>
          <w:rFonts w:ascii="Verdana" w:eastAsia="Verdana" w:hAnsi="Verdana" w:cs="Verdana"/>
        </w:rPr>
        <w:t>Subdirector</w:t>
      </w:r>
      <w:proofErr w:type="gramEnd"/>
      <w:r>
        <w:rPr>
          <w:rFonts w:ascii="Verdana" w:eastAsia="Verdana" w:hAnsi="Verdana" w:cs="Verdana"/>
        </w:rPr>
        <w:t xml:space="preserve"> General en cada una de las sesiones. La Secretaría Técnica del Comité Temático y del Consejo de Redacción estará a cargo de la Oficina Asesora de Comunicaciones.</w:t>
      </w:r>
    </w:p>
    <w:p w14:paraId="00000029"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Las Secretarías Técnicas tendrán las siguientes funciones:</w:t>
      </w:r>
    </w:p>
    <w:p w14:paraId="0000002A"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1. Realizar la agenda y convocatoria de las sesiones.</w:t>
      </w:r>
    </w:p>
    <w:p w14:paraId="0000002B"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2. Elaborar las actas en cada sesión, las cuales se numerarán consecutivamente con indicación del día, mes y año de la respectiva reunión.</w:t>
      </w:r>
    </w:p>
    <w:p w14:paraId="0000002C"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3. Custodiar y administrar el archivo de las actas, sus anexos y demás documentos relacionados.</w:t>
      </w:r>
    </w:p>
    <w:p w14:paraId="0000002D"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4. Socializar con las áreas o dependencias responsables las recomendaciones del Consejo Directivo y Comité Editor</w:t>
      </w:r>
    </w:p>
    <w:p w14:paraId="0000002E" w14:textId="77777777" w:rsidR="00F553EE" w:rsidRDefault="00000000">
      <w:pPr>
        <w:shd w:val="clear" w:color="auto" w:fill="FFFFFF"/>
        <w:spacing w:after="240"/>
        <w:jc w:val="both"/>
        <w:rPr>
          <w:rFonts w:ascii="Verdana" w:eastAsia="Verdana" w:hAnsi="Verdana" w:cs="Verdana"/>
        </w:rPr>
      </w:pPr>
      <w:r>
        <w:rPr>
          <w:rFonts w:ascii="Verdana" w:eastAsia="Verdana" w:hAnsi="Verdana" w:cs="Verdana"/>
        </w:rPr>
        <w:t>5. Cumplir con las demás que por su naturaleza se requieran o les sean asignadas.</w:t>
      </w:r>
    </w:p>
    <w:p w14:paraId="0000002F" w14:textId="40C18B40" w:rsidR="00F553EE" w:rsidRDefault="00000000">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VIGENCIA. La presente resolución rige a partir de la fecha de su expedición, modifica en lo pertinente la Resolución No. 2794 de 2017 y deroga la Resolución 2044 de 2018, así como las disposiciones que les sean contrarias.</w:t>
      </w:r>
    </w:p>
    <w:p w14:paraId="00000030" w14:textId="77777777" w:rsidR="00F553EE" w:rsidRDefault="00000000">
      <w:pPr>
        <w:shd w:val="clear" w:color="auto" w:fill="FFFFFF"/>
        <w:spacing w:after="240"/>
        <w:jc w:val="center"/>
        <w:rPr>
          <w:rFonts w:ascii="Verdana" w:eastAsia="Verdana" w:hAnsi="Verdana" w:cs="Verdana"/>
        </w:rPr>
      </w:pPr>
      <w:r>
        <w:rPr>
          <w:rFonts w:ascii="Verdana" w:eastAsia="Verdana" w:hAnsi="Verdana" w:cs="Verdana"/>
        </w:rPr>
        <w:lastRenderedPageBreak/>
        <w:t>COMUNIQUESE Y CÚMPLASE</w:t>
      </w:r>
    </w:p>
    <w:p w14:paraId="00000031" w14:textId="77777777" w:rsidR="00F553EE"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13 días de junio de 2018</w:t>
      </w:r>
    </w:p>
    <w:p w14:paraId="00000032" w14:textId="77777777" w:rsidR="00F553EE" w:rsidRDefault="00000000">
      <w:pPr>
        <w:shd w:val="clear" w:color="auto" w:fill="FFFFFF"/>
        <w:spacing w:after="240"/>
        <w:jc w:val="center"/>
        <w:rPr>
          <w:rFonts w:ascii="Verdana" w:eastAsia="Verdana" w:hAnsi="Verdana" w:cs="Verdana"/>
          <w:b/>
          <w:bCs/>
        </w:rPr>
      </w:pPr>
      <w:r>
        <w:rPr>
          <w:rFonts w:ascii="Verdana" w:eastAsia="Verdana" w:hAnsi="Verdana" w:cs="Verdana"/>
          <w:b/>
          <w:bCs/>
        </w:rPr>
        <w:t>KAREN ABUDINEN ABUCHAIBE</w:t>
      </w:r>
    </w:p>
    <w:p w14:paraId="00000033" w14:textId="77777777" w:rsidR="00F553EE"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34" w14:textId="77777777" w:rsidR="00F553EE" w:rsidRDefault="00F553EE">
      <w:pPr>
        <w:rPr>
          <w:rFonts w:ascii="Verdana" w:eastAsia="Verdana" w:hAnsi="Verdana" w:cs="Verdana"/>
        </w:rPr>
      </w:pPr>
    </w:p>
    <w:sectPr w:rsidR="00F553E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C2E3E4B-D994-4B12-9E85-7ECA9B53AB1A}"/>
    <w:embedBold r:id="rId2" w:fontKey="{B49D1094-9680-40C3-B570-C3E7FB836DE2}"/>
  </w:font>
  <w:font w:name="Calibri">
    <w:panose1 w:val="020F0502020204030204"/>
    <w:charset w:val="00"/>
    <w:family w:val="swiss"/>
    <w:pitch w:val="variable"/>
    <w:sig w:usb0="E4002EFF" w:usb1="C200247B" w:usb2="00000009" w:usb3="00000000" w:csb0="000001FF" w:csb1="00000000"/>
    <w:embedRegular r:id="rId3" w:fontKey="{A0EC5C3D-D71A-4CC3-84A3-93B28C2F403A}"/>
  </w:font>
  <w:font w:name="Cambria">
    <w:panose1 w:val="02040503050406030204"/>
    <w:charset w:val="00"/>
    <w:family w:val="roman"/>
    <w:pitch w:val="variable"/>
    <w:sig w:usb0="E00006FF" w:usb1="420024FF" w:usb2="02000000" w:usb3="00000000" w:csb0="0000019F" w:csb1="00000000"/>
    <w:embedRegular r:id="rId4" w:fontKey="{43EB3608-9A2E-418D-B82A-65BBA8C0C2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3EE"/>
    <w:rsid w:val="004E271B"/>
    <w:rsid w:val="00F553EE"/>
    <w:rsid w:val="00FF77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030106-09A4-4736-9632-CB3B5AF08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D1D51E-8D65-40AC-BB93-BFF85D5904E0}"/>
</file>

<file path=customXml/itemProps2.xml><?xml version="1.0" encoding="utf-8"?>
<ds:datastoreItem xmlns:ds="http://schemas.openxmlformats.org/officeDocument/2006/customXml" ds:itemID="{3D856F72-5F95-40F6-8878-8B386774A0E1}"/>
</file>

<file path=customXml/itemProps3.xml><?xml version="1.0" encoding="utf-8"?>
<ds:datastoreItem xmlns:ds="http://schemas.openxmlformats.org/officeDocument/2006/customXml" ds:itemID="{104804C2-9541-466A-B5A1-A022270AC756}"/>
</file>

<file path=docProps/app.xml><?xml version="1.0" encoding="utf-8"?>
<Properties xmlns="http://schemas.openxmlformats.org/officeDocument/2006/extended-properties" xmlns:vt="http://schemas.openxmlformats.org/officeDocument/2006/docPropsVTypes">
  <Template>Normal</Template>
  <TotalTime>0</TotalTime>
  <Pages>1</Pages>
  <Words>962</Words>
  <Characters>5295</Characters>
  <Application>Microsoft Office Word</Application>
  <DocSecurity>0</DocSecurity>
  <Lines>44</Lines>
  <Paragraphs>12</Paragraphs>
  <ScaleCrop>false</ScaleCrop>
  <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2026-03-02T15:33:00Z</dcterms:created>
  <dcterms:modified xsi:type="dcterms:W3CDTF">2026-03-02T15:33:00Z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