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10769F" w14:textId="77777777" w:rsidR="00C90D72" w:rsidRDefault="00C90D72" w:rsidP="00C90D72">
      <w:pPr>
        <w:shd w:val="clear" w:color="auto" w:fill="FFFFFF"/>
        <w:spacing w:after="240" w:line="259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578 DE 2005</w:t>
      </w:r>
    </w:p>
    <w:p w14:paraId="632E0473" w14:textId="77777777" w:rsidR="00C90D72" w:rsidRPr="00C90D72" w:rsidRDefault="00C90D72" w:rsidP="00C90D72">
      <w:pPr>
        <w:pStyle w:val="Sinespaciado"/>
        <w:rPr>
          <w:rFonts w:ascii="Verdana" w:hAnsi="Verdana"/>
          <w:sz w:val="20"/>
          <w:szCs w:val="20"/>
        </w:rPr>
      </w:pPr>
      <w:bookmarkStart w:id="0" w:name="_gkik43155102" w:colFirst="0" w:colLast="0"/>
      <w:bookmarkEnd w:id="0"/>
      <w:r w:rsidRPr="00C90D72">
        <w:rPr>
          <w:rFonts w:ascii="Verdana" w:hAnsi="Verdana"/>
          <w:sz w:val="20"/>
          <w:szCs w:val="20"/>
        </w:rPr>
        <w:t>Fecha de Expedición: 8 de abril de 2005</w:t>
      </w:r>
    </w:p>
    <w:p w14:paraId="776D8C16" w14:textId="77777777" w:rsidR="00C90D72" w:rsidRPr="00C90D72" w:rsidRDefault="00C90D72" w:rsidP="00C90D72">
      <w:pPr>
        <w:pStyle w:val="Sinespaciado"/>
        <w:rPr>
          <w:rFonts w:ascii="Verdana" w:hAnsi="Verdana"/>
          <w:sz w:val="20"/>
          <w:szCs w:val="20"/>
        </w:rPr>
      </w:pPr>
      <w:r w:rsidRPr="00C90D72">
        <w:rPr>
          <w:rFonts w:ascii="Verdana" w:hAnsi="Verdana"/>
          <w:sz w:val="20"/>
          <w:szCs w:val="20"/>
        </w:rPr>
        <w:t>Fecha de entrada en vigencia: 8 de abril de 2005</w:t>
      </w:r>
    </w:p>
    <w:p w14:paraId="40A41FCE" w14:textId="77777777" w:rsidR="00C90D72" w:rsidRPr="00C90D72" w:rsidRDefault="00C90D72" w:rsidP="00C90D72">
      <w:pPr>
        <w:pStyle w:val="Sinespaciado"/>
        <w:rPr>
          <w:rFonts w:ascii="Verdana" w:hAnsi="Verdana"/>
          <w:sz w:val="20"/>
          <w:szCs w:val="20"/>
        </w:rPr>
      </w:pPr>
      <w:r w:rsidRPr="00C90D72">
        <w:rPr>
          <w:rFonts w:ascii="Verdana" w:hAnsi="Verdana"/>
          <w:sz w:val="20"/>
          <w:szCs w:val="20"/>
        </w:rPr>
        <w:t>Estado de la vigencia: Derogada por el artículo 5 de la Resolución 5930 de 2010</w:t>
      </w:r>
    </w:p>
    <w:p w14:paraId="0E20335C" w14:textId="77777777" w:rsidR="00C90D72" w:rsidRDefault="00C90D72" w:rsidP="00C90D72">
      <w:pPr>
        <w:pStyle w:val="Sinespaciado"/>
        <w:rPr>
          <w:rFonts w:ascii="Verdana" w:hAnsi="Verdana"/>
          <w:sz w:val="20"/>
          <w:szCs w:val="20"/>
        </w:rPr>
      </w:pPr>
      <w:r w:rsidRPr="00C90D72">
        <w:rPr>
          <w:rFonts w:ascii="Verdana" w:hAnsi="Verdana"/>
          <w:sz w:val="20"/>
          <w:szCs w:val="20"/>
        </w:rPr>
        <w:tab/>
      </w:r>
    </w:p>
    <w:p w14:paraId="7364E664" w14:textId="7D465462" w:rsidR="00C90D72" w:rsidRPr="00C90D72" w:rsidRDefault="00C90D72" w:rsidP="00C90D72">
      <w:pPr>
        <w:pStyle w:val="Sinespaciado"/>
        <w:rPr>
          <w:rFonts w:ascii="Verdana" w:hAnsi="Verdana"/>
          <w:sz w:val="20"/>
          <w:szCs w:val="20"/>
        </w:rPr>
      </w:pPr>
      <w:r w:rsidRPr="00C90D72">
        <w:rPr>
          <w:rFonts w:ascii="Verdana" w:hAnsi="Verdana"/>
          <w:sz w:val="20"/>
          <w:szCs w:val="20"/>
        </w:rPr>
        <w:t>Fecha de publicación en Diario Oficial: N/A</w:t>
      </w:r>
    </w:p>
    <w:p w14:paraId="7F57E101" w14:textId="00E79241" w:rsidR="00947F02" w:rsidRDefault="00C90D72" w:rsidP="00C90D72">
      <w:pPr>
        <w:pStyle w:val="Sinespaciado"/>
        <w:rPr>
          <w:rFonts w:ascii="Verdana" w:hAnsi="Verdana"/>
          <w:sz w:val="20"/>
          <w:szCs w:val="20"/>
        </w:rPr>
      </w:pPr>
      <w:r w:rsidRPr="00C90D72">
        <w:rPr>
          <w:rFonts w:ascii="Verdana" w:hAnsi="Verdana"/>
          <w:sz w:val="20"/>
          <w:szCs w:val="20"/>
        </w:rPr>
        <w:t>Número del Diario Oficial: N/A</w:t>
      </w:r>
    </w:p>
    <w:p w14:paraId="5EB91422" w14:textId="77777777" w:rsidR="00C90D72" w:rsidRPr="00C90D72" w:rsidRDefault="00C90D72" w:rsidP="00C90D72">
      <w:pPr>
        <w:pStyle w:val="Sinespaciado"/>
        <w:rPr>
          <w:rFonts w:ascii="Verdana" w:hAnsi="Verdana"/>
          <w:sz w:val="20"/>
          <w:szCs w:val="20"/>
        </w:rPr>
      </w:pPr>
    </w:p>
    <w:p w14:paraId="695FCE6F" w14:textId="77777777" w:rsidR="00947F02" w:rsidRDefault="00723DA7">
      <w:pPr>
        <w:shd w:val="clear" w:color="auto" w:fill="FFFFFF"/>
        <w:spacing w:after="240" w:line="259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578 DE 2005</w:t>
      </w:r>
    </w:p>
    <w:p w14:paraId="1B7F67E5" w14:textId="77777777" w:rsidR="00947F02" w:rsidRDefault="00723DA7">
      <w:pPr>
        <w:shd w:val="clear" w:color="auto" w:fill="FFFFFF"/>
        <w:spacing w:after="240" w:line="259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(8 abril)</w:t>
      </w:r>
    </w:p>
    <w:p w14:paraId="01C1816E" w14:textId="77777777" w:rsidR="00947F02" w:rsidRPr="00F83332" w:rsidRDefault="00723DA7">
      <w:pPr>
        <w:shd w:val="clear" w:color="auto" w:fill="FFFFFF"/>
        <w:spacing w:after="240" w:line="259" w:lineRule="auto"/>
        <w:jc w:val="center"/>
        <w:rPr>
          <w:rFonts w:ascii="Verdana" w:eastAsia="Verdana" w:hAnsi="Verdana" w:cs="Verdana"/>
          <w:b/>
          <w:bCs/>
        </w:rPr>
      </w:pPr>
      <w:r w:rsidRPr="00F83332">
        <w:rPr>
          <w:rFonts w:ascii="Verdana" w:eastAsia="Verdana" w:hAnsi="Verdana" w:cs="Verdana"/>
          <w:b/>
          <w:bCs/>
        </w:rPr>
        <w:t>INSTITUTO COLOMBIANO DE BIENESTAR FAMILIAR – ICBF</w:t>
      </w:r>
    </w:p>
    <w:p w14:paraId="778F0624" w14:textId="77777777" w:rsidR="00947F02" w:rsidRDefault="00723DA7">
      <w:pPr>
        <w:shd w:val="clear" w:color="auto" w:fill="FFFFFF"/>
        <w:spacing w:after="240" w:line="259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“Por la cual se adoptan los Lineamientos Técnico Administrativos y Estándares de Estructura de Hogares Sustitutos y Amigos”</w:t>
      </w:r>
    </w:p>
    <w:p w14:paraId="44EB813A" w14:textId="77777777" w:rsidR="00947F02" w:rsidRPr="00F83332" w:rsidRDefault="00723DA7">
      <w:pPr>
        <w:shd w:val="clear" w:color="auto" w:fill="FFFFFF"/>
        <w:spacing w:after="240" w:line="259" w:lineRule="auto"/>
        <w:jc w:val="center"/>
        <w:rPr>
          <w:rFonts w:ascii="Verdana" w:eastAsia="Verdana" w:hAnsi="Verdana" w:cs="Verdana"/>
          <w:b/>
          <w:bCs/>
        </w:rPr>
      </w:pPr>
      <w:r w:rsidRPr="00F83332">
        <w:rPr>
          <w:rFonts w:ascii="Verdana" w:eastAsia="Verdana" w:hAnsi="Verdana" w:cs="Verdana"/>
          <w:b/>
          <w:bCs/>
        </w:rPr>
        <w:t>LA DIRECTORA GENERAL DEL INSTITUTO COLOMBIANO</w:t>
      </w:r>
    </w:p>
    <w:p w14:paraId="19C95914" w14:textId="77777777" w:rsidR="00947F02" w:rsidRPr="00F83332" w:rsidRDefault="00723DA7">
      <w:pPr>
        <w:shd w:val="clear" w:color="auto" w:fill="FFFFFF"/>
        <w:spacing w:after="240" w:line="259" w:lineRule="auto"/>
        <w:jc w:val="center"/>
        <w:rPr>
          <w:rFonts w:ascii="Verdana" w:eastAsia="Verdana" w:hAnsi="Verdana" w:cs="Verdana"/>
          <w:b/>
          <w:bCs/>
        </w:rPr>
      </w:pPr>
      <w:r w:rsidRPr="00F83332">
        <w:rPr>
          <w:rFonts w:ascii="Verdana" w:eastAsia="Verdana" w:hAnsi="Verdana" w:cs="Verdana"/>
          <w:b/>
          <w:bCs/>
        </w:rPr>
        <w:t>DE BIENESTAR FAMILIAR</w:t>
      </w:r>
    </w:p>
    <w:p w14:paraId="5C6B00EC" w14:textId="77777777" w:rsidR="00947F02" w:rsidRDefault="00723DA7">
      <w:pPr>
        <w:shd w:val="clear" w:color="auto" w:fill="FFFFFF"/>
        <w:spacing w:after="240" w:line="259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 uso de sus facultades legales y estatutarias y</w:t>
      </w:r>
    </w:p>
    <w:p w14:paraId="100F4178" w14:textId="77777777" w:rsidR="00947F02" w:rsidRPr="00F83332" w:rsidRDefault="00723DA7">
      <w:pPr>
        <w:shd w:val="clear" w:color="auto" w:fill="FFFFFF"/>
        <w:spacing w:after="240" w:line="259" w:lineRule="auto"/>
        <w:jc w:val="center"/>
        <w:rPr>
          <w:rFonts w:ascii="Verdana" w:eastAsia="Verdana" w:hAnsi="Verdana" w:cs="Verdana"/>
          <w:b/>
          <w:bCs/>
        </w:rPr>
      </w:pPr>
      <w:r w:rsidRPr="00F83332">
        <w:rPr>
          <w:rFonts w:ascii="Verdana" w:eastAsia="Verdana" w:hAnsi="Verdana" w:cs="Verdana"/>
          <w:b/>
          <w:bCs/>
        </w:rPr>
        <w:t>CONSIDERANDO:</w:t>
      </w:r>
    </w:p>
    <w:p w14:paraId="344F4301" w14:textId="61616B5A" w:rsidR="00947F02" w:rsidRDefault="00723DA7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de acuerdo con lo establecido en el artículo </w:t>
      </w:r>
      <w:r w:rsidR="00947F02">
        <w:rPr>
          <w:rFonts w:ascii="Verdana" w:eastAsia="Verdana" w:hAnsi="Verdana" w:cs="Verdana"/>
        </w:rPr>
        <w:t>12</w:t>
      </w:r>
      <w:r>
        <w:rPr>
          <w:rFonts w:ascii="Verdana" w:eastAsia="Verdana" w:hAnsi="Verdana" w:cs="Verdana"/>
        </w:rPr>
        <w:t xml:space="preserve"> del Decreto 2388 de 1979, reglamentario de la Ley </w:t>
      </w:r>
      <w:r w:rsidR="00947F02"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</w:rPr>
        <w:t xml:space="preserve"> de 1979, las actividades que realicen las entidades del Sistema Nacional de Bienestar Familiar con el fin de prestar el Servicio Público de Bienestar Familiar, deberán cumplirse con estricta sujeción a las normas del servicio y a los reglamentos dictados por el ICBF.</w:t>
      </w:r>
    </w:p>
    <w:p w14:paraId="5FCA4FDC" w14:textId="1DB5088B" w:rsidR="00947F02" w:rsidRDefault="00723DA7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de acuerdo con lo establecido en los artículos </w:t>
      </w:r>
      <w:r w:rsidR="00947F02">
        <w:rPr>
          <w:rFonts w:ascii="Verdana" w:eastAsia="Verdana" w:hAnsi="Verdana" w:cs="Verdana"/>
        </w:rPr>
        <w:t>57</w:t>
      </w:r>
      <w:r>
        <w:rPr>
          <w:rFonts w:ascii="Verdana" w:eastAsia="Verdana" w:hAnsi="Verdana" w:cs="Verdana"/>
        </w:rPr>
        <w:t xml:space="preserve">, </w:t>
      </w:r>
      <w:r w:rsidR="00947F02">
        <w:rPr>
          <w:rFonts w:ascii="Verdana" w:eastAsia="Verdana" w:hAnsi="Verdana" w:cs="Verdana"/>
        </w:rPr>
        <w:t>73</w:t>
      </w:r>
      <w:r>
        <w:rPr>
          <w:rFonts w:ascii="Verdana" w:eastAsia="Verdana" w:hAnsi="Verdana" w:cs="Verdana"/>
        </w:rPr>
        <w:t xml:space="preserve"> y </w:t>
      </w:r>
      <w:r w:rsidR="00947F02">
        <w:rPr>
          <w:rFonts w:ascii="Verdana" w:eastAsia="Verdana" w:hAnsi="Verdana" w:cs="Verdana"/>
        </w:rPr>
        <w:t>79</w:t>
      </w:r>
      <w:r>
        <w:rPr>
          <w:rFonts w:ascii="Verdana" w:eastAsia="Verdana" w:hAnsi="Verdana" w:cs="Verdana"/>
        </w:rPr>
        <w:t xml:space="preserve"> del Decreto 2737 de 1989 -Código del Menor-, corresponde al ICBF ordenar la medida de colocación familiar en Hogares Sustitutos y Amigos, de acuerdo con lo establecido para la protección de niños, niñas y adolescentes en situación de abandono, peligro, riesgo y demás situaciones de vulneración de sus derechos.</w:t>
      </w:r>
    </w:p>
    <w:p w14:paraId="6F66843C" w14:textId="3B6C1A9D" w:rsidR="00947F02" w:rsidRDefault="00723DA7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de acuerdo con el Decreto </w:t>
      </w:r>
      <w:r w:rsidR="00947F02">
        <w:rPr>
          <w:rFonts w:ascii="Verdana" w:eastAsia="Verdana" w:hAnsi="Verdana" w:cs="Verdana"/>
        </w:rPr>
        <w:t>3264</w:t>
      </w:r>
      <w:r>
        <w:rPr>
          <w:rFonts w:ascii="Verdana" w:eastAsia="Verdana" w:hAnsi="Verdana" w:cs="Verdana"/>
        </w:rPr>
        <w:t xml:space="preserve"> del 30 de diciembre del 2002, mediante el cual se establece la estructura del nivel central del ICBF y se determinan las funciones de sus dependencias, son funciones de la Dirección Técnica entre otras: 1) Proponer a la Dirección General el desarrollo de programas y servicios que den respuesta a las necesidades y problemáticas de la niñez y la familia colombiana; y 2) Orientar la formulación de lineamientos y estándares para los servicios de atención a la niñez y la familia. Igualmente corresponde a la Sub</w:t>
      </w:r>
      <w:r>
        <w:rPr>
          <w:rFonts w:ascii="Verdana" w:eastAsia="Verdana" w:hAnsi="Verdana" w:cs="Verdana"/>
        </w:rPr>
        <w:t>dirección de Lineamientos y Estándares coordinar el diseño de estándares y lineamientos que sean necesarios para la prestación del Servicio Público de Bienestar Familiar.</w:t>
      </w:r>
    </w:p>
    <w:p w14:paraId="4AEBDF6B" w14:textId="77777777" w:rsidR="00947F02" w:rsidRDefault="00723DA7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los Lineamientos Técnico Administrativos y Estándares de los Hogares Sustitutos y Amigos, contribuyen a mejorar la gestión institucional en las diferentes dependencias en el Instituto, por cuanto contienen el marco conceptual, </w:t>
      </w:r>
      <w:r>
        <w:rPr>
          <w:rFonts w:ascii="Verdana" w:eastAsia="Verdana" w:hAnsi="Verdana" w:cs="Verdana"/>
        </w:rPr>
        <w:lastRenderedPageBreak/>
        <w:t>normativo y metodológico para la organización, puesta en marcha, contratación y seguimiento de las diferentes modalidades de atención a la niñez y la familia en situación de vulnerabilidad social y de vulneración de sus derechos.</w:t>
      </w:r>
    </w:p>
    <w:p w14:paraId="55E6DBD2" w14:textId="77777777" w:rsidR="00947F02" w:rsidRDefault="00723DA7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los Lineamientos Técnico Administrativos y Estándares de los Hogares Sustitutos y Amigos fueron revisados y avalados por las Regionales y Agencias ICBF, y por las Direcciones Técnica, de Planeación y de Evaluación de la Sede Nacional.</w:t>
      </w:r>
    </w:p>
    <w:p w14:paraId="148BD9DD" w14:textId="2B44DA14" w:rsidR="00947F02" w:rsidRDefault="00723DA7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de acuerdo con la Resolución </w:t>
      </w:r>
      <w:r w:rsidR="00947F02">
        <w:rPr>
          <w:rFonts w:ascii="Verdana" w:eastAsia="Verdana" w:hAnsi="Verdana" w:cs="Verdana"/>
        </w:rPr>
        <w:t>2623</w:t>
      </w:r>
      <w:r>
        <w:rPr>
          <w:rFonts w:ascii="Verdana" w:eastAsia="Verdana" w:hAnsi="Verdana" w:cs="Verdana"/>
        </w:rPr>
        <w:t xml:space="preserve"> del 19 de diciembre de 2003, expedida por la Dirección General del ICBF, se hace necesario reglamentar la elaboración, revisión y aprobación de los manuales, lineamientos, procesos, procedimientos, formatos e instructivos en el Instituto, para lo cual,</w:t>
      </w:r>
    </w:p>
    <w:p w14:paraId="5431AD34" w14:textId="77777777" w:rsidR="00947F02" w:rsidRPr="00F83332" w:rsidRDefault="00723DA7">
      <w:pPr>
        <w:shd w:val="clear" w:color="auto" w:fill="FFFFFF"/>
        <w:spacing w:after="240" w:line="259" w:lineRule="auto"/>
        <w:jc w:val="center"/>
        <w:rPr>
          <w:rFonts w:ascii="Verdana" w:eastAsia="Verdana" w:hAnsi="Verdana" w:cs="Verdana"/>
          <w:b/>
          <w:bCs/>
        </w:rPr>
      </w:pPr>
      <w:r w:rsidRPr="00F83332">
        <w:rPr>
          <w:rFonts w:ascii="Verdana" w:eastAsia="Verdana" w:hAnsi="Verdana" w:cs="Verdana"/>
          <w:b/>
          <w:bCs/>
        </w:rPr>
        <w:t xml:space="preserve">RESUELVE: </w:t>
      </w:r>
    </w:p>
    <w:p w14:paraId="10CE8D65" w14:textId="045EF85D" w:rsidR="00947F02" w:rsidRDefault="00723DA7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r w:rsidRPr="00F83332">
        <w:rPr>
          <w:rFonts w:ascii="Verdana" w:eastAsia="Verdana" w:hAnsi="Verdana" w:cs="Verdana"/>
          <w:b/>
          <w:bCs/>
        </w:rPr>
        <w:t>ARTÍCULO 1o</w:t>
      </w:r>
      <w:r>
        <w:rPr>
          <w:rFonts w:ascii="Verdana" w:eastAsia="Verdana" w:hAnsi="Verdana" w:cs="Verdana"/>
        </w:rPr>
        <w:t>. Aprobar, mediante la presente resolución, los Lineamientos Técnico Administrativos y Estándares de los Hogares Sustitutos y Amigos.</w:t>
      </w:r>
    </w:p>
    <w:p w14:paraId="5F130593" w14:textId="77777777" w:rsidR="00947F02" w:rsidRDefault="00947F02">
      <w:pPr>
        <w:shd w:val="clear" w:color="auto" w:fill="FFFFFF"/>
        <w:spacing w:line="259" w:lineRule="auto"/>
        <w:jc w:val="both"/>
        <w:rPr>
          <w:rFonts w:ascii="Verdana" w:eastAsia="Verdana" w:hAnsi="Verdana" w:cs="Verdana"/>
        </w:rPr>
      </w:pPr>
    </w:p>
    <w:p w14:paraId="77C9C6D8" w14:textId="4A6AB424" w:rsidR="00947F02" w:rsidRDefault="00723DA7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r w:rsidRPr="00F83332">
        <w:rPr>
          <w:rFonts w:ascii="Verdana" w:eastAsia="Verdana" w:hAnsi="Verdana" w:cs="Verdana"/>
          <w:b/>
          <w:bCs/>
        </w:rPr>
        <w:t>ARTÍCULO 2o</w:t>
      </w:r>
      <w:r>
        <w:rPr>
          <w:rFonts w:ascii="Verdana" w:eastAsia="Verdana" w:hAnsi="Verdana" w:cs="Verdana"/>
        </w:rPr>
        <w:t>. Los Lineamientos y Estándares aprobados por la presente resolución, son de obligatorio cumplimiento por las áreas, Servidores Públicos y Entidades que prestan los servicios de Bienestar Familiar y hacen parte del presente acto administrativo en ciento sesenta y siete (167) folios útiles.</w:t>
      </w:r>
    </w:p>
    <w:p w14:paraId="12DE42A2" w14:textId="77777777" w:rsidR="00947F02" w:rsidRDefault="00723DA7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r w:rsidRPr="00F83332">
        <w:rPr>
          <w:rFonts w:ascii="Verdana" w:eastAsia="Verdana" w:hAnsi="Verdana" w:cs="Verdana"/>
          <w:b/>
          <w:bCs/>
        </w:rPr>
        <w:t>PARÁGRAFO:</w:t>
      </w:r>
      <w:r>
        <w:rPr>
          <w:rFonts w:ascii="Verdana" w:eastAsia="Verdana" w:hAnsi="Verdana" w:cs="Verdana"/>
        </w:rPr>
        <w:t xml:space="preserve"> Los Directores, Jefes de Oficina y Coordinadores de Grupo serán responsables de la aplicación de los Lineamientos Técnico Administrativos y Estándares de Estructura de los Hogares Sustitutos y Amigos aquí aprobados; la Oficina Jurídica, Dirección Técnica y la Dirección de Evaluación verificarán el cumplimiento de esta responsabilidad.</w:t>
      </w:r>
    </w:p>
    <w:p w14:paraId="73AF058F" w14:textId="77777777" w:rsidR="00947F02" w:rsidRDefault="00947F02">
      <w:pPr>
        <w:shd w:val="clear" w:color="auto" w:fill="FFFFFF"/>
        <w:spacing w:line="259" w:lineRule="auto"/>
        <w:jc w:val="both"/>
        <w:rPr>
          <w:rFonts w:ascii="Verdana" w:eastAsia="Verdana" w:hAnsi="Verdana" w:cs="Verdana"/>
        </w:rPr>
      </w:pPr>
    </w:p>
    <w:p w14:paraId="1C752E72" w14:textId="3E33538D" w:rsidR="00947F02" w:rsidRDefault="00723DA7">
      <w:pPr>
        <w:shd w:val="clear" w:color="auto" w:fill="FFFFFF"/>
        <w:spacing w:after="240" w:line="259" w:lineRule="auto"/>
        <w:jc w:val="both"/>
        <w:rPr>
          <w:rFonts w:ascii="Verdana" w:eastAsia="Verdana" w:hAnsi="Verdana" w:cs="Verdana"/>
        </w:rPr>
      </w:pPr>
      <w:r w:rsidRPr="00F83332">
        <w:rPr>
          <w:rFonts w:ascii="Verdana" w:eastAsia="Verdana" w:hAnsi="Verdana" w:cs="Verdana"/>
          <w:b/>
          <w:bCs/>
        </w:rPr>
        <w:t>ARTÍCULO 3o.</w:t>
      </w:r>
      <w:r>
        <w:rPr>
          <w:rFonts w:ascii="Verdana" w:eastAsia="Verdana" w:hAnsi="Verdana" w:cs="Verdana"/>
        </w:rPr>
        <w:t xml:space="preserve"> </w:t>
      </w:r>
      <w:r w:rsidR="00C90D72">
        <w:rPr>
          <w:rFonts w:ascii="Verdana" w:eastAsia="Verdana" w:hAnsi="Verdana" w:cs="Verdana"/>
        </w:rPr>
        <w:t>[</w:t>
      </w:r>
      <w:r>
        <w:rPr>
          <w:rFonts w:ascii="Verdana" w:eastAsia="Verdana" w:hAnsi="Verdana" w:cs="Verdana"/>
        </w:rPr>
        <w:t xml:space="preserve">Resolución derogada por el artículo </w:t>
      </w:r>
      <w:r w:rsidR="00947F02">
        <w:rPr>
          <w:rFonts w:ascii="Verdana" w:eastAsia="Verdana" w:hAnsi="Verdana" w:cs="Verdana"/>
        </w:rPr>
        <w:t>5</w:t>
      </w:r>
      <w:r>
        <w:rPr>
          <w:rFonts w:ascii="Verdana" w:eastAsia="Verdana" w:hAnsi="Verdana" w:cs="Verdana"/>
        </w:rPr>
        <w:t xml:space="preserve"> de la Resolución 5930 de 2010</w:t>
      </w:r>
      <w:r w:rsidR="00C90D72">
        <w:rPr>
          <w:rFonts w:ascii="Verdana" w:eastAsia="Verdana" w:hAnsi="Verdana" w:cs="Verdana"/>
        </w:rPr>
        <w:t>]</w:t>
      </w:r>
      <w:r>
        <w:rPr>
          <w:rFonts w:ascii="Verdana" w:eastAsia="Verdana" w:hAnsi="Verdana" w:cs="Verdana"/>
        </w:rPr>
        <w:t xml:space="preserve"> La presente Resolución rige a partir de la fecha de su expedición.</w:t>
      </w:r>
    </w:p>
    <w:p w14:paraId="568389AE" w14:textId="77777777" w:rsidR="00947F02" w:rsidRPr="00F83332" w:rsidRDefault="00723DA7">
      <w:pPr>
        <w:shd w:val="clear" w:color="auto" w:fill="FFFFFF"/>
        <w:spacing w:after="240" w:line="259" w:lineRule="auto"/>
        <w:jc w:val="center"/>
        <w:rPr>
          <w:rFonts w:ascii="Verdana" w:eastAsia="Verdana" w:hAnsi="Verdana" w:cs="Verdana"/>
          <w:b/>
          <w:bCs/>
        </w:rPr>
      </w:pPr>
      <w:r w:rsidRPr="00F83332">
        <w:rPr>
          <w:rFonts w:ascii="Verdana" w:eastAsia="Verdana" w:hAnsi="Verdana" w:cs="Verdana"/>
          <w:b/>
          <w:bCs/>
        </w:rPr>
        <w:t>PUBLÍQUESE, COMUNÍQUESE Y CÚMPLASE</w:t>
      </w:r>
    </w:p>
    <w:p w14:paraId="0F45AFE1" w14:textId="77777777" w:rsidR="00947F02" w:rsidRDefault="00723DA7">
      <w:pPr>
        <w:shd w:val="clear" w:color="auto" w:fill="FFFFFF"/>
        <w:spacing w:after="240" w:line="259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 D. C. a los 8 de abril de 2005</w:t>
      </w:r>
    </w:p>
    <w:p w14:paraId="7F791224" w14:textId="77777777" w:rsidR="00947F02" w:rsidRPr="00F83332" w:rsidRDefault="00723DA7">
      <w:pPr>
        <w:shd w:val="clear" w:color="auto" w:fill="FFFFFF"/>
        <w:spacing w:after="240" w:line="259" w:lineRule="auto"/>
        <w:jc w:val="center"/>
        <w:rPr>
          <w:rFonts w:ascii="Verdana" w:eastAsia="Verdana" w:hAnsi="Verdana" w:cs="Verdana"/>
          <w:b/>
          <w:bCs/>
        </w:rPr>
      </w:pPr>
      <w:r w:rsidRPr="00F83332">
        <w:rPr>
          <w:rFonts w:ascii="Verdana" w:eastAsia="Verdana" w:hAnsi="Verdana" w:cs="Verdana"/>
          <w:b/>
          <w:bCs/>
        </w:rPr>
        <w:t>BEATRÍZ LONDOÑO SOTO</w:t>
      </w:r>
    </w:p>
    <w:p w14:paraId="62B9F340" w14:textId="77777777" w:rsidR="00947F02" w:rsidRDefault="00723DA7">
      <w:pPr>
        <w:shd w:val="clear" w:color="auto" w:fill="FFFFFF"/>
        <w:spacing w:after="240" w:line="259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Directora General</w:t>
      </w:r>
    </w:p>
    <w:p w14:paraId="12B5C7FA" w14:textId="77777777" w:rsidR="00947F02" w:rsidRDefault="00947F02">
      <w:pPr>
        <w:spacing w:after="160" w:line="259" w:lineRule="auto"/>
        <w:rPr>
          <w:rFonts w:ascii="Verdana" w:eastAsia="Verdana" w:hAnsi="Verdana" w:cs="Verdana"/>
        </w:rPr>
      </w:pPr>
    </w:p>
    <w:sectPr w:rsidR="00947F0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E1D4383-168D-4B5C-B1A4-1E1FA3406CB1}"/>
    <w:embedBold r:id="rId2" w:fontKey="{F14FE988-7981-4C94-B2AF-F237C26FBA2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CEDBC0F-D668-416C-96BA-CD037A165C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13AA88E-590F-4F7E-AD73-69A83F59C5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7F02"/>
    <w:rsid w:val="0058710A"/>
    <w:rsid w:val="00665FDA"/>
    <w:rsid w:val="007928FC"/>
    <w:rsid w:val="00947F02"/>
    <w:rsid w:val="00C90D72"/>
    <w:rsid w:val="00CB29F6"/>
    <w:rsid w:val="00F83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5334B4"/>
  <w15:docId w15:val="{069598BA-8E2C-46B9-ACBC-B8B218BD4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C90D7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9C6C40D-D9AE-4B9F-9A04-C86FFB493FE6}"/>
</file>

<file path=customXml/itemProps2.xml><?xml version="1.0" encoding="utf-8"?>
<ds:datastoreItem xmlns:ds="http://schemas.openxmlformats.org/officeDocument/2006/customXml" ds:itemID="{99BF8CF9-EE21-4402-A46E-1DB42222FD04}"/>
</file>

<file path=customXml/itemProps3.xml><?xml version="1.0" encoding="utf-8"?>
<ds:datastoreItem xmlns:ds="http://schemas.openxmlformats.org/officeDocument/2006/customXml" ds:itemID="{E9FC08AF-86FF-440D-9D02-C6D1735B9C7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637</Words>
  <Characters>3506</Characters>
  <Application>Microsoft Office Word</Application>
  <DocSecurity>0</DocSecurity>
  <Lines>29</Lines>
  <Paragraphs>8</Paragraphs>
  <ScaleCrop>false</ScaleCrop>
  <Company/>
  <LinksUpToDate>false</LinksUpToDate>
  <CharactersWithSpaces>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Eduardo Lozano Bocanegra</dc:creator>
  <cp:lastModifiedBy>Jose Patricio Lizca Alvarez</cp:lastModifiedBy>
  <cp:revision>5</cp:revision>
  <dcterms:created xsi:type="dcterms:W3CDTF">2025-11-26T21:15:00Z</dcterms:created>
  <dcterms:modified xsi:type="dcterms:W3CDTF">2026-04-16T15:54:00Z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