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C4157" w:rsidRDefault="00000000" w14:paraId="00000001" w14:textId="77777777">
      <w:pPr>
        <w:shd w:val="clear" w:color="auto" w:fill="FFFFFF"/>
        <w:spacing w:after="240"/>
        <w:jc w:val="center"/>
        <w:rPr>
          <w:rFonts w:ascii="Verdana" w:hAnsi="Verdana" w:eastAsia="Verdana" w:cs="Verdana"/>
          <w:b/>
          <w:bCs/>
        </w:rPr>
      </w:pPr>
      <w:r>
        <w:rPr>
          <w:rFonts w:ascii="Verdana" w:hAnsi="Verdana" w:eastAsia="Verdana" w:cs="Verdana"/>
          <w:b/>
          <w:bCs/>
        </w:rPr>
        <w:t>RESOLUCIÓN 5495 DE 2018</w:t>
      </w:r>
    </w:p>
    <w:p w:rsidR="00AC4157" w:rsidRDefault="00000000" w14:paraId="00000002" w14:textId="77777777">
      <w:pPr>
        <w:spacing w:line="240" w:lineRule="auto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>Fecha de Expedición: 4 de mayo de 2018</w:t>
      </w:r>
    </w:p>
    <w:p w:rsidR="00AC4157" w:rsidP="54F3AB6E" w:rsidRDefault="00000000" w14:paraId="00000003" w14:textId="77777777">
      <w:pPr>
        <w:spacing w:line="240" w:lineRule="auto"/>
        <w:rPr>
          <w:rFonts w:ascii="Verdana" w:hAnsi="Verdana" w:eastAsia="Verdana" w:cs="Verdana"/>
          <w:lang w:val="es-ES"/>
        </w:rPr>
      </w:pPr>
      <w:r w:rsidRPr="54F3AB6E" w:rsidR="7D63B56B">
        <w:rPr>
          <w:rFonts w:ascii="Verdana" w:hAnsi="Verdana" w:eastAsia="Verdana" w:cs="Verdana"/>
          <w:lang w:val="es-ES"/>
        </w:rPr>
        <w:t xml:space="preserve">Fecha de </w:t>
      </w:r>
      <w:r w:rsidRPr="54F3AB6E" w:rsidR="7D63B56B">
        <w:rPr>
          <w:rFonts w:ascii="Verdana" w:hAnsi="Verdana" w:eastAsia="Verdana" w:cs="Verdana"/>
          <w:lang w:val="es-ES"/>
        </w:rPr>
        <w:t>entrada en vigencia</w:t>
      </w:r>
      <w:r w:rsidRPr="54F3AB6E" w:rsidR="7D63B56B">
        <w:rPr>
          <w:rFonts w:ascii="Verdana" w:hAnsi="Verdana" w:eastAsia="Verdana" w:cs="Verdana"/>
          <w:lang w:val="es-ES"/>
        </w:rPr>
        <w:t>: 4 de mayo de 2018</w:t>
      </w:r>
    </w:p>
    <w:p w:rsidR="00AC4157" w:rsidP="54F3AB6E" w:rsidRDefault="00000000" w14:paraId="00000004" w14:textId="7B349F3E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Verdana" w:hAnsi="Verdana" w:eastAsia="Verdana" w:cs="Verdana"/>
        </w:rPr>
      </w:pPr>
      <w:r w:rsidRPr="54F3AB6E" w:rsidR="7D63B56B">
        <w:rPr>
          <w:rFonts w:ascii="Verdana" w:hAnsi="Verdana" w:eastAsia="Verdana" w:cs="Verdana"/>
        </w:rPr>
        <w:t>Estado de la vigencia:</w:t>
      </w:r>
      <w:r w:rsidRPr="54F3AB6E" w:rsidR="7D63B56B">
        <w:rPr>
          <w:rFonts w:ascii="Verdana" w:hAnsi="Verdana" w:eastAsia="Verdana" w:cs="Verdana"/>
          <w:highlight w:val="white"/>
        </w:rPr>
        <w:t xml:space="preserve"> </w:t>
      </w:r>
      <w:r w:rsidRPr="54F3AB6E" w:rsidR="6F0AE515">
        <w:rPr>
          <w:rFonts w:ascii="Verdana" w:hAnsi="Verdana" w:eastAsia="Verdana" w:cs="Verdana"/>
        </w:rPr>
        <w:t>Derogada por la Resolución 6300 de 2024</w:t>
      </w:r>
    </w:p>
    <w:p w:rsidR="00AC4157" w:rsidRDefault="00AC4157" w14:paraId="00000005" w14:textId="77777777">
      <w:pPr>
        <w:spacing w:line="240" w:lineRule="auto"/>
        <w:rPr>
          <w:rFonts w:ascii="Verdana" w:hAnsi="Verdana" w:eastAsia="Verdana" w:cs="Verdana"/>
        </w:rPr>
      </w:pPr>
    </w:p>
    <w:p w:rsidR="00AC4157" w:rsidRDefault="00000000" w14:paraId="00000006" w14:textId="77777777">
      <w:pPr>
        <w:spacing w:line="240" w:lineRule="auto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>Fecha de publicación en Diario Oficial: 7 de mayo de 2018</w:t>
      </w:r>
    </w:p>
    <w:p w:rsidR="00AC4157" w:rsidRDefault="00000000" w14:paraId="00000007" w14:textId="77777777">
      <w:pPr>
        <w:spacing w:line="240" w:lineRule="auto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>Número del Diario Oficial: No. 50.586</w:t>
      </w:r>
    </w:p>
    <w:p w:rsidR="00AC4157" w:rsidRDefault="00AC4157" w14:paraId="00000008" w14:textId="77777777">
      <w:pPr>
        <w:rPr>
          <w:rFonts w:ascii="Verdana" w:hAnsi="Verdana" w:eastAsia="Verdana" w:cs="Verdana"/>
        </w:rPr>
      </w:pPr>
    </w:p>
    <w:p w:rsidR="00AC4157" w:rsidRDefault="00000000" w14:paraId="00000009" w14:textId="77777777">
      <w:pPr>
        <w:shd w:val="clear" w:color="auto" w:fill="FFFFFF"/>
        <w:spacing w:after="240"/>
        <w:jc w:val="center"/>
        <w:rPr>
          <w:rFonts w:ascii="Verdana" w:hAnsi="Verdana" w:eastAsia="Verdana" w:cs="Verdana"/>
          <w:b/>
          <w:bCs/>
        </w:rPr>
      </w:pPr>
      <w:r>
        <w:rPr>
          <w:rFonts w:ascii="Verdana" w:hAnsi="Verdana" w:eastAsia="Verdana" w:cs="Verdana"/>
          <w:b/>
          <w:bCs/>
        </w:rPr>
        <w:t>RESOLUCIÓN 5495 DE 2018</w:t>
      </w:r>
    </w:p>
    <w:p w:rsidR="00AC4157" w:rsidRDefault="00000000" w14:paraId="0000000A" w14:textId="77777777">
      <w:pPr>
        <w:shd w:val="clear" w:color="auto" w:fill="FFFFFF"/>
        <w:spacing w:after="240"/>
        <w:jc w:val="center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>(mayo 4)</w:t>
      </w:r>
    </w:p>
    <w:p w:rsidR="00AC4157" w:rsidRDefault="00000000" w14:paraId="0000000B" w14:textId="77777777">
      <w:pPr>
        <w:shd w:val="clear" w:color="auto" w:fill="FFFFFF"/>
        <w:spacing w:after="240"/>
        <w:jc w:val="center"/>
        <w:rPr>
          <w:rFonts w:ascii="Verdana" w:hAnsi="Verdana" w:eastAsia="Verdana" w:cs="Verdana"/>
          <w:b/>
          <w:bCs/>
        </w:rPr>
      </w:pPr>
      <w:r>
        <w:rPr>
          <w:rFonts w:ascii="Verdana" w:hAnsi="Verdana" w:eastAsia="Verdana" w:cs="Verdana"/>
          <w:b/>
          <w:bCs/>
        </w:rPr>
        <w:t>INSTITUTO COLOMBIANO DE BIENESTAR FAMILIAR CECILIA DE LA FUENTE DE LLERAS DIRECCIÓN GENERAL</w:t>
      </w:r>
    </w:p>
    <w:p w:rsidR="00AC4157" w:rsidRDefault="00000000" w14:paraId="0000000C" w14:textId="6425E104">
      <w:pPr>
        <w:shd w:val="clear" w:color="auto" w:fill="FFFFFF"/>
        <w:spacing w:after="240"/>
        <w:jc w:val="center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>Por la cual se modifica la Resolución número 3899 del 8 de septiembre de 2010.</w:t>
      </w:r>
    </w:p>
    <w:p w:rsidR="00AC4157" w:rsidRDefault="00000000" w14:paraId="0000000D" w14:textId="77777777">
      <w:pPr>
        <w:shd w:val="clear" w:color="auto" w:fill="FFFFFF"/>
        <w:spacing w:after="240"/>
        <w:jc w:val="center"/>
        <w:rPr>
          <w:rFonts w:ascii="Verdana" w:hAnsi="Verdana" w:eastAsia="Verdana" w:cs="Verdana"/>
          <w:b/>
          <w:bCs/>
        </w:rPr>
      </w:pPr>
      <w:r>
        <w:rPr>
          <w:rFonts w:ascii="Verdana" w:hAnsi="Verdana" w:eastAsia="Verdana" w:cs="Verdana"/>
          <w:b/>
          <w:bCs/>
        </w:rPr>
        <w:t xml:space="preserve">LA DIRECTORA GENERAL DEL INSTITUTO COLOMBIANO DE BIENESTAR FAMILIAR CECILIA DE LA FUENTE DE LLERAS, </w:t>
      </w:r>
    </w:p>
    <w:p w:rsidR="00AC4157" w:rsidRDefault="00000000" w14:paraId="0000000E" w14:textId="441A0933">
      <w:pPr>
        <w:shd w:val="clear" w:color="auto" w:fill="FFFFFF"/>
        <w:spacing w:after="240"/>
        <w:jc w:val="center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>en uso de sus facultades legales y estatutarias, en especial las consagradas en los artículos 9o, 10, 12 y 78 de la Ley 489 de 1998, el literal n) del artículo 2o del Decreto número 276 de 1988, el artículo 21 de la Ley 7 de 1979, el artículo 13 del Decreto número 2388 de 1979, el artículo 16 de la Ley 1098 de 2006, y los artículos 2.4.3.4.1 y 2.4.3.4.3 del Capítulo 4, Título 3, Parte 4, Libro 2 del Decreto 1084 de 2015, y</w:t>
      </w:r>
    </w:p>
    <w:p w:rsidR="00AC4157" w:rsidRDefault="00000000" w14:paraId="0000000F" w14:textId="77777777">
      <w:pPr>
        <w:shd w:val="clear" w:color="auto" w:fill="FFFFFF"/>
        <w:spacing w:after="240"/>
        <w:jc w:val="center"/>
        <w:rPr>
          <w:rFonts w:ascii="Verdana" w:hAnsi="Verdana" w:eastAsia="Verdana" w:cs="Verdana"/>
          <w:b/>
          <w:bCs/>
        </w:rPr>
      </w:pPr>
      <w:r>
        <w:rPr>
          <w:rFonts w:ascii="Verdana" w:hAnsi="Verdana" w:eastAsia="Verdana" w:cs="Verdana"/>
          <w:b/>
          <w:bCs/>
        </w:rPr>
        <w:t>CONSIDERANDO:</w:t>
      </w:r>
    </w:p>
    <w:p w:rsidR="00AC4157" w:rsidP="54F3AB6E" w:rsidRDefault="00000000" w14:paraId="00000010" w14:textId="5A7A71FE">
      <w:pPr>
        <w:shd w:val="clear" w:color="auto" w:fill="FFFFFF" w:themeFill="background1"/>
        <w:spacing w:after="240"/>
        <w:jc w:val="both"/>
        <w:rPr>
          <w:rFonts w:ascii="Verdana" w:hAnsi="Verdana" w:eastAsia="Verdana" w:cs="Verdana"/>
          <w:lang w:val="es-ES"/>
        </w:rPr>
      </w:pPr>
      <w:r w:rsidRPr="54F3AB6E" w:rsidR="7D63B56B">
        <w:rPr>
          <w:rFonts w:ascii="Verdana" w:hAnsi="Verdana" w:eastAsia="Verdana" w:cs="Verdana"/>
          <w:lang w:val="es-ES"/>
        </w:rPr>
        <w:t xml:space="preserve">Que la Ley 7 de 1979 y el Decreto 1137 de 1999 establecieron las normas para la </w:t>
      </w:r>
      <w:r w:rsidRPr="54F3AB6E" w:rsidR="7D63B56B">
        <w:rPr>
          <w:rFonts w:ascii="Verdana" w:hAnsi="Verdana" w:eastAsia="Verdana" w:cs="Verdana"/>
          <w:lang w:val="es-ES"/>
        </w:rPr>
        <w:t>rotección</w:t>
      </w:r>
      <w:r w:rsidRPr="54F3AB6E" w:rsidR="7D63B56B">
        <w:rPr>
          <w:rFonts w:ascii="Verdana" w:hAnsi="Verdana" w:eastAsia="Verdana" w:cs="Verdana"/>
          <w:lang w:val="es-ES"/>
        </w:rPr>
        <w:t xml:space="preserve"> de la niñez y el fortalecimiento de la familia, crearon y organizaron el Sistema Nacional de Bienestar Familiar, reorganizaron y reestructuraron el ICBF y establecieron que el Bienestar Familiar es un servicio público a cargo del Estado, que se prestará por medio del Sistema Nacional de Bienestar Familiar. </w:t>
      </w:r>
    </w:p>
    <w:p w:rsidR="00AC4157" w:rsidRDefault="00000000" w14:paraId="00000011" w14:textId="638227FA">
      <w:pPr>
        <w:shd w:val="clear" w:color="auto" w:fill="FFFFFF"/>
        <w:spacing w:after="240"/>
        <w:jc w:val="both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 xml:space="preserve">Que el artículo 16 de la Ley 1098 de 2006, mediante la cual se expidió el Código de la Infancia y la Adolescencia, establece el deber de vigilancia del Estado a todas las personas naturales o jurídicas, con personería jurídica expedida por el ICBF o sin ella, que aún con autorización de los padres o representantes legales, alberguen o cuiden a los niños, niñas o adolescentes, y ratifica la competencia del ICBF como ente rector, coordinador y articulador del Sistema Nacional de Bienestar Familiar, para cumplir entre otras funciones, otorgar, reconocer, renovar, suspender y cancelar las personerías jurídicas y licencias de funcionamiento a las instituciones del Sistema. </w:t>
      </w:r>
    </w:p>
    <w:p w:rsidR="00AC4157" w:rsidRDefault="00000000" w14:paraId="00000012" w14:textId="19C9BCA1">
      <w:pPr>
        <w:shd w:val="clear" w:color="auto" w:fill="FFFFFF"/>
        <w:spacing w:after="240"/>
        <w:jc w:val="both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 xml:space="preserve">Que los artículos 2.4.3.4.1 y 2.4.3.4.3 del Capítulo 4, Título 1, Parte 4, Libro 2 del Decreto 1084 de 2015, Único Reglamentario del Sector de Inclusión Social y </w:t>
      </w:r>
      <w:r>
        <w:rPr>
          <w:rFonts w:ascii="Verdana" w:hAnsi="Verdana" w:eastAsia="Verdana" w:cs="Verdana"/>
        </w:rPr>
        <w:lastRenderedPageBreak/>
        <w:t xml:space="preserve">Reconciliación, reiteran la facultad de Inspección, Vigilancia y Control sobre las Instituciones que prestan el Servicio Público de Bienestar Familiar en cabeza del ICBF y le confiere la facultad para reglamentar internamente el otorgamiento, suspensión y cancelación de licencias de funcionamiento. </w:t>
      </w:r>
    </w:p>
    <w:p w:rsidR="00AC4157" w:rsidRDefault="00000000" w14:paraId="00000013" w14:textId="2BF1D108">
      <w:pPr>
        <w:shd w:val="clear" w:color="auto" w:fill="FFFFFF"/>
        <w:spacing w:after="240"/>
        <w:jc w:val="both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 xml:space="preserve">Que mediante la Resolución No. 3899 de 2010, modificada por las Resoluciones números 3435, 9555 de 2016 y 8282 de 2017, el ICBF establece un régimen especial para otorgar, reconocer, suspender, renovar y cancelar las personerías jurídicas y licencias de funcionamiento a las instituciones del Sistema Nacional de Bienestar Familiar, que prestan servicios de protección integral, y para autorizar a los organismos acreditados para prestar servicios de adopción internacional. </w:t>
      </w:r>
    </w:p>
    <w:p w:rsidR="00AC4157" w:rsidRDefault="00000000" w14:paraId="00000014" w14:textId="2803F7C2">
      <w:pPr>
        <w:shd w:val="clear" w:color="auto" w:fill="FFFFFF"/>
        <w:spacing w:after="240"/>
        <w:jc w:val="both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 xml:space="preserve">Que mediante Resolución 9555 de 2016, modificada por la Resolución 8282 de 2017, se creó el Comité técnico de mezcla de poblaciones y/o modalidades, cuya función principal es emitir concepto técnico acerca de la viabilidad de que la persona jurídica que atienda diferentes poblaciones y/o modalidades en una misma sede, se le pueda otorgar, renovar o prorrogar una licencia de funcionamiento. </w:t>
      </w:r>
    </w:p>
    <w:p w:rsidR="00AC4157" w:rsidRDefault="00000000" w14:paraId="00000015" w14:textId="77777777">
      <w:pPr>
        <w:shd w:val="clear" w:color="auto" w:fill="FFFFFF"/>
        <w:spacing w:after="240"/>
        <w:jc w:val="both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 xml:space="preserve">Que teniendo en cuenta la función del Comité técnico de mezcla de poblaciones y/o modalidades, es necesaria la modificación del artículo 12-1 en el sentido de excluir como integrante del Comité a la Oficina Asesora Jurídica, teniendo en cuenta que como lo indica su función es emitir un concepto técnico y no jurídico. </w:t>
      </w:r>
    </w:p>
    <w:p w:rsidR="00AC4157" w:rsidRDefault="00000000" w14:paraId="00000016" w14:textId="77777777">
      <w:pPr>
        <w:shd w:val="clear" w:color="auto" w:fill="FFFFFF"/>
        <w:spacing w:after="240"/>
        <w:jc w:val="both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 xml:space="preserve">Que, en mérito de lo expuesto, </w:t>
      </w:r>
    </w:p>
    <w:p w:rsidR="00AC4157" w:rsidRDefault="00000000" w14:paraId="00000017" w14:textId="77777777">
      <w:pPr>
        <w:shd w:val="clear" w:color="auto" w:fill="FFFFFF"/>
        <w:spacing w:after="240"/>
        <w:jc w:val="center"/>
        <w:rPr>
          <w:rFonts w:ascii="Verdana" w:hAnsi="Verdana" w:eastAsia="Verdana" w:cs="Verdana"/>
          <w:b/>
          <w:bCs/>
        </w:rPr>
      </w:pPr>
      <w:r>
        <w:rPr>
          <w:rFonts w:ascii="Verdana" w:hAnsi="Verdana" w:eastAsia="Verdana" w:cs="Verdana"/>
          <w:b/>
          <w:bCs/>
        </w:rPr>
        <w:t xml:space="preserve">RESUELVE: </w:t>
      </w:r>
    </w:p>
    <w:p w:rsidR="00AC4157" w:rsidRDefault="00000000" w14:paraId="00000018" w14:textId="3178BB28">
      <w:pPr>
        <w:shd w:val="clear" w:color="auto" w:fill="FFFFFF"/>
        <w:spacing w:after="240"/>
        <w:jc w:val="both"/>
        <w:rPr>
          <w:rFonts w:ascii="Verdana" w:hAnsi="Verdana" w:eastAsia="Verdana" w:cs="Verdana"/>
        </w:rPr>
      </w:pPr>
      <w:r>
        <w:rPr>
          <w:rFonts w:ascii="Verdana" w:hAnsi="Verdana" w:eastAsia="Verdana" w:cs="Verdana"/>
          <w:b/>
          <w:bCs/>
        </w:rPr>
        <w:t>ARTÍCULO PRIMERO.</w:t>
      </w:r>
      <w:r>
        <w:rPr>
          <w:rFonts w:ascii="Verdana" w:hAnsi="Verdana" w:eastAsia="Verdana" w:cs="Verdana"/>
        </w:rPr>
        <w:t xml:space="preserve"> Modifíquese el artículo 12-1 de la Resolución número 3899 del 8 de septiembre de 2010, el cual quedará así: </w:t>
      </w:r>
    </w:p>
    <w:p w:rsidR="00AC4157" w:rsidP="54F3AB6E" w:rsidRDefault="00000000" w14:paraId="00000019" w14:textId="5CA27CB8">
      <w:pPr>
        <w:shd w:val="clear" w:color="auto" w:fill="FFFFFF" w:themeFill="background1"/>
        <w:spacing w:after="240"/>
        <w:jc w:val="both"/>
        <w:rPr>
          <w:rFonts w:ascii="Verdana" w:hAnsi="Verdana" w:eastAsia="Verdana" w:cs="Verdana"/>
          <w:lang w:val="es-ES"/>
        </w:rPr>
      </w:pPr>
      <w:r w:rsidRPr="54F3AB6E" w:rsidR="7D63B56B">
        <w:rPr>
          <w:rFonts w:ascii="Verdana" w:hAnsi="Verdana" w:eastAsia="Verdana" w:cs="Verdana"/>
          <w:lang w:val="es-ES"/>
        </w:rPr>
        <w:t xml:space="preserve">Artículo 12-1. Comité técnico de mezcla de poblaciones y/o modalidades. El comité técnico estará encargado de conceptuar sobre la viabilidad de la mezcla de poblaciones y/o modalidades con el fin que la Oficina de Aseguramiento de la Calidad y/o el </w:t>
      </w:r>
      <w:r w:rsidRPr="54F3AB6E" w:rsidR="7D63B56B">
        <w:rPr>
          <w:rFonts w:ascii="Verdana" w:hAnsi="Verdana" w:eastAsia="Verdana" w:cs="Verdana"/>
          <w:lang w:val="es-ES"/>
        </w:rPr>
        <w:t>Director Regional</w:t>
      </w:r>
      <w:r w:rsidRPr="54F3AB6E" w:rsidR="7D63B56B">
        <w:rPr>
          <w:rFonts w:ascii="Verdana" w:hAnsi="Verdana" w:eastAsia="Verdana" w:cs="Verdana"/>
          <w:lang w:val="es-ES"/>
        </w:rPr>
        <w:t xml:space="preserve">, según sea el caso, otorgue, renueve o prorrogue una licencia de funcionamiento en los casos en que una misma persona jurídica atienda diferentes poblaciones y/o modalidades en una misma sede. </w:t>
      </w:r>
    </w:p>
    <w:p w:rsidR="00AC4157" w:rsidRDefault="00000000" w14:paraId="0000001A" w14:textId="77777777">
      <w:pPr>
        <w:shd w:val="clear" w:color="auto" w:fill="FFFFFF"/>
        <w:spacing w:after="240"/>
        <w:jc w:val="both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 xml:space="preserve">Integración del comité. El Comité técnico de mezcla de poblaciones y/o modalidades estará integrado así: </w:t>
      </w:r>
    </w:p>
    <w:p w:rsidR="00AC4157" w:rsidP="54F3AB6E" w:rsidRDefault="00000000" w14:paraId="0000001B" w14:textId="77777777">
      <w:pPr>
        <w:shd w:val="clear" w:color="auto" w:fill="FFFFFF" w:themeFill="background1"/>
        <w:spacing w:after="240"/>
        <w:jc w:val="both"/>
        <w:rPr>
          <w:rFonts w:ascii="Verdana" w:hAnsi="Verdana" w:eastAsia="Verdana" w:cs="Verdana"/>
          <w:lang w:val="es-ES"/>
        </w:rPr>
      </w:pPr>
      <w:r w:rsidRPr="54F3AB6E" w:rsidR="7D63B56B">
        <w:rPr>
          <w:rFonts w:ascii="Verdana" w:hAnsi="Verdana" w:eastAsia="Verdana" w:cs="Verdana"/>
          <w:lang w:val="es-ES"/>
        </w:rPr>
        <w:t xml:space="preserve">- El (la) </w:t>
      </w:r>
      <w:r w:rsidRPr="54F3AB6E" w:rsidR="7D63B56B">
        <w:rPr>
          <w:rFonts w:ascii="Verdana" w:hAnsi="Verdana" w:eastAsia="Verdana" w:cs="Verdana"/>
          <w:lang w:val="es-ES"/>
        </w:rPr>
        <w:t>Jefe</w:t>
      </w:r>
      <w:r w:rsidRPr="54F3AB6E" w:rsidR="7D63B56B">
        <w:rPr>
          <w:rFonts w:ascii="Verdana" w:hAnsi="Verdana" w:eastAsia="Verdana" w:cs="Verdana"/>
          <w:lang w:val="es-ES"/>
        </w:rPr>
        <w:t xml:space="preserve"> de la Oficina de Aseguramiento a la Calidad, quien lo presidirá. </w:t>
      </w:r>
    </w:p>
    <w:p w:rsidR="00AC4157" w:rsidP="54F3AB6E" w:rsidRDefault="00000000" w14:paraId="0000001C" w14:textId="77777777">
      <w:pPr>
        <w:shd w:val="clear" w:color="auto" w:fill="FFFFFF" w:themeFill="background1"/>
        <w:spacing w:after="240"/>
        <w:jc w:val="both"/>
        <w:rPr>
          <w:rFonts w:ascii="Verdana" w:hAnsi="Verdana" w:eastAsia="Verdana" w:cs="Verdana"/>
          <w:lang w:val="es-ES"/>
        </w:rPr>
      </w:pPr>
      <w:r w:rsidRPr="54F3AB6E" w:rsidR="7D63B56B">
        <w:rPr>
          <w:rFonts w:ascii="Verdana" w:hAnsi="Verdana" w:eastAsia="Verdana" w:cs="Verdana"/>
          <w:lang w:val="es-ES"/>
        </w:rPr>
        <w:t xml:space="preserve">- El (la) </w:t>
      </w:r>
      <w:r w:rsidRPr="54F3AB6E" w:rsidR="7D63B56B">
        <w:rPr>
          <w:rFonts w:ascii="Verdana" w:hAnsi="Verdana" w:eastAsia="Verdana" w:cs="Verdana"/>
          <w:lang w:val="es-ES"/>
        </w:rPr>
        <w:t>Director</w:t>
      </w:r>
      <w:r w:rsidRPr="54F3AB6E" w:rsidR="7D63B56B">
        <w:rPr>
          <w:rFonts w:ascii="Verdana" w:hAnsi="Verdana" w:eastAsia="Verdana" w:cs="Verdana"/>
          <w:lang w:val="es-ES"/>
        </w:rPr>
        <w:t xml:space="preserve">(a) de Protección, o su designado. </w:t>
      </w:r>
    </w:p>
    <w:p w:rsidR="00AC4157" w:rsidP="54F3AB6E" w:rsidRDefault="00000000" w14:paraId="0000001D" w14:textId="77777777">
      <w:pPr>
        <w:shd w:val="clear" w:color="auto" w:fill="FFFFFF" w:themeFill="background1"/>
        <w:spacing w:after="240"/>
        <w:jc w:val="both"/>
        <w:rPr>
          <w:rFonts w:ascii="Verdana" w:hAnsi="Verdana" w:eastAsia="Verdana" w:cs="Verdana"/>
          <w:lang w:val="es-ES"/>
        </w:rPr>
      </w:pPr>
      <w:r w:rsidRPr="54F3AB6E" w:rsidR="7D63B56B">
        <w:rPr>
          <w:rFonts w:ascii="Verdana" w:hAnsi="Verdana" w:eastAsia="Verdana" w:cs="Verdana"/>
          <w:lang w:val="es-ES"/>
        </w:rPr>
        <w:t xml:space="preserve">- El (la) </w:t>
      </w:r>
      <w:r w:rsidRPr="54F3AB6E" w:rsidR="7D63B56B">
        <w:rPr>
          <w:rFonts w:ascii="Verdana" w:hAnsi="Verdana" w:eastAsia="Verdana" w:cs="Verdana"/>
          <w:lang w:val="es-ES"/>
        </w:rPr>
        <w:t>Subdirector</w:t>
      </w:r>
      <w:r w:rsidRPr="54F3AB6E" w:rsidR="7D63B56B">
        <w:rPr>
          <w:rFonts w:ascii="Verdana" w:hAnsi="Verdana" w:eastAsia="Verdana" w:cs="Verdana"/>
          <w:lang w:val="es-ES"/>
        </w:rPr>
        <w:t xml:space="preserve">(a) de Restablecimiento de Derechos. </w:t>
      </w:r>
    </w:p>
    <w:p w:rsidR="00AC4157" w:rsidP="54F3AB6E" w:rsidRDefault="00000000" w14:paraId="0000001E" w14:textId="77777777">
      <w:pPr>
        <w:shd w:val="clear" w:color="auto" w:fill="FFFFFF" w:themeFill="background1"/>
        <w:spacing w:after="240"/>
        <w:jc w:val="both"/>
        <w:rPr>
          <w:rFonts w:ascii="Verdana" w:hAnsi="Verdana" w:eastAsia="Verdana" w:cs="Verdana"/>
          <w:lang w:val="es-ES"/>
        </w:rPr>
      </w:pPr>
      <w:r w:rsidRPr="54F3AB6E" w:rsidR="7D63B56B">
        <w:rPr>
          <w:rFonts w:ascii="Verdana" w:hAnsi="Verdana" w:eastAsia="Verdana" w:cs="Verdana"/>
          <w:lang w:val="es-ES"/>
        </w:rPr>
        <w:t xml:space="preserve">- El (la) </w:t>
      </w:r>
      <w:r w:rsidRPr="54F3AB6E" w:rsidR="7D63B56B">
        <w:rPr>
          <w:rFonts w:ascii="Verdana" w:hAnsi="Verdana" w:eastAsia="Verdana" w:cs="Verdana"/>
          <w:lang w:val="es-ES"/>
        </w:rPr>
        <w:t>Subdirector</w:t>
      </w:r>
      <w:r w:rsidRPr="54F3AB6E" w:rsidR="7D63B56B">
        <w:rPr>
          <w:rFonts w:ascii="Verdana" w:hAnsi="Verdana" w:eastAsia="Verdana" w:cs="Verdana"/>
          <w:lang w:val="es-ES"/>
        </w:rPr>
        <w:t xml:space="preserve">(a) de Responsabilidad Penal para Adolescentes. </w:t>
      </w:r>
    </w:p>
    <w:p w:rsidR="00AC4157" w:rsidP="54F3AB6E" w:rsidRDefault="00000000" w14:paraId="0000001F" w14:textId="77777777">
      <w:pPr>
        <w:shd w:val="clear" w:color="auto" w:fill="FFFFFF" w:themeFill="background1"/>
        <w:spacing w:after="240"/>
        <w:jc w:val="both"/>
        <w:rPr>
          <w:rFonts w:ascii="Verdana" w:hAnsi="Verdana" w:eastAsia="Verdana" w:cs="Verdana"/>
          <w:lang w:val="es-ES"/>
        </w:rPr>
      </w:pPr>
      <w:r w:rsidRPr="54F3AB6E" w:rsidR="7D63B56B">
        <w:rPr>
          <w:rFonts w:ascii="Verdana" w:hAnsi="Verdana" w:eastAsia="Verdana" w:cs="Verdana"/>
          <w:lang w:val="es-ES"/>
        </w:rPr>
        <w:t xml:space="preserve">- El (la) </w:t>
      </w:r>
      <w:r w:rsidRPr="54F3AB6E" w:rsidR="7D63B56B">
        <w:rPr>
          <w:rFonts w:ascii="Verdana" w:hAnsi="Verdana" w:eastAsia="Verdana" w:cs="Verdana"/>
          <w:lang w:val="es-ES"/>
        </w:rPr>
        <w:t>Subdirector</w:t>
      </w:r>
      <w:r w:rsidRPr="54F3AB6E" w:rsidR="7D63B56B">
        <w:rPr>
          <w:rFonts w:ascii="Verdana" w:hAnsi="Verdana" w:eastAsia="Verdana" w:cs="Verdana"/>
          <w:lang w:val="es-ES"/>
        </w:rPr>
        <w:t xml:space="preserve">(a) General o su designado. </w:t>
      </w:r>
    </w:p>
    <w:p w:rsidR="00AC4157" w:rsidP="54F3AB6E" w:rsidRDefault="00000000" w14:paraId="00000020" w14:textId="77777777">
      <w:pPr>
        <w:shd w:val="clear" w:color="auto" w:fill="FFFFFF" w:themeFill="background1"/>
        <w:spacing w:after="240"/>
        <w:jc w:val="both"/>
        <w:rPr>
          <w:rFonts w:ascii="Verdana" w:hAnsi="Verdana" w:eastAsia="Verdana" w:cs="Verdana"/>
          <w:lang w:val="es-ES"/>
        </w:rPr>
      </w:pPr>
      <w:r w:rsidRPr="54F3AB6E" w:rsidR="7D63B56B">
        <w:rPr>
          <w:rFonts w:ascii="Verdana" w:hAnsi="Verdana" w:eastAsia="Verdana" w:cs="Verdana"/>
          <w:lang w:val="es-ES"/>
        </w:rPr>
        <w:t xml:space="preserve">Concurrirán con </w:t>
      </w:r>
      <w:r w:rsidRPr="54F3AB6E" w:rsidR="7D63B56B">
        <w:rPr>
          <w:rFonts w:ascii="Verdana" w:hAnsi="Verdana" w:eastAsia="Verdana" w:cs="Verdana"/>
          <w:lang w:val="es-ES"/>
        </w:rPr>
        <w:t>voz</w:t>
      </w:r>
      <w:r w:rsidRPr="54F3AB6E" w:rsidR="7D63B56B">
        <w:rPr>
          <w:rFonts w:ascii="Verdana" w:hAnsi="Verdana" w:eastAsia="Verdana" w:cs="Verdana"/>
          <w:lang w:val="es-ES"/>
        </w:rPr>
        <w:t xml:space="preserve"> pero sin voto los profesionales que sean invitados por las áreas. </w:t>
      </w:r>
    </w:p>
    <w:p w:rsidR="00AC4157" w:rsidRDefault="00000000" w14:paraId="00000021" w14:textId="77777777">
      <w:pPr>
        <w:shd w:val="clear" w:color="auto" w:fill="FFFFFF"/>
        <w:spacing w:after="240"/>
        <w:jc w:val="both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 xml:space="preserve">Reuniones. El comité se reunirá cada vez que la Dirección Regional o la Oficina de Aseguramiento de la Calidad o quien haga sus veces, reciba una solicitud de licencia de funcionamiento por parte de una persona jurídica que atienda diferentes poblaciones y/o modalidades en una misma sede o en los casos en que se requiera su convocatoria. </w:t>
      </w:r>
    </w:p>
    <w:p w:rsidR="00AC4157" w:rsidP="54F3AB6E" w:rsidRDefault="00000000" w14:paraId="00000022" w14:textId="77777777">
      <w:pPr>
        <w:shd w:val="clear" w:color="auto" w:fill="FFFFFF" w:themeFill="background1"/>
        <w:spacing w:after="240"/>
        <w:jc w:val="both"/>
        <w:rPr>
          <w:rFonts w:ascii="Verdana" w:hAnsi="Verdana" w:eastAsia="Verdana" w:cs="Verdana"/>
          <w:lang w:val="es-ES"/>
        </w:rPr>
      </w:pPr>
      <w:r w:rsidRPr="54F3AB6E" w:rsidR="7D63B56B">
        <w:rPr>
          <w:rFonts w:ascii="Verdana" w:hAnsi="Verdana" w:eastAsia="Verdana" w:cs="Verdana"/>
          <w:lang w:val="es-ES"/>
        </w:rPr>
        <w:t xml:space="preserve">Quórum </w:t>
      </w:r>
      <w:r w:rsidRPr="54F3AB6E" w:rsidR="7D63B56B">
        <w:rPr>
          <w:rFonts w:ascii="Verdana" w:hAnsi="Verdana" w:eastAsia="Verdana" w:cs="Verdana"/>
          <w:lang w:val="es-ES"/>
        </w:rPr>
        <w:t>deliberatorio</w:t>
      </w:r>
      <w:r w:rsidRPr="54F3AB6E" w:rsidR="7D63B56B">
        <w:rPr>
          <w:rFonts w:ascii="Verdana" w:hAnsi="Verdana" w:eastAsia="Verdana" w:cs="Verdana"/>
          <w:lang w:val="es-ES"/>
        </w:rPr>
        <w:t xml:space="preserve"> y decisorio. Se constituirá quórum </w:t>
      </w:r>
      <w:r w:rsidRPr="54F3AB6E" w:rsidR="7D63B56B">
        <w:rPr>
          <w:rFonts w:ascii="Verdana" w:hAnsi="Verdana" w:eastAsia="Verdana" w:cs="Verdana"/>
          <w:lang w:val="es-ES"/>
        </w:rPr>
        <w:t>deliberatorio</w:t>
      </w:r>
      <w:r w:rsidRPr="54F3AB6E" w:rsidR="7D63B56B">
        <w:rPr>
          <w:rFonts w:ascii="Verdana" w:hAnsi="Verdana" w:eastAsia="Verdana" w:cs="Verdana"/>
          <w:lang w:val="es-ES"/>
        </w:rPr>
        <w:t xml:space="preserve"> con la participación de por lo menos tres (3) de sus integrantes, uno de los cuales deberá ser la Dirección de Protección, y las decisiones se adoptarán por mayoría simple. </w:t>
      </w:r>
    </w:p>
    <w:p w:rsidR="00AC4157" w:rsidP="54F3AB6E" w:rsidRDefault="00000000" w14:paraId="00000023" w14:textId="77777777">
      <w:pPr>
        <w:shd w:val="clear" w:color="auto" w:fill="FFFFFF" w:themeFill="background1"/>
        <w:spacing w:after="240"/>
        <w:jc w:val="both"/>
        <w:rPr>
          <w:rFonts w:ascii="Verdana" w:hAnsi="Verdana" w:eastAsia="Verdana" w:cs="Verdana"/>
          <w:lang w:val="es-ES"/>
        </w:rPr>
      </w:pPr>
      <w:r w:rsidRPr="54F3AB6E" w:rsidR="7D63B56B">
        <w:rPr>
          <w:rFonts w:ascii="Verdana" w:hAnsi="Verdana" w:eastAsia="Verdana" w:cs="Verdana"/>
          <w:lang w:val="es-ES"/>
        </w:rPr>
        <w:t xml:space="preserve">Función del Comité. Es función del Comité técnico para mezcla de poblaciones y/o modalidades, conceptuar sobre la viabilidad de la mezcla de poblaciones y/o modalidades para que la Oficina de Aseguramiento de la Calidad y/o el </w:t>
      </w:r>
      <w:r w:rsidRPr="54F3AB6E" w:rsidR="7D63B56B">
        <w:rPr>
          <w:rFonts w:ascii="Verdana" w:hAnsi="Verdana" w:eastAsia="Verdana" w:cs="Verdana"/>
          <w:lang w:val="es-ES"/>
        </w:rPr>
        <w:t>Director Regional</w:t>
      </w:r>
      <w:r w:rsidRPr="54F3AB6E" w:rsidR="7D63B56B">
        <w:rPr>
          <w:rFonts w:ascii="Verdana" w:hAnsi="Verdana" w:eastAsia="Verdana" w:cs="Verdana"/>
          <w:lang w:val="es-ES"/>
        </w:rPr>
        <w:t xml:space="preserve">, según sea el caso, otorgue, renueve o prorrogue licencias de funcionamiento en los casos en que una misma persona jurídica atienda diferentes poblaciones y/o modalidades en una misma sede. </w:t>
      </w:r>
    </w:p>
    <w:p w:rsidR="00AC4157" w:rsidRDefault="00000000" w14:paraId="00000024" w14:textId="77777777">
      <w:pPr>
        <w:shd w:val="clear" w:color="auto" w:fill="FFFFFF"/>
        <w:spacing w:after="240"/>
        <w:jc w:val="both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 xml:space="preserve">Secretaría Técnica. La Secretaría Técnica del Comité será ejercida por la Oficina de Aseguramiento a la Calidad. </w:t>
      </w:r>
    </w:p>
    <w:p w:rsidR="00AC4157" w:rsidRDefault="00000000" w14:paraId="00000025" w14:textId="77777777">
      <w:pPr>
        <w:shd w:val="clear" w:color="auto" w:fill="FFFFFF"/>
        <w:spacing w:after="240"/>
        <w:jc w:val="both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 xml:space="preserve">Funciones de la Secretaría Técnica. Son funciones de la Secretaría Técnica las siguientes: </w:t>
      </w:r>
    </w:p>
    <w:p w:rsidR="00AC4157" w:rsidRDefault="00000000" w14:paraId="00000026" w14:textId="77777777">
      <w:pPr>
        <w:shd w:val="clear" w:color="auto" w:fill="FFFFFF"/>
        <w:spacing w:after="240"/>
        <w:jc w:val="both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 xml:space="preserve">1. Convocar a las sesiones del comité. </w:t>
      </w:r>
    </w:p>
    <w:p w:rsidR="00AC4157" w:rsidRDefault="00000000" w14:paraId="00000027" w14:textId="77777777">
      <w:pPr>
        <w:shd w:val="clear" w:color="auto" w:fill="FFFFFF"/>
        <w:spacing w:after="240"/>
        <w:jc w:val="both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 xml:space="preserve">2. Preparar la agenda y los insumos para el análisis de cada sesión, la cual será remitida dentro de los dos (2) días hábiles anteriores a la fecha en que se encuentre programada la misma. </w:t>
      </w:r>
    </w:p>
    <w:p w:rsidR="00AC4157" w:rsidRDefault="00000000" w14:paraId="00000028" w14:textId="77777777">
      <w:pPr>
        <w:shd w:val="clear" w:color="auto" w:fill="FFFFFF"/>
        <w:spacing w:after="240"/>
        <w:jc w:val="both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 xml:space="preserve">3. Elaborar las actas de cada sesión, las cuales deberán ser suscritas por todos los asistentes a la sesión. </w:t>
      </w:r>
    </w:p>
    <w:p w:rsidR="00AC4157" w:rsidRDefault="00000000" w14:paraId="00000029" w14:textId="77777777">
      <w:pPr>
        <w:shd w:val="clear" w:color="auto" w:fill="FFFFFF"/>
        <w:spacing w:after="240"/>
        <w:jc w:val="both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 xml:space="preserve">4. Comunicar las decisiones del comité a las Direcciones Regionales cuando sea del caso. </w:t>
      </w:r>
    </w:p>
    <w:p w:rsidR="00AC4157" w:rsidRDefault="00000000" w14:paraId="0000002A" w14:textId="213570DC">
      <w:pPr>
        <w:shd w:val="clear" w:color="auto" w:fill="FFFFFF"/>
        <w:spacing w:after="240"/>
        <w:jc w:val="both"/>
        <w:rPr>
          <w:rFonts w:ascii="Verdana" w:hAnsi="Verdana" w:eastAsia="Verdana" w:cs="Verdana"/>
        </w:rPr>
      </w:pPr>
      <w:r>
        <w:rPr>
          <w:rFonts w:ascii="Verdana" w:hAnsi="Verdana" w:eastAsia="Verdana" w:cs="Verdana"/>
          <w:b/>
          <w:bCs/>
        </w:rPr>
        <w:t xml:space="preserve">ARTÍCULO SEGUNDO. </w:t>
      </w:r>
      <w:r>
        <w:rPr>
          <w:rFonts w:ascii="Verdana" w:hAnsi="Verdana" w:eastAsia="Verdana" w:cs="Verdana"/>
        </w:rPr>
        <w:t xml:space="preserve">Los demás artículos de la Resolución número 3899 de 2010, se mantienen vigentes. </w:t>
      </w:r>
    </w:p>
    <w:p w:rsidR="00AC4157" w:rsidP="54F3AB6E" w:rsidRDefault="00000000" w14:paraId="0000002B" w14:textId="77777777">
      <w:pPr>
        <w:shd w:val="clear" w:color="auto" w:fill="FFFFFF" w:themeFill="background1"/>
        <w:jc w:val="both"/>
        <w:rPr>
          <w:rFonts w:ascii="Verdana" w:hAnsi="Verdana" w:eastAsia="Verdana" w:cs="Verdana"/>
          <w:lang w:val="es-ES"/>
        </w:rPr>
      </w:pPr>
      <w:r w:rsidRPr="54F3AB6E" w:rsidR="7D63B56B">
        <w:rPr>
          <w:rFonts w:ascii="Verdana" w:hAnsi="Verdana" w:eastAsia="Verdana" w:cs="Verdana"/>
          <w:b w:val="1"/>
          <w:bCs w:val="1"/>
          <w:lang w:val="es-ES"/>
        </w:rPr>
        <w:t>ARTÍCULO TERCERO.</w:t>
      </w:r>
      <w:r w:rsidRPr="54F3AB6E" w:rsidR="7D63B56B">
        <w:rPr>
          <w:rFonts w:ascii="Verdana" w:hAnsi="Verdana" w:eastAsia="Verdana" w:cs="Verdana"/>
          <w:lang w:val="es-ES"/>
        </w:rPr>
        <w:t xml:space="preserve"> VIGENCIA. </w:t>
      </w:r>
      <w:r w:rsidRPr="54F3AB6E" w:rsidR="7D63B56B">
        <w:rPr>
          <w:rFonts w:ascii="Verdana" w:hAnsi="Verdana" w:eastAsia="Verdana" w:cs="Verdana"/>
          <w:lang w:val="es-ES"/>
        </w:rPr>
        <w:t>La presente resolución rige a partir de su expedición y deberá ser publicada en el Diario Oficial.</w:t>
      </w:r>
      <w:r w:rsidRPr="54F3AB6E" w:rsidR="7D63B56B">
        <w:rPr>
          <w:rFonts w:ascii="Verdana" w:hAnsi="Verdana" w:eastAsia="Verdana" w:cs="Verdana"/>
          <w:lang w:val="es-ES"/>
        </w:rPr>
        <w:t xml:space="preserve"> </w:t>
      </w:r>
    </w:p>
    <w:p w:rsidR="00AC4157" w:rsidRDefault="00000000" w14:paraId="0000002C" w14:textId="77777777">
      <w:pPr>
        <w:shd w:val="clear" w:color="auto" w:fill="FFFFFF"/>
        <w:spacing w:after="240"/>
        <w:jc w:val="center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 xml:space="preserve">Publíquese y cúmplase. </w:t>
      </w:r>
    </w:p>
    <w:p w:rsidR="00AC4157" w:rsidRDefault="00000000" w14:paraId="0000002D" w14:textId="77777777">
      <w:pPr>
        <w:shd w:val="clear" w:color="auto" w:fill="FFFFFF"/>
        <w:spacing w:after="240"/>
        <w:jc w:val="center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 xml:space="preserve">Dada en Bogotá, D. C., a 4 de mayo de 2018. </w:t>
      </w:r>
    </w:p>
    <w:p w:rsidR="00AC4157" w:rsidRDefault="00000000" w14:paraId="0000002E" w14:textId="77777777">
      <w:pPr>
        <w:shd w:val="clear" w:color="auto" w:fill="FFFFFF"/>
        <w:spacing w:after="240"/>
        <w:jc w:val="center"/>
        <w:rPr>
          <w:rFonts w:ascii="Verdana" w:hAnsi="Verdana" w:eastAsia="Verdana" w:cs="Verdana"/>
          <w:b/>
          <w:bCs/>
        </w:rPr>
      </w:pPr>
      <w:r>
        <w:rPr>
          <w:rFonts w:ascii="Verdana" w:hAnsi="Verdana" w:eastAsia="Verdana" w:cs="Verdana"/>
          <w:b/>
          <w:bCs/>
        </w:rPr>
        <w:lastRenderedPageBreak/>
        <w:t>KAREN ABUDINEN ABUCHAIBE.</w:t>
      </w:r>
    </w:p>
    <w:p w:rsidR="00AC4157" w:rsidRDefault="00000000" w14:paraId="0000002F" w14:textId="77777777">
      <w:pPr>
        <w:shd w:val="clear" w:color="auto" w:fill="FFFFFF"/>
        <w:spacing w:after="240"/>
        <w:jc w:val="center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>DIRECTORA GENERAL</w:t>
      </w:r>
    </w:p>
    <w:p w:rsidR="00AC4157" w:rsidRDefault="00AC4157" w14:paraId="00000030" w14:textId="77777777">
      <w:pPr>
        <w:shd w:val="clear" w:color="auto" w:fill="FFFFFF"/>
        <w:spacing w:after="240"/>
        <w:jc w:val="center"/>
        <w:rPr>
          <w:rFonts w:ascii="Verdana" w:hAnsi="Verdana" w:eastAsia="Verdana" w:cs="Verdana"/>
        </w:rPr>
      </w:pPr>
    </w:p>
    <w:p w:rsidR="00AC4157" w:rsidRDefault="00AC4157" w14:paraId="00000031" w14:textId="77777777">
      <w:pPr>
        <w:shd w:val="clear" w:color="auto" w:fill="FFFFFF"/>
        <w:jc w:val="both"/>
        <w:rPr>
          <w:rFonts w:ascii="Verdana" w:hAnsi="Verdana" w:eastAsia="Verdana" w:cs="Verdana"/>
        </w:rPr>
      </w:pPr>
    </w:p>
    <w:sectPr w:rsidR="00AC4157">
      <w:pgSz w:w="11909" w:h="16834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5180A52A-0FC6-4EFF-B139-D2CCBD20414F}" r:id="rId1"/>
    <w:embedBold w:fontKey="{4F87E67E-303B-4A7C-B2E8-C01BCD2C99E8}" r:id="rId2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89BBEB4D-9F6D-4E94-BFE0-6C3B48916157}" r:id="rId3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C1E0D734-4308-46E4-94BE-F3B9A13EF121}" r:id="rId4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dirty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157"/>
    <w:rsid w:val="00041A6A"/>
    <w:rsid w:val="00386F07"/>
    <w:rsid w:val="00AC4157"/>
    <w:rsid w:val="54F3AB6E"/>
    <w:rsid w:val="6F0AE515"/>
    <w:rsid w:val="7D63B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52C5C4-D84E-4379-AC5C-C0C717B0A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5E0A3EA-E6B7-4D87-BF9D-EF6E4A46487B}"/>
</file>

<file path=customXml/itemProps2.xml><?xml version="1.0" encoding="utf-8"?>
<ds:datastoreItem xmlns:ds="http://schemas.openxmlformats.org/officeDocument/2006/customXml" ds:itemID="{623961C8-9FA3-4B8D-802A-9FBFCF7DC0B5}"/>
</file>

<file path=customXml/itemProps3.xml><?xml version="1.0" encoding="utf-8"?>
<ds:datastoreItem xmlns:ds="http://schemas.openxmlformats.org/officeDocument/2006/customXml" ds:itemID="{B816C160-F6FB-4B24-BC9A-F274F4D703A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 Eduardo Lozano Bocanegra</cp:lastModifiedBy>
  <cp:revision>4</cp:revision>
  <dcterms:created xsi:type="dcterms:W3CDTF">2026-03-02T15:30:00Z</dcterms:created>
  <dcterms:modified xsi:type="dcterms:W3CDTF">2026-03-02T15:47:33Z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