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5189 DE 2018</w:t>
      </w:r>
    </w:p>
    <w:p w14:paraId="00000002" w14:textId="77777777" w:rsidR="00AB500D" w:rsidRDefault="00000000">
      <w:pPr>
        <w:spacing w:line="240" w:lineRule="auto"/>
        <w:rPr>
          <w:rFonts w:ascii="Verdana" w:eastAsia="Verdana" w:hAnsi="Verdana" w:cs="Verdana"/>
        </w:rPr>
      </w:pPr>
      <w:r>
        <w:rPr>
          <w:rFonts w:ascii="Verdana" w:eastAsia="Verdana" w:hAnsi="Verdana" w:cs="Verdana"/>
        </w:rPr>
        <w:t>Fecha de Expedición: 27 de abril de 2018</w:t>
      </w:r>
    </w:p>
    <w:p w14:paraId="00000003" w14:textId="77777777" w:rsidR="00AB500D"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27 de abril de 2018</w:t>
      </w:r>
    </w:p>
    <w:p w14:paraId="00000004" w14:textId="77777777" w:rsidR="00AB500D"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AB500D" w:rsidRDefault="00AB500D">
      <w:pPr>
        <w:spacing w:line="240" w:lineRule="auto"/>
        <w:rPr>
          <w:rFonts w:ascii="Verdana" w:eastAsia="Verdana" w:hAnsi="Verdana" w:cs="Verdana"/>
        </w:rPr>
      </w:pPr>
    </w:p>
    <w:p w14:paraId="00000006" w14:textId="77777777" w:rsidR="00AB500D"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AB500D" w:rsidRDefault="00000000">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AB500D" w:rsidRDefault="00AB500D">
      <w:pPr>
        <w:rPr>
          <w:rFonts w:ascii="Verdana" w:eastAsia="Verdana" w:hAnsi="Verdana" w:cs="Verdana"/>
        </w:rPr>
      </w:pPr>
    </w:p>
    <w:p w14:paraId="00000009"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5189 DE 2018</w:t>
      </w:r>
    </w:p>
    <w:p w14:paraId="0000000A" w14:textId="77777777" w:rsidR="00AB500D" w:rsidRDefault="00000000">
      <w:pPr>
        <w:shd w:val="clear" w:color="auto" w:fill="FFFFFF"/>
        <w:spacing w:after="240"/>
        <w:jc w:val="center"/>
        <w:rPr>
          <w:rFonts w:ascii="Verdana" w:eastAsia="Verdana" w:hAnsi="Verdana" w:cs="Verdana"/>
        </w:rPr>
      </w:pPr>
      <w:r>
        <w:rPr>
          <w:rFonts w:ascii="Verdana" w:eastAsia="Verdana" w:hAnsi="Verdana" w:cs="Verdana"/>
        </w:rPr>
        <w:t>(abril 27)</w:t>
      </w:r>
    </w:p>
    <w:p w14:paraId="0000000B"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AB500D"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imparte una autorización para la venta del portafolio representado en acciones</w:t>
      </w:r>
    </w:p>
    <w:p w14:paraId="0000000D"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w:t>
      </w:r>
      <w:r>
        <w:rPr>
          <w:rFonts w:ascii="Verdana" w:eastAsia="Verdana" w:hAnsi="Verdana" w:cs="Verdana"/>
          <w:b/>
          <w:bCs/>
        </w:rPr>
        <w:br/>
        <w:t>FAMILIAR CECILIA DE LA FUENTE DE LLERAS</w:t>
      </w:r>
    </w:p>
    <w:p w14:paraId="0000000E" w14:textId="1654F6BD" w:rsidR="00AB500D"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 especialmente en lo dispuesto en el artículo 28 de la Ley 7 de 1979, el artículo 78 de la Ley 489 de 1998, el artículo 258 de la Ley 1450 de 2011 modificado por el artículo 162 de la Ley 1753 de 2015, el artículo 1 del Acuerdo 117 de 1985 del Consejo Directivo del ICBF, y</w:t>
      </w:r>
    </w:p>
    <w:p w14:paraId="0000000F"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7777777" w:rsidR="00AB500D"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posee títulos valores representados en acciones que han sido adjudicadas a su nombre producto de procesos de bienes mostrencos y vocaciones hereditarias.</w:t>
      </w:r>
    </w:p>
    <w:p w14:paraId="00000011" w14:textId="77777777" w:rsidR="00AB500D" w:rsidRDefault="00000000">
      <w:pPr>
        <w:shd w:val="clear" w:color="auto" w:fill="FFFFFF"/>
        <w:spacing w:after="240"/>
        <w:jc w:val="both"/>
        <w:rPr>
          <w:rFonts w:ascii="Verdana" w:eastAsia="Verdana" w:hAnsi="Verdana" w:cs="Verdana"/>
        </w:rPr>
      </w:pPr>
      <w:r>
        <w:rPr>
          <w:rFonts w:ascii="Verdana" w:eastAsia="Verdana" w:hAnsi="Verdana" w:cs="Verdana"/>
        </w:rPr>
        <w:t>Que de igual forma el Instituto Colombiano de Bienestar Familiar, ha recibido un portafolio representado en acciones por dación en pago, en desarrollo de procesos de cobro coactivo del aporte parafiscal a favor del ICBF.</w:t>
      </w:r>
    </w:p>
    <w:p w14:paraId="00000012" w14:textId="6088E957" w:rsidR="00AB500D" w:rsidRDefault="00000000">
      <w:pPr>
        <w:shd w:val="clear" w:color="auto" w:fill="FFFFFF"/>
        <w:spacing w:after="240"/>
        <w:jc w:val="both"/>
        <w:rPr>
          <w:rFonts w:ascii="Verdana" w:eastAsia="Verdana" w:hAnsi="Verdana" w:cs="Verdana"/>
        </w:rPr>
      </w:pPr>
      <w:r>
        <w:rPr>
          <w:rFonts w:ascii="Verdana" w:eastAsia="Verdana" w:hAnsi="Verdana" w:cs="Verdana"/>
        </w:rPr>
        <w:t>Que el artículo 109 del Decreto 2388 de 1979 unificado en el artículo 2.4.3.1.3.11</w:t>
      </w:r>
      <w:r w:rsidR="00193247">
        <w:rPr>
          <w:rFonts w:ascii="Verdana" w:eastAsia="Verdana" w:hAnsi="Verdana" w:cs="Verdana"/>
        </w:rPr>
        <w:t xml:space="preserve"> </w:t>
      </w:r>
      <w:r>
        <w:rPr>
          <w:rFonts w:ascii="Verdana" w:eastAsia="Verdana" w:hAnsi="Verdana" w:cs="Verdana"/>
        </w:rPr>
        <w:t>del Decreto 1084 de 2015 al referirse a loé bienes que ingresan por bienes vacantes, mostrencos o vocaciones hereditarias dispone que "...Queda a juicio de la junta directiva del ICBF decidir cuándo se debe proceder a la venta de los bienes a que se refieren las disposiciones anteriores, con el fin de que el Instituto perciba su parte en dinero efectivo y pague en la misma forma la participación del denunciante y los costos del proceso. La venta se hará conforme las normas legales sobre la materia”.</w:t>
      </w:r>
    </w:p>
    <w:p w14:paraId="00000013" w14:textId="4A2AFD8F" w:rsidR="00AB500D" w:rsidRDefault="00000000">
      <w:pPr>
        <w:shd w:val="clear" w:color="auto" w:fill="FFFFFF"/>
        <w:spacing w:after="240"/>
        <w:jc w:val="both"/>
        <w:rPr>
          <w:rFonts w:ascii="Verdana" w:eastAsia="Verdana" w:hAnsi="Verdana" w:cs="Verdana"/>
        </w:rPr>
      </w:pPr>
      <w:r>
        <w:rPr>
          <w:rFonts w:ascii="Verdana" w:eastAsia="Verdana" w:hAnsi="Verdana" w:cs="Verdana"/>
        </w:rPr>
        <w:t xml:space="preserve">Que respecto a la venta de la participación accionaria del ICBF, la Sala de Consulta y Servicio Civil del Consejo de Estado se pronunció mediante Concepto No. 1827 </w:t>
      </w:r>
      <w:r>
        <w:rPr>
          <w:rFonts w:ascii="Verdana" w:eastAsia="Verdana" w:hAnsi="Verdana" w:cs="Verdana"/>
        </w:rPr>
        <w:lastRenderedPageBreak/>
        <w:t>de 2007,</w:t>
      </w:r>
      <w:r>
        <w:rPr>
          <w:rFonts w:ascii="Verdana" w:eastAsia="Verdana" w:hAnsi="Verdana" w:cs="Verdana"/>
          <w:vertAlign w:val="superscript"/>
        </w:rPr>
        <w:t>[1]</w:t>
      </w:r>
      <w:r>
        <w:rPr>
          <w:rFonts w:ascii="Verdana" w:eastAsia="Verdana" w:hAnsi="Verdana" w:cs="Verdana"/>
        </w:rPr>
        <w:t xml:space="preserve"> señalando “(...) el Instituto Colombiano de Bienestar Familiar no está sujeto a las exigencias sustantivas y procedimentales previstas en la Ley 226 de 1995 en aquellos eventos en que deba proceder a la enajenación obligatoria de su participación en el capital social de empresas, cuando dicha participación ha tenido como antecedente la adjudicación. Redacciones, cuotas o partes de interés en los procesos de sucesión seguidos a instancias del denunciante de una vocación hereditaria conforme al trámite previsto en el Decreto 2388 de 1979 y en el Decreto 3421 de 1986/ (...) Es claro para la Sala que en el asunto objeto de análisis se está en presencia de una obligación legal de enajenar, que no se sujeta a lo previsto en el artículo 60 de la Carta y en la Ley 226 de 1995, puesto que se presenta una evidente discordancia entre las funciones de la entidad pública titular de la participación en el capital de una empresa - ICBF - y el objeto de las personas jurídicas en las que se adquirió dicha participación”.</w:t>
      </w:r>
    </w:p>
    <w:p w14:paraId="00000014" w14:textId="77777777" w:rsidR="00AB500D"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tiene la obligación de enajenar la participación en el capital social de las empresas de cuyas acciones es propietario y en las cuales no medio su voluntad para la adquisición, en razón de una evidente discordancia entre las funciones del Instituto y el objeto de las personas jurídicas en las que tiene participación, de tal forma que ingresen al patrimonio del ICBF recursos necesarios para atender la financiación de los programas dirigidos a la protección de los derechos de los niños, niñas y adolescentes.</w:t>
      </w:r>
    </w:p>
    <w:p w14:paraId="00000015" w14:textId="0EB102D7" w:rsidR="00AB500D"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el Acuerdo No. 117 de 19 de diciembre de 1985, la Junta Directiva del Instituto Colombiano de Bienestar Familiar delegó en el </w:t>
      </w:r>
      <w:proofErr w:type="gramStart"/>
      <w:r>
        <w:rPr>
          <w:rFonts w:ascii="Verdana" w:eastAsia="Verdana" w:hAnsi="Verdana" w:cs="Verdana"/>
        </w:rPr>
        <w:t>Director General</w:t>
      </w:r>
      <w:proofErr w:type="gramEnd"/>
      <w:r>
        <w:rPr>
          <w:rFonts w:ascii="Verdana" w:eastAsia="Verdana" w:hAnsi="Verdana" w:cs="Verdana"/>
        </w:rPr>
        <w:t xml:space="preserve"> la venta de los bienes que ingresan al patrimonio del Instituto Colombiano de Bienestar Familiar, por concepto de bienes vacantes, mostrencos y vocaciones hereditarias, siempre que estos bienes no sean necesarios para cumplir los fines propios del Instituto.</w:t>
      </w:r>
    </w:p>
    <w:p w14:paraId="00000016" w14:textId="5EE00826" w:rsidR="00AB500D" w:rsidRDefault="00000000">
      <w:pPr>
        <w:shd w:val="clear" w:color="auto" w:fill="FFFFFF"/>
        <w:spacing w:after="240"/>
        <w:jc w:val="both"/>
        <w:rPr>
          <w:rFonts w:ascii="Verdana" w:eastAsia="Verdana" w:hAnsi="Verdana" w:cs="Verdana"/>
        </w:rPr>
      </w:pPr>
      <w:r>
        <w:rPr>
          <w:rFonts w:ascii="Verdana" w:eastAsia="Verdana" w:hAnsi="Verdana" w:cs="Verdana"/>
        </w:rPr>
        <w:t>Que mediante las Resoluciones No. 13224 del 15 de diciembre de 2016, No. 2885 del 2 de mayo de 2017 y No. 3787 del 26 de mayo de 2017 se autorizó la enajenación de acciones que había recibido el ICBF y se encontraban registradas en los estados contables a las fechas de su expedición.</w:t>
      </w:r>
    </w:p>
    <w:p w14:paraId="00000017" w14:textId="77777777" w:rsidR="00AB500D" w:rsidRDefault="00000000">
      <w:pPr>
        <w:shd w:val="clear" w:color="auto" w:fill="FFFFFF"/>
        <w:spacing w:after="240"/>
        <w:jc w:val="both"/>
        <w:rPr>
          <w:rFonts w:ascii="Verdana" w:eastAsia="Verdana" w:hAnsi="Verdana" w:cs="Verdana"/>
        </w:rPr>
      </w:pPr>
      <w:r>
        <w:rPr>
          <w:rFonts w:ascii="Verdana" w:eastAsia="Verdana" w:hAnsi="Verdana" w:cs="Verdana"/>
        </w:rPr>
        <w:t>Que con posterioridad a la expedición de los anteriores actos administrativos se han registrado nuevas acciones en los estados contables del ICBF, siendo necesario autorizar su enajenación.</w:t>
      </w:r>
    </w:p>
    <w:p w14:paraId="00000018" w14:textId="77777777" w:rsidR="00AB500D"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9" w14:textId="77777777" w:rsidR="00AB500D" w:rsidRDefault="00AB500D">
      <w:pPr>
        <w:shd w:val="clear" w:color="auto" w:fill="FFFFFF"/>
        <w:spacing w:after="240"/>
        <w:jc w:val="both"/>
        <w:rPr>
          <w:rFonts w:ascii="Verdana" w:eastAsia="Verdana" w:hAnsi="Verdana" w:cs="Verdana"/>
        </w:rPr>
      </w:pPr>
    </w:p>
    <w:p w14:paraId="0000001A" w14:textId="77777777" w:rsidR="00AB500D" w:rsidRDefault="00AB500D">
      <w:pPr>
        <w:shd w:val="clear" w:color="auto" w:fill="FFFFFF"/>
        <w:spacing w:after="240"/>
        <w:jc w:val="both"/>
        <w:rPr>
          <w:rFonts w:ascii="Verdana" w:eastAsia="Verdana" w:hAnsi="Verdana" w:cs="Verdana"/>
        </w:rPr>
      </w:pPr>
    </w:p>
    <w:p w14:paraId="0000001B" w14:textId="77777777" w:rsidR="00AB500D" w:rsidRDefault="00AB500D">
      <w:pPr>
        <w:shd w:val="clear" w:color="auto" w:fill="FFFFFF"/>
        <w:spacing w:after="240"/>
        <w:jc w:val="both"/>
        <w:rPr>
          <w:rFonts w:ascii="Verdana" w:eastAsia="Verdana" w:hAnsi="Verdana" w:cs="Verdana"/>
        </w:rPr>
      </w:pPr>
    </w:p>
    <w:p w14:paraId="0000001C"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RESUELVE</w:t>
      </w:r>
    </w:p>
    <w:p w14:paraId="0000001D" w14:textId="537CD1BB" w:rsidR="00AB500D"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Autorizar la enajenación de las nuevas acciones que el Instituto ha recibido como adjudicaciones por vocaciones hereditarias, bienes mostrencos y dación en pago, que no se encuentran incluidas en la Resolución No. 13224 del 15 de diciembre de 2016, No. 2885 del 2 de mayo de 2017 y No.3787del 26 de mayo de 2017, que se hallen registradas en los Estados Contables del ICBF, a la fecha de expedición de la presente Resolución.</w:t>
      </w:r>
    </w:p>
    <w:p w14:paraId="0000001E" w14:textId="77777777" w:rsidR="00AB500D"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la realización de los trámites y la suscripción de los documentos necesarios que garanticen el cumplimiento de las etapas de los procesos precontractuales y contractuales y de aquellas que para el desarrollo de la enajenación de las acciones se requiera de conformidad con las competencias dispuestas en el Manual de Contratación vigente.</w:t>
      </w:r>
    </w:p>
    <w:p w14:paraId="0000001F" w14:textId="77777777" w:rsidR="00AB500D"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w:t>
      </w:r>
      <w:r>
        <w:rPr>
          <w:rFonts w:ascii="Verdana" w:eastAsia="Verdana" w:hAnsi="Verdana" w:cs="Verdana"/>
        </w:rPr>
        <w:br/>
        <w:t>expedición y deroga las disposiciones que le sean contrarias.</w:t>
      </w:r>
    </w:p>
    <w:p w14:paraId="00000020" w14:textId="77777777" w:rsidR="00AB500D" w:rsidRDefault="00AB500D">
      <w:pPr>
        <w:shd w:val="clear" w:color="auto" w:fill="FFFFFF"/>
        <w:jc w:val="both"/>
        <w:rPr>
          <w:rFonts w:ascii="Verdana" w:eastAsia="Verdana" w:hAnsi="Verdana" w:cs="Verdana"/>
        </w:rPr>
      </w:pPr>
    </w:p>
    <w:p w14:paraId="00000021" w14:textId="77777777" w:rsidR="00AB500D" w:rsidRPr="00193247" w:rsidRDefault="00000000">
      <w:pPr>
        <w:shd w:val="clear" w:color="auto" w:fill="FFFFFF"/>
        <w:spacing w:after="240"/>
        <w:jc w:val="center"/>
        <w:rPr>
          <w:rFonts w:ascii="Verdana" w:eastAsia="Verdana" w:hAnsi="Verdana" w:cs="Verdana"/>
          <w:b/>
          <w:bCs/>
        </w:rPr>
      </w:pPr>
      <w:r w:rsidRPr="00193247">
        <w:rPr>
          <w:rFonts w:ascii="Verdana" w:eastAsia="Verdana" w:hAnsi="Verdana" w:cs="Verdana"/>
          <w:b/>
          <w:bCs/>
        </w:rPr>
        <w:t>COMUNIQUESE Y CUMPLASE</w:t>
      </w:r>
    </w:p>
    <w:p w14:paraId="00000022" w14:textId="77777777" w:rsidR="00AB500D"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27 días de abril de 2018</w:t>
      </w:r>
    </w:p>
    <w:p w14:paraId="00000023" w14:textId="77777777" w:rsidR="00AB500D"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24" w14:textId="77777777" w:rsidR="00AB500D"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5" w14:textId="77777777" w:rsidR="00AB500D" w:rsidRDefault="00AB500D">
      <w:pPr>
        <w:rPr>
          <w:rFonts w:ascii="Verdana" w:eastAsia="Verdana" w:hAnsi="Verdana" w:cs="Verdana"/>
        </w:rPr>
      </w:pPr>
    </w:p>
    <w:sectPr w:rsidR="00AB50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54E24A9-34D1-4F48-918E-3F8468AA9B93}"/>
    <w:embedBold r:id="rId2" w:fontKey="{6E539C50-53BF-4BDF-9506-F6BF8FE233BA}"/>
  </w:font>
  <w:font w:name="Calibri">
    <w:panose1 w:val="020F0502020204030204"/>
    <w:charset w:val="00"/>
    <w:family w:val="swiss"/>
    <w:pitch w:val="variable"/>
    <w:sig w:usb0="E4002EFF" w:usb1="C200247B" w:usb2="00000009" w:usb3="00000000" w:csb0="000001FF" w:csb1="00000000"/>
    <w:embedRegular r:id="rId3" w:fontKey="{172FA5B0-7498-43B8-89CC-3AC8A6C99484}"/>
  </w:font>
  <w:font w:name="Cambria">
    <w:panose1 w:val="02040503050406030204"/>
    <w:charset w:val="00"/>
    <w:family w:val="roman"/>
    <w:pitch w:val="variable"/>
    <w:sig w:usb0="E00006FF" w:usb1="420024FF" w:usb2="02000000" w:usb3="00000000" w:csb0="0000019F" w:csb1="00000000"/>
    <w:embedRegular r:id="rId4" w:fontKey="{9A2FEBC0-33F4-47D0-91E2-E8F3561D1E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00D"/>
    <w:rsid w:val="00193247"/>
    <w:rsid w:val="003732DF"/>
    <w:rsid w:val="00AB50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8122"/>
  <w15:docId w15:val="{9E1EA147-4108-4F62-82B2-6C4AA7F3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FABC32-BDC3-4451-A893-1FC9A0D2A6C5}"/>
</file>

<file path=customXml/itemProps2.xml><?xml version="1.0" encoding="utf-8"?>
<ds:datastoreItem xmlns:ds="http://schemas.openxmlformats.org/officeDocument/2006/customXml" ds:itemID="{B288035B-A58B-424C-89CF-9D496954E0D0}"/>
</file>

<file path=customXml/itemProps3.xml><?xml version="1.0" encoding="utf-8"?>
<ds:datastoreItem xmlns:ds="http://schemas.openxmlformats.org/officeDocument/2006/customXml" ds:itemID="{0A40EDEB-1CE6-4046-A21E-FF2967189B16}"/>
</file>

<file path=docProps/app.xml><?xml version="1.0" encoding="utf-8"?>
<Properties xmlns="http://schemas.openxmlformats.org/officeDocument/2006/extended-properties" xmlns:vt="http://schemas.openxmlformats.org/officeDocument/2006/docPropsVTypes">
  <Template>Normal</Template>
  <TotalTime>1</TotalTime>
  <Pages>1</Pages>
  <Words>862</Words>
  <Characters>4747</Characters>
  <Application>Microsoft Office Word</Application>
  <DocSecurity>0</DocSecurity>
  <Lines>39</Lines>
  <Paragraphs>11</Paragraphs>
  <ScaleCrop>false</ScaleCrop>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2026-03-02T15:26:00Z</dcterms:created>
  <dcterms:modified xsi:type="dcterms:W3CDTF">2026-03-02T15:27:00Z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