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79A44" w14:textId="77777777" w:rsidR="00EF077E" w:rsidRPr="00D00D7A" w:rsidRDefault="00EF077E" w:rsidP="00EF077E">
      <w:pPr>
        <w:jc w:val="center"/>
        <w:rPr>
          <w:rFonts w:ascii="Verdana" w:hAnsi="Verdana"/>
        </w:rPr>
      </w:pPr>
      <w:r w:rsidRPr="001343F8">
        <w:rPr>
          <w:rFonts w:ascii="Verdana" w:hAnsi="Verdana"/>
          <w:b/>
          <w:bCs/>
        </w:rPr>
        <w:t xml:space="preserve">RESOLUCIÓN </w:t>
      </w:r>
      <w:r>
        <w:rPr>
          <w:rFonts w:ascii="Verdana" w:hAnsi="Verdana"/>
          <w:b/>
          <w:bCs/>
        </w:rPr>
        <w:t>4382</w:t>
      </w:r>
      <w:r w:rsidRPr="001343F8">
        <w:rPr>
          <w:rFonts w:ascii="Verdana" w:hAnsi="Verdana"/>
          <w:b/>
          <w:bCs/>
        </w:rPr>
        <w:t xml:space="preserve"> DE </w:t>
      </w:r>
      <w:r>
        <w:rPr>
          <w:rFonts w:ascii="Verdana" w:hAnsi="Verdana"/>
          <w:b/>
          <w:bCs/>
        </w:rPr>
        <w:t>2026</w:t>
      </w:r>
    </w:p>
    <w:p w14:paraId="7BF601C9" w14:textId="77777777" w:rsidR="00EF077E" w:rsidRPr="00781004" w:rsidRDefault="00EF077E" w:rsidP="00EF077E">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31</w:t>
      </w:r>
      <w:r w:rsidRPr="00781004">
        <w:rPr>
          <w:rFonts w:ascii="Verdana" w:hAnsi="Verdana"/>
          <w:sz w:val="20"/>
          <w:szCs w:val="20"/>
        </w:rPr>
        <w:t xml:space="preserve"> de </w:t>
      </w:r>
      <w:r>
        <w:rPr>
          <w:rFonts w:ascii="Verdana" w:hAnsi="Verdana"/>
          <w:sz w:val="20"/>
          <w:szCs w:val="20"/>
        </w:rPr>
        <w:t>julio</w:t>
      </w:r>
      <w:r w:rsidRPr="00781004">
        <w:rPr>
          <w:rFonts w:ascii="Verdana" w:hAnsi="Verdana"/>
          <w:sz w:val="20"/>
          <w:szCs w:val="20"/>
        </w:rPr>
        <w:t xml:space="preserve"> de 2026</w:t>
      </w:r>
    </w:p>
    <w:p w14:paraId="27AF691E" w14:textId="77777777" w:rsidR="00EF077E" w:rsidRPr="00781004" w:rsidRDefault="00EF077E" w:rsidP="00EF077E">
      <w:pPr>
        <w:pStyle w:val="Sinespaciado1"/>
        <w:rPr>
          <w:rFonts w:ascii="Verdana" w:hAnsi="Verdana"/>
          <w:sz w:val="20"/>
          <w:szCs w:val="20"/>
        </w:rPr>
      </w:pPr>
      <w:r w:rsidRPr="00781004">
        <w:rPr>
          <w:rFonts w:ascii="Verdana" w:hAnsi="Verdana"/>
          <w:sz w:val="20"/>
          <w:szCs w:val="20"/>
        </w:rPr>
        <w:t xml:space="preserve">Fecha de </w:t>
      </w:r>
      <w:proofErr w:type="gramStart"/>
      <w:r w:rsidRPr="00781004">
        <w:rPr>
          <w:rFonts w:ascii="Verdana" w:hAnsi="Verdana"/>
          <w:sz w:val="20"/>
          <w:szCs w:val="20"/>
        </w:rPr>
        <w:t>entrada en vigencia</w:t>
      </w:r>
      <w:proofErr w:type="gramEnd"/>
      <w:r w:rsidRPr="00781004">
        <w:rPr>
          <w:rFonts w:ascii="Verdana" w:hAnsi="Verdana"/>
          <w:sz w:val="20"/>
          <w:szCs w:val="20"/>
        </w:rPr>
        <w:t xml:space="preserve">: </w:t>
      </w:r>
      <w:r>
        <w:rPr>
          <w:rFonts w:ascii="Verdana" w:hAnsi="Verdana"/>
          <w:sz w:val="20"/>
          <w:szCs w:val="20"/>
        </w:rPr>
        <w:t>31</w:t>
      </w:r>
      <w:r w:rsidRPr="00781004">
        <w:rPr>
          <w:rFonts w:ascii="Verdana" w:hAnsi="Verdana"/>
          <w:sz w:val="20"/>
          <w:szCs w:val="20"/>
        </w:rPr>
        <w:t xml:space="preserve"> de </w:t>
      </w:r>
      <w:r>
        <w:rPr>
          <w:rFonts w:ascii="Verdana" w:hAnsi="Verdana"/>
          <w:sz w:val="20"/>
          <w:szCs w:val="20"/>
        </w:rPr>
        <w:t>julio</w:t>
      </w:r>
      <w:r w:rsidRPr="00781004">
        <w:rPr>
          <w:rFonts w:ascii="Verdana" w:hAnsi="Verdana"/>
          <w:sz w:val="20"/>
          <w:szCs w:val="20"/>
        </w:rPr>
        <w:t xml:space="preserve"> de 2026</w:t>
      </w:r>
    </w:p>
    <w:p w14:paraId="0F60695C" w14:textId="77777777" w:rsidR="00EF077E" w:rsidRPr="00781004" w:rsidRDefault="00EF077E" w:rsidP="00EF077E">
      <w:pPr>
        <w:pStyle w:val="Sinespaciado1"/>
        <w:rPr>
          <w:rFonts w:ascii="Verdana" w:hAnsi="Verdana"/>
          <w:sz w:val="20"/>
          <w:szCs w:val="20"/>
        </w:rPr>
      </w:pPr>
      <w:r w:rsidRPr="00781004">
        <w:rPr>
          <w:rFonts w:ascii="Verdana" w:hAnsi="Verdana"/>
          <w:sz w:val="20"/>
          <w:szCs w:val="20"/>
        </w:rPr>
        <w:t>Estado de la vigencia: Vigente</w:t>
      </w:r>
    </w:p>
    <w:p w14:paraId="00B6B083" w14:textId="77777777" w:rsidR="00EF077E" w:rsidRPr="00781004" w:rsidRDefault="00EF077E" w:rsidP="00EF077E">
      <w:pPr>
        <w:pStyle w:val="Sinespaciado1"/>
        <w:rPr>
          <w:rFonts w:ascii="Verdana" w:hAnsi="Verdana"/>
          <w:sz w:val="20"/>
          <w:szCs w:val="20"/>
        </w:rPr>
      </w:pPr>
    </w:p>
    <w:p w14:paraId="7B9E4D01" w14:textId="77777777" w:rsidR="00EF077E" w:rsidRPr="00781004" w:rsidRDefault="00EF077E" w:rsidP="00EF077E">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N/A</w:t>
      </w:r>
    </w:p>
    <w:p w14:paraId="02FD2125" w14:textId="77777777" w:rsidR="00EF077E" w:rsidRDefault="00EF077E" w:rsidP="00EF077E">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N/A</w:t>
      </w:r>
    </w:p>
    <w:p w14:paraId="43ED382C" w14:textId="77777777" w:rsidR="00EF077E" w:rsidRPr="00781004" w:rsidRDefault="00EF077E" w:rsidP="00EF077E">
      <w:pPr>
        <w:pStyle w:val="Sinespaciado1"/>
        <w:rPr>
          <w:rFonts w:ascii="Verdana" w:hAnsi="Verdana"/>
          <w:sz w:val="20"/>
          <w:szCs w:val="20"/>
        </w:rPr>
      </w:pPr>
    </w:p>
    <w:p w14:paraId="7E90BE82" w14:textId="77777777" w:rsidR="00EF077E" w:rsidRDefault="00EF077E" w:rsidP="00EF077E">
      <w:pPr>
        <w:jc w:val="center"/>
        <w:rPr>
          <w:rFonts w:ascii="Verdana" w:hAnsi="Verdana"/>
          <w:b/>
          <w:bCs/>
        </w:rPr>
      </w:pPr>
      <w:r w:rsidRPr="001343F8">
        <w:rPr>
          <w:rFonts w:ascii="Verdana" w:hAnsi="Verdana"/>
          <w:b/>
          <w:bCs/>
        </w:rPr>
        <w:t xml:space="preserve">RESOLUCIÓN </w:t>
      </w:r>
      <w:r>
        <w:rPr>
          <w:rFonts w:ascii="Verdana" w:hAnsi="Verdana"/>
          <w:b/>
          <w:bCs/>
        </w:rPr>
        <w:t>4382</w:t>
      </w:r>
      <w:r w:rsidRPr="001343F8">
        <w:rPr>
          <w:rFonts w:ascii="Verdana" w:hAnsi="Verdana"/>
          <w:b/>
          <w:bCs/>
        </w:rPr>
        <w:t xml:space="preserve"> DE </w:t>
      </w:r>
      <w:r>
        <w:rPr>
          <w:rFonts w:ascii="Verdana" w:hAnsi="Verdana"/>
          <w:b/>
          <w:bCs/>
        </w:rPr>
        <w:t>2026</w:t>
      </w:r>
    </w:p>
    <w:p w14:paraId="11E97FDC" w14:textId="77777777" w:rsidR="00EF077E" w:rsidRPr="003A0C8C" w:rsidRDefault="00EF077E" w:rsidP="00EF077E">
      <w:pPr>
        <w:jc w:val="center"/>
        <w:rPr>
          <w:rFonts w:ascii="Verdana" w:hAnsi="Verdana"/>
        </w:rPr>
      </w:pPr>
      <w:r w:rsidRPr="003A0C8C">
        <w:rPr>
          <w:rFonts w:ascii="Verdana" w:hAnsi="Verdana"/>
        </w:rPr>
        <w:t>(31 de julio)</w:t>
      </w:r>
    </w:p>
    <w:p w14:paraId="1C78B86B" w14:textId="77777777" w:rsidR="00EF077E" w:rsidRDefault="00EF077E" w:rsidP="00EF077E">
      <w:pPr>
        <w:keepNext/>
        <w:widowControl w:val="0"/>
        <w:autoSpaceDE w:val="0"/>
        <w:autoSpaceDN w:val="0"/>
        <w:spacing w:after="0" w:line="240" w:lineRule="auto"/>
        <w:outlineLvl w:val="3"/>
        <w:rPr>
          <w:rFonts w:ascii="Verdana" w:eastAsia="Times New Roman" w:hAnsi="Verdana" w:cs="Arial"/>
          <w:b/>
          <w:spacing w:val="-3"/>
          <w:lang w:eastAsia="es-ES"/>
        </w:rPr>
      </w:pPr>
    </w:p>
    <w:p w14:paraId="73E153F9" w14:textId="61B28D25" w:rsidR="00EF077E" w:rsidRPr="00EF077E" w:rsidRDefault="00EF077E" w:rsidP="00A808CD">
      <w:pPr>
        <w:keepNext/>
        <w:widowControl w:val="0"/>
        <w:autoSpaceDE w:val="0"/>
        <w:autoSpaceDN w:val="0"/>
        <w:spacing w:after="0" w:line="240" w:lineRule="auto"/>
        <w:jc w:val="center"/>
        <w:outlineLvl w:val="3"/>
        <w:rPr>
          <w:rFonts w:ascii="Verdana" w:eastAsia="Times New Roman" w:hAnsi="Verdana" w:cs="Arial"/>
          <w:bCs/>
          <w:spacing w:val="-3"/>
          <w:lang w:eastAsia="es-ES"/>
        </w:rPr>
      </w:pPr>
      <w:r w:rsidRPr="00EF077E">
        <w:rPr>
          <w:rFonts w:ascii="Verdana" w:eastAsia="Times New Roman" w:hAnsi="Verdana" w:cs="Arial"/>
          <w:bCs/>
          <w:spacing w:val="-3"/>
          <w:lang w:eastAsia="es-ES"/>
        </w:rPr>
        <w:t>“Por la cual se da cumplimiento a la Sentencia C-191 de 2026 y se justifica la utilización de los recursos extraordinarios incorporados al presupuesto del Instituto Colombiano de Bienestar Familiar en el marco del Estado de Emergencia Económica, Social y Ecológica declarado mediante el Decreto Legislativo 150 de 2026”</w:t>
      </w:r>
    </w:p>
    <w:p w14:paraId="33AFEBE9" w14:textId="77777777" w:rsidR="00EF077E" w:rsidRDefault="00EF077E" w:rsidP="00EF077E">
      <w:pPr>
        <w:keepNext/>
        <w:widowControl w:val="0"/>
        <w:autoSpaceDE w:val="0"/>
        <w:autoSpaceDN w:val="0"/>
        <w:spacing w:after="0" w:line="240" w:lineRule="auto"/>
        <w:outlineLvl w:val="3"/>
        <w:rPr>
          <w:rFonts w:ascii="Verdana" w:eastAsia="Times New Roman" w:hAnsi="Verdana" w:cs="Arial"/>
          <w:b/>
          <w:spacing w:val="-3"/>
          <w:lang w:eastAsia="es-ES"/>
        </w:rPr>
      </w:pPr>
    </w:p>
    <w:p w14:paraId="0B073638" w14:textId="1660D930" w:rsidR="000C3BFF" w:rsidRPr="00C01D20" w:rsidRDefault="000C3BFF" w:rsidP="00E050F4">
      <w:pPr>
        <w:keepNext/>
        <w:widowControl w:val="0"/>
        <w:autoSpaceDE w:val="0"/>
        <w:autoSpaceDN w:val="0"/>
        <w:spacing w:after="0" w:line="240" w:lineRule="auto"/>
        <w:jc w:val="center"/>
        <w:outlineLvl w:val="3"/>
        <w:rPr>
          <w:rFonts w:ascii="Verdana" w:hAnsi="Verdana" w:cs="Arial"/>
          <w:i/>
          <w:iCs/>
        </w:rPr>
      </w:pPr>
      <w:r w:rsidRPr="00C01D20">
        <w:rPr>
          <w:rFonts w:ascii="Verdana" w:eastAsia="Times New Roman" w:hAnsi="Verdana" w:cs="Arial"/>
          <w:b/>
          <w:spacing w:val="-3"/>
          <w:lang w:eastAsia="es-ES"/>
        </w:rPr>
        <w:t>LA DIRECTORA GENERAL</w:t>
      </w:r>
      <w:r w:rsidR="006E50AD" w:rsidRPr="00C01D20">
        <w:rPr>
          <w:rFonts w:ascii="Verdana" w:eastAsia="Times New Roman" w:hAnsi="Verdana" w:cs="Arial"/>
          <w:b/>
          <w:spacing w:val="-3"/>
          <w:lang w:eastAsia="es-ES"/>
        </w:rPr>
        <w:t xml:space="preserve"> </w:t>
      </w:r>
      <w:r w:rsidR="00F5055A" w:rsidRPr="00C01D20">
        <w:rPr>
          <w:rFonts w:ascii="Verdana" w:eastAsia="Times New Roman" w:hAnsi="Verdana" w:cs="Arial"/>
          <w:b/>
          <w:spacing w:val="-3"/>
          <w:lang w:eastAsia="es-ES"/>
        </w:rPr>
        <w:t>DEL</w:t>
      </w:r>
      <w:r w:rsidRPr="00C01D20">
        <w:rPr>
          <w:rFonts w:ascii="Verdana" w:eastAsia="Times New Roman" w:hAnsi="Verdana" w:cs="Arial"/>
          <w:b/>
          <w:spacing w:val="-3"/>
          <w:lang w:eastAsia="es-ES"/>
        </w:rPr>
        <w:t xml:space="preserve"> INSTITUTO COLOMBIANO DE BIENESTAR FAMILIAR (ICBF) </w:t>
      </w:r>
      <w:r w:rsidR="00832AF0" w:rsidRPr="00C01D20">
        <w:rPr>
          <w:rFonts w:ascii="Verdana" w:eastAsia="Times New Roman" w:hAnsi="Verdana" w:cs="Arial"/>
          <w:b/>
          <w:i/>
          <w:iCs/>
          <w:spacing w:val="-3"/>
          <w:lang w:eastAsia="es-ES"/>
        </w:rPr>
        <w:t>“</w:t>
      </w:r>
      <w:r w:rsidRPr="00C01D20">
        <w:rPr>
          <w:rFonts w:ascii="Verdana" w:eastAsia="Times New Roman" w:hAnsi="Verdana" w:cs="Arial"/>
          <w:b/>
          <w:i/>
          <w:iCs/>
          <w:spacing w:val="-3"/>
          <w:lang w:eastAsia="es-ES"/>
        </w:rPr>
        <w:t>CECILIA DE LA FUENTE DE LLERAS</w:t>
      </w:r>
      <w:r w:rsidR="00832AF0" w:rsidRPr="00C01D20">
        <w:rPr>
          <w:rFonts w:ascii="Verdana" w:eastAsia="Times New Roman" w:hAnsi="Verdana" w:cs="Arial"/>
          <w:b/>
          <w:i/>
          <w:iCs/>
          <w:spacing w:val="-3"/>
          <w:lang w:eastAsia="es-ES"/>
        </w:rPr>
        <w:t>”</w:t>
      </w:r>
    </w:p>
    <w:p w14:paraId="2EB7BBF7" w14:textId="77777777" w:rsidR="000C3BFF" w:rsidRPr="00C01D20" w:rsidRDefault="000C3BFF" w:rsidP="00E050F4">
      <w:pPr>
        <w:spacing w:after="0" w:line="240" w:lineRule="auto"/>
        <w:jc w:val="both"/>
        <w:rPr>
          <w:rFonts w:ascii="Verdana" w:hAnsi="Verdana" w:cs="Arial"/>
          <w:i/>
          <w:iCs/>
        </w:rPr>
      </w:pPr>
    </w:p>
    <w:p w14:paraId="657728D0" w14:textId="4F3AF50D" w:rsidR="00BB4652" w:rsidRPr="00C01D20" w:rsidRDefault="00BB4652" w:rsidP="03431A2F">
      <w:pPr>
        <w:spacing w:after="0" w:line="240" w:lineRule="auto"/>
        <w:jc w:val="center"/>
        <w:rPr>
          <w:rFonts w:ascii="Verdana" w:hAnsi="Verdana" w:cs="Arial"/>
        </w:rPr>
      </w:pPr>
      <w:r w:rsidRPr="00C01D20">
        <w:rPr>
          <w:rFonts w:ascii="Verdana" w:hAnsi="Verdana" w:cs="Arial"/>
        </w:rPr>
        <w:t xml:space="preserve">En ejercicio de sus facultades constitucionales, legales y estatutarias, en especial las conferidas por el artículo 78 de la Ley 489 de 1998, el literal </w:t>
      </w:r>
      <w:r w:rsidR="51405005" w:rsidRPr="00C01D20">
        <w:rPr>
          <w:rFonts w:ascii="Verdana" w:hAnsi="Verdana" w:cs="Arial"/>
        </w:rPr>
        <w:t>[</w:t>
      </w:r>
      <w:r w:rsidRPr="00C01D20">
        <w:rPr>
          <w:rFonts w:ascii="Verdana" w:hAnsi="Verdana" w:cs="Arial"/>
        </w:rPr>
        <w:t>b</w:t>
      </w:r>
      <w:r w:rsidR="00851CDB" w:rsidRPr="00C01D20">
        <w:rPr>
          <w:rFonts w:ascii="Verdana" w:hAnsi="Verdana" w:cs="Arial"/>
        </w:rPr>
        <w:t>]</w:t>
      </w:r>
      <w:r w:rsidRPr="00C01D20">
        <w:rPr>
          <w:rFonts w:ascii="Verdana" w:hAnsi="Verdana" w:cs="Arial"/>
        </w:rPr>
        <w:t xml:space="preserve"> del artículo 28 de la Ley 7ª de 1979, el numeral 24 del artículo 32 del Decreto 1430 de 2025 y</w:t>
      </w:r>
      <w:r w:rsidR="6D341177" w:rsidRPr="00C01D20">
        <w:rPr>
          <w:rFonts w:ascii="Verdana" w:hAnsi="Verdana" w:cs="Arial"/>
        </w:rPr>
        <w:t xml:space="preserve"> en cumplimiento de la Sentencia C 191 de 2026 de la Corte Constitucional, y</w:t>
      </w:r>
    </w:p>
    <w:p w14:paraId="398A43CB" w14:textId="03A82A9B" w:rsidR="000C3BFF" w:rsidRPr="00C01D20" w:rsidRDefault="000C3BFF" w:rsidP="00E050F4">
      <w:pPr>
        <w:spacing w:after="0" w:line="240" w:lineRule="auto"/>
        <w:jc w:val="both"/>
        <w:rPr>
          <w:rFonts w:ascii="Verdana" w:hAnsi="Verdana" w:cs="Arial"/>
        </w:rPr>
      </w:pPr>
      <w:r w:rsidRPr="00C01D20">
        <w:rPr>
          <w:rFonts w:ascii="Verdana" w:hAnsi="Verdana" w:cs="Arial"/>
        </w:rPr>
        <w:t xml:space="preserve">                                      </w:t>
      </w:r>
    </w:p>
    <w:p w14:paraId="4FB43D3C" w14:textId="77777777" w:rsidR="00BB4652" w:rsidRPr="00C01D20" w:rsidRDefault="00BB4652" w:rsidP="00BB4652">
      <w:pPr>
        <w:spacing w:after="160"/>
        <w:jc w:val="center"/>
        <w:rPr>
          <w:rFonts w:ascii="Verdana" w:hAnsi="Verdana"/>
          <w:b/>
          <w:bCs/>
        </w:rPr>
      </w:pPr>
      <w:r w:rsidRPr="00C01D20">
        <w:rPr>
          <w:rFonts w:ascii="Verdana" w:hAnsi="Verdana"/>
          <w:b/>
          <w:bCs/>
        </w:rPr>
        <w:t>CONSIDERANDO</w:t>
      </w:r>
    </w:p>
    <w:p w14:paraId="509E1038" w14:textId="77777777" w:rsidR="00BB4652" w:rsidRPr="00C01D20" w:rsidRDefault="00BB4652" w:rsidP="00BB4652">
      <w:pPr>
        <w:spacing w:after="160"/>
        <w:jc w:val="both"/>
        <w:rPr>
          <w:rFonts w:ascii="Verdana" w:hAnsi="Verdana"/>
        </w:rPr>
      </w:pPr>
      <w:r w:rsidRPr="00C01D20">
        <w:rPr>
          <w:rFonts w:ascii="Verdana" w:hAnsi="Verdana"/>
        </w:rPr>
        <w:t>Que el artículo 2° de la Constitución Política establece como fines esenciales del Estado, entre otros, servir a la comunidad, promover la prosperidad general, garantizar la efectividad de los derechos y asegurar la vigencia de un orden justo.</w:t>
      </w:r>
    </w:p>
    <w:p w14:paraId="5AE123FC" w14:textId="77777777" w:rsidR="00BB4652" w:rsidRPr="00C01D20" w:rsidRDefault="00BB4652" w:rsidP="00BB4652">
      <w:pPr>
        <w:spacing w:after="160"/>
        <w:jc w:val="both"/>
        <w:rPr>
          <w:rFonts w:ascii="Verdana" w:hAnsi="Verdana"/>
        </w:rPr>
      </w:pPr>
      <w:r w:rsidRPr="00C01D20">
        <w:rPr>
          <w:rFonts w:ascii="Verdana" w:hAnsi="Verdana"/>
        </w:rPr>
        <w:t>Que, de conformidad con los artículos 44 y 209 de la Constitución Política, la garantía de los derechos de las niñas, los niños y los adolescentes constituye una obligación prevalente del Estado, y la función administrativa debe desarrollarse con fundamento en los principios de igualdad, moralidad, eficacia, economía, celeridad, imparcialidad y publicidad.</w:t>
      </w:r>
    </w:p>
    <w:p w14:paraId="0A2E6D1E" w14:textId="77777777" w:rsidR="00BB4652" w:rsidRPr="00C01D20" w:rsidRDefault="00BB4652" w:rsidP="00BB4652">
      <w:pPr>
        <w:spacing w:after="160"/>
        <w:jc w:val="both"/>
        <w:rPr>
          <w:rFonts w:ascii="Verdana" w:hAnsi="Verdana"/>
        </w:rPr>
      </w:pPr>
      <w:r w:rsidRPr="00C01D20">
        <w:rPr>
          <w:rFonts w:ascii="Verdana" w:hAnsi="Verdana"/>
        </w:rPr>
        <w:t>Que mediante el Decreto Legislativo 150 del 11 de febrero de 2026 se declaró el Estado de Emergencia Económica, Social y Ecológica en parte del territorio nacional, con el propósito de conjurar la crisis derivada del fenómeno meteorológico ocurrido durante los meses de enero y febrero de 2026 e impedir la extensión de sus efectos.</w:t>
      </w:r>
    </w:p>
    <w:p w14:paraId="321CC0F6" w14:textId="77777777" w:rsidR="00BB4652" w:rsidRPr="00C01D20" w:rsidRDefault="00BB4652" w:rsidP="00BB4652">
      <w:pPr>
        <w:spacing w:after="160"/>
        <w:jc w:val="both"/>
        <w:rPr>
          <w:rFonts w:ascii="Verdana" w:hAnsi="Verdana"/>
        </w:rPr>
      </w:pPr>
      <w:r w:rsidRPr="00C01D20">
        <w:rPr>
          <w:rFonts w:ascii="Verdana" w:hAnsi="Verdana"/>
        </w:rPr>
        <w:t>Que mediante el Decreto Legislativo 241 del 12 de marzo de 2026 se adicionó el Presupuesto General de la Nación para la vigencia fiscal de 2026 y se asignó al Instituto Colombiano de Bienestar Familiar la suma de doscientos ochenta mil millones de pesos ($280.000.000.000), destinada a financiar medidas relacionadas con la atención de la emergencia.</w:t>
      </w:r>
    </w:p>
    <w:p w14:paraId="4B807389" w14:textId="2D57F126" w:rsidR="1492DC2B" w:rsidRPr="00C01D20" w:rsidRDefault="00BB4652" w:rsidP="1492DC2B">
      <w:pPr>
        <w:spacing w:after="160"/>
        <w:jc w:val="both"/>
        <w:rPr>
          <w:rFonts w:ascii="Verdana" w:hAnsi="Verdana"/>
        </w:rPr>
      </w:pPr>
      <w:r w:rsidRPr="00C01D20">
        <w:rPr>
          <w:rFonts w:ascii="Verdana" w:hAnsi="Verdana"/>
        </w:rPr>
        <w:t xml:space="preserve">Que el Decreto 366 del 7 de abril de 2026 liquidó los recursos adicionados mediante el Decreto Legislativo 241 de 2026 y detalló las apropiaciones correspondientes al Instituto Colombiano de Bienestar Familiar. Posteriormente, mediante las </w:t>
      </w:r>
      <w:r w:rsidR="12FB5A55" w:rsidRPr="00C01D20">
        <w:rPr>
          <w:rFonts w:ascii="Verdana" w:hAnsi="Verdana"/>
        </w:rPr>
        <w:t>R</w:t>
      </w:r>
      <w:r w:rsidRPr="00C01D20">
        <w:rPr>
          <w:rFonts w:ascii="Verdana" w:hAnsi="Verdana"/>
        </w:rPr>
        <w:t xml:space="preserve">esoluciones 2363 del 30 de abril y 3660 del 9 de julio de 2026, el Instituto incorporó y ajustó la desagregación de dichos recursos en su presupuesto para la vigencia fiscal de 2026. </w:t>
      </w:r>
    </w:p>
    <w:p w14:paraId="2CFA9C73" w14:textId="3E676AA5" w:rsidR="00BB4652" w:rsidRPr="00C01D20" w:rsidRDefault="00BB4652" w:rsidP="00BB4652">
      <w:pPr>
        <w:spacing w:after="160"/>
        <w:jc w:val="both"/>
        <w:rPr>
          <w:rFonts w:ascii="Verdana" w:hAnsi="Verdana"/>
        </w:rPr>
      </w:pPr>
      <w:r w:rsidRPr="00C01D20">
        <w:rPr>
          <w:rFonts w:ascii="Verdana" w:hAnsi="Verdana"/>
        </w:rPr>
        <w:t xml:space="preserve">Que la Corte Constitucional, mediante </w:t>
      </w:r>
      <w:r w:rsidR="2675BABF" w:rsidRPr="00C01D20">
        <w:rPr>
          <w:rFonts w:ascii="Verdana" w:hAnsi="Verdana"/>
        </w:rPr>
        <w:t xml:space="preserve">el </w:t>
      </w:r>
      <w:r w:rsidR="2847545A" w:rsidRPr="00C01D20">
        <w:rPr>
          <w:rFonts w:ascii="Verdana" w:hAnsi="Verdana"/>
        </w:rPr>
        <w:t xml:space="preserve">comunicado de prensa </w:t>
      </w:r>
      <w:r w:rsidR="2675BABF" w:rsidRPr="00C01D20">
        <w:rPr>
          <w:rFonts w:ascii="Verdana" w:hAnsi="Verdana"/>
        </w:rPr>
        <w:t>No. 22</w:t>
      </w:r>
      <w:r w:rsidR="2847545A" w:rsidRPr="00C01D20">
        <w:rPr>
          <w:rFonts w:ascii="Verdana" w:hAnsi="Verdana"/>
        </w:rPr>
        <w:t xml:space="preserve"> del presente </w:t>
      </w:r>
      <w:r w:rsidR="2675BABF" w:rsidRPr="00C01D20">
        <w:rPr>
          <w:rFonts w:ascii="Verdana" w:hAnsi="Verdana"/>
        </w:rPr>
        <w:t>año, dio a conocer las</w:t>
      </w:r>
      <w:r w:rsidR="5F3D9C22" w:rsidRPr="00C01D20">
        <w:rPr>
          <w:rFonts w:ascii="Verdana" w:hAnsi="Verdana"/>
        </w:rPr>
        <w:t xml:space="preserve"> decisiones </w:t>
      </w:r>
      <w:r w:rsidR="5EC5E025" w:rsidRPr="00C01D20">
        <w:rPr>
          <w:rFonts w:ascii="Verdana" w:hAnsi="Verdana"/>
        </w:rPr>
        <w:t>impartidas</w:t>
      </w:r>
      <w:r w:rsidR="5F3D9C22" w:rsidRPr="00C01D20">
        <w:rPr>
          <w:rFonts w:ascii="Verdana" w:hAnsi="Verdana"/>
        </w:rPr>
        <w:t xml:space="preserve"> en la</w:t>
      </w:r>
      <w:r w:rsidR="2675BABF" w:rsidRPr="00C01D20">
        <w:rPr>
          <w:rFonts w:ascii="Verdana" w:hAnsi="Verdana"/>
        </w:rPr>
        <w:t xml:space="preserve"> </w:t>
      </w:r>
      <w:r w:rsidRPr="00C01D20">
        <w:rPr>
          <w:rFonts w:ascii="Verdana" w:hAnsi="Verdana"/>
        </w:rPr>
        <w:t xml:space="preserve">Sentencia C-191 de 2026, </w:t>
      </w:r>
      <w:r w:rsidR="4FA9842B" w:rsidRPr="00C01D20">
        <w:rPr>
          <w:rFonts w:ascii="Verdana" w:hAnsi="Verdana"/>
        </w:rPr>
        <w:t>donde la Corte</w:t>
      </w:r>
      <w:r w:rsidRPr="00C01D20">
        <w:rPr>
          <w:rFonts w:ascii="Verdana" w:hAnsi="Verdana"/>
        </w:rPr>
        <w:t xml:space="preserve"> declaró la </w:t>
      </w:r>
      <w:proofErr w:type="spellStart"/>
      <w:r w:rsidRPr="00C01D20">
        <w:rPr>
          <w:rFonts w:ascii="Verdana" w:hAnsi="Verdana"/>
        </w:rPr>
        <w:t>exequibilidad</w:t>
      </w:r>
      <w:proofErr w:type="spellEnd"/>
      <w:r w:rsidRPr="00C01D20">
        <w:rPr>
          <w:rFonts w:ascii="Verdana" w:hAnsi="Verdana"/>
        </w:rPr>
        <w:t xml:space="preserve"> condicionada de los artículos 2° y 3° del Decreto </w:t>
      </w:r>
      <w:r w:rsidRPr="00C01D20">
        <w:rPr>
          <w:rFonts w:ascii="Verdana" w:hAnsi="Verdana"/>
        </w:rPr>
        <w:lastRenderedPageBreak/>
        <w:t>Legislativo 150 de 2026 y determinó</w:t>
      </w:r>
      <w:r w:rsidR="2261512A" w:rsidRPr="00C01D20">
        <w:rPr>
          <w:rFonts w:ascii="Verdana" w:hAnsi="Verdana"/>
        </w:rPr>
        <w:t>,</w:t>
      </w:r>
      <w:r w:rsidRPr="00C01D20">
        <w:rPr>
          <w:rFonts w:ascii="Verdana" w:hAnsi="Verdana"/>
        </w:rPr>
        <w:t xml:space="preserve"> que la implementación de las condiciones fijadas en la decisión debía</w:t>
      </w:r>
      <w:r w:rsidR="6E66B7D6" w:rsidRPr="00C01D20">
        <w:rPr>
          <w:rFonts w:ascii="Verdana" w:hAnsi="Verdana"/>
        </w:rPr>
        <w:t>n</w:t>
      </w:r>
      <w:r w:rsidRPr="00C01D20">
        <w:rPr>
          <w:rFonts w:ascii="Verdana" w:hAnsi="Verdana"/>
        </w:rPr>
        <w:t xml:space="preserve"> </w:t>
      </w:r>
      <w:r w:rsidR="5B7854BA" w:rsidRPr="00C01D20">
        <w:rPr>
          <w:rFonts w:ascii="Verdana" w:hAnsi="Verdana"/>
        </w:rPr>
        <w:t xml:space="preserve">implementarse </w:t>
      </w:r>
      <w:r w:rsidR="0EFCC008" w:rsidRPr="00C01D20">
        <w:rPr>
          <w:rFonts w:ascii="Verdana" w:hAnsi="Verdana"/>
        </w:rPr>
        <w:t>respecto</w:t>
      </w:r>
      <w:r w:rsidR="3DA2CC90" w:rsidRPr="00C01D20">
        <w:rPr>
          <w:rFonts w:ascii="Verdana" w:hAnsi="Verdana"/>
        </w:rPr>
        <w:t xml:space="preserve"> de los recursos que todavía no se haya</w:t>
      </w:r>
      <w:r w:rsidR="01C8A24E" w:rsidRPr="00C01D20">
        <w:rPr>
          <w:rFonts w:ascii="Verdana" w:hAnsi="Verdana"/>
        </w:rPr>
        <w:t>n</w:t>
      </w:r>
      <w:r w:rsidR="3DA2CC90" w:rsidRPr="00C01D20">
        <w:rPr>
          <w:rFonts w:ascii="Verdana" w:hAnsi="Verdana"/>
        </w:rPr>
        <w:t xml:space="preserve"> comprometido o ejecutado a</w:t>
      </w:r>
      <w:r w:rsidR="707FC2C9" w:rsidRPr="00C01D20">
        <w:rPr>
          <w:rFonts w:ascii="Verdana" w:hAnsi="Verdana"/>
        </w:rPr>
        <w:t>l momento de la</w:t>
      </w:r>
      <w:r w:rsidR="3DA2CC90" w:rsidRPr="00C01D20">
        <w:rPr>
          <w:rFonts w:ascii="Verdana" w:hAnsi="Verdana"/>
        </w:rPr>
        <w:t xml:space="preserve"> </w:t>
      </w:r>
      <w:r w:rsidRPr="00C01D20">
        <w:rPr>
          <w:rFonts w:ascii="Verdana" w:hAnsi="Verdana"/>
        </w:rPr>
        <w:t>publicación del comunicado correspondiente.</w:t>
      </w:r>
    </w:p>
    <w:p w14:paraId="2550A84B" w14:textId="77777777" w:rsidR="00BB4652" w:rsidRPr="00C01D20" w:rsidRDefault="00BB4652" w:rsidP="00BB4652">
      <w:pPr>
        <w:spacing w:after="160"/>
        <w:jc w:val="both"/>
      </w:pPr>
      <w:r w:rsidRPr="00C01D20">
        <w:rPr>
          <w:rFonts w:ascii="Verdana" w:hAnsi="Verdana"/>
        </w:rPr>
        <w:t>Que, en particular, la Corte Constitucional dispuso que las competencias para financiar y ejecutar recursos al amparo del estado de excepción no pueden extenderse a gastos que no se encuentren directamente relacionados con la emergencia declarada.</w:t>
      </w:r>
    </w:p>
    <w:p w14:paraId="6F625FF2" w14:textId="77777777" w:rsidR="484498E5" w:rsidRPr="00C01D20" w:rsidRDefault="00BB4652" w:rsidP="1492DC2B">
      <w:pPr>
        <w:spacing w:after="160"/>
        <w:jc w:val="both"/>
      </w:pPr>
      <w:r w:rsidRPr="00C01D20">
        <w:rPr>
          <w:rFonts w:ascii="Verdana" w:hAnsi="Verdana"/>
        </w:rPr>
        <w:t xml:space="preserve">Que la </w:t>
      </w:r>
      <w:r w:rsidR="484498E5" w:rsidRPr="00C01D20">
        <w:rPr>
          <w:rFonts w:ascii="Verdana" w:hAnsi="Verdana"/>
        </w:rPr>
        <w:t>Corte precisó, además, que el estado de emergencia no habilita la adopción de medidas estructurales ni la ejecución de acciones de reconstrucción, salvo que, respecto de estas últimas, se demuestre que se encuentran directa y estrechamente relacionadas con la fase de rehabilitación.</w:t>
      </w:r>
    </w:p>
    <w:p w14:paraId="7EFAC95F" w14:textId="77777777" w:rsidR="7C30E3B2" w:rsidRPr="00C01D20" w:rsidRDefault="7C30E3B2" w:rsidP="1492DC2B">
      <w:pPr>
        <w:spacing w:after="160"/>
        <w:jc w:val="both"/>
        <w:rPr>
          <w:rFonts w:ascii="Verdana" w:hAnsi="Verdana"/>
        </w:rPr>
      </w:pPr>
      <w:r w:rsidRPr="00C01D20">
        <w:rPr>
          <w:rFonts w:ascii="Verdana" w:hAnsi="Verdana"/>
        </w:rPr>
        <w:t>Que la Corte ordenó establecer un mecanismo para la administración y ejecución de los recursos obtenidos al amparo del estado de emergencia absolutamente separado de otras fuentes, que permita hacer seguimiento a su destinación y suministrar información permanente a los organismos de control.</w:t>
      </w:r>
    </w:p>
    <w:p w14:paraId="19433E56" w14:textId="1D0B1D39" w:rsidR="06F4CA5C" w:rsidRPr="00C01D20" w:rsidRDefault="06F4CA5C" w:rsidP="1492DC2B">
      <w:pPr>
        <w:spacing w:after="160"/>
        <w:jc w:val="both"/>
      </w:pPr>
      <w:r w:rsidRPr="00C01D20">
        <w:rPr>
          <w:rFonts w:ascii="Verdana" w:hAnsi="Verdana"/>
        </w:rPr>
        <w:t xml:space="preserve">En ese sentido, la Corte afirmó </w:t>
      </w:r>
      <w:r w:rsidR="258CD228" w:rsidRPr="00C01D20">
        <w:rPr>
          <w:rFonts w:ascii="Verdana" w:hAnsi="Verdana"/>
        </w:rPr>
        <w:t>que en</w:t>
      </w:r>
      <w:r w:rsidRPr="00C01D20">
        <w:rPr>
          <w:rFonts w:ascii="Verdana" w:hAnsi="Verdana"/>
        </w:rPr>
        <w:t xml:space="preserve"> el ámbito territorial de las medidas se encuentra limitad</w:t>
      </w:r>
      <w:r w:rsidR="3ABDF40A" w:rsidRPr="00C01D20">
        <w:rPr>
          <w:rFonts w:ascii="Verdana" w:hAnsi="Verdana"/>
        </w:rPr>
        <w:t>as</w:t>
      </w:r>
      <w:r w:rsidRPr="00C01D20">
        <w:rPr>
          <w:rFonts w:ascii="Verdana" w:hAnsi="Verdana"/>
        </w:rPr>
        <w:t xml:space="preserve"> a los ciento ochenta y un (181) municipios identificados por la Unidad Nacional para la Gestión del Riesgo de Desastres y a aquellos otros municipios respecto de los cuales pueda demostrarse, de manera precisa, una afectación concreta derivada del fenómeno que dio lugar a la declaratoria de emergencia.</w:t>
      </w:r>
    </w:p>
    <w:p w14:paraId="1A9C5CC8" w14:textId="1E639DF1" w:rsidR="35BC780B" w:rsidRPr="00C01D20" w:rsidRDefault="35BC780B" w:rsidP="1492DC2B">
      <w:pPr>
        <w:spacing w:after="160"/>
        <w:jc w:val="both"/>
      </w:pPr>
      <w:r w:rsidRPr="00C01D20">
        <w:rPr>
          <w:rFonts w:ascii="Verdana" w:hAnsi="Verdana"/>
        </w:rPr>
        <w:t xml:space="preserve">Ahora bien, especialmente en </w:t>
      </w:r>
      <w:r w:rsidR="71D32E27" w:rsidRPr="00C01D20">
        <w:rPr>
          <w:rFonts w:ascii="Verdana" w:hAnsi="Verdana"/>
        </w:rPr>
        <w:t>la segunda orden de la Sentencia C-191 de 2026, la Corte estableció:</w:t>
      </w:r>
    </w:p>
    <w:p w14:paraId="449600D3" w14:textId="6FD06161" w:rsidR="0DE5B8F3" w:rsidRPr="00C01D20" w:rsidRDefault="0DE5B8F3" w:rsidP="0F75E471">
      <w:pPr>
        <w:spacing w:after="160"/>
        <w:ind w:left="708"/>
        <w:jc w:val="both"/>
        <w:rPr>
          <w:rFonts w:ascii="Verdana" w:hAnsi="Verdana"/>
          <w:i/>
          <w:iCs/>
          <w:sz w:val="20"/>
          <w:szCs w:val="20"/>
        </w:rPr>
      </w:pPr>
      <w:r w:rsidRPr="00C01D20">
        <w:rPr>
          <w:rFonts w:ascii="Verdana" w:hAnsi="Verdana"/>
          <w:i/>
          <w:iCs/>
          <w:sz w:val="20"/>
          <w:szCs w:val="20"/>
        </w:rPr>
        <w:t>“</w:t>
      </w:r>
      <w:r w:rsidR="71D32E27" w:rsidRPr="00C01D20">
        <w:rPr>
          <w:rFonts w:ascii="Verdana" w:hAnsi="Verdana"/>
          <w:i/>
          <w:sz w:val="20"/>
          <w:szCs w:val="20"/>
        </w:rPr>
        <w:t>Segundo: Declarar la EXEQUIBILIDAD de los artículos 2 y 3 del Decreto 150 de 2026, “[p]</w:t>
      </w:r>
      <w:proofErr w:type="spellStart"/>
      <w:r w:rsidR="71D32E27" w:rsidRPr="00C01D20">
        <w:rPr>
          <w:rFonts w:ascii="Verdana" w:hAnsi="Verdana"/>
          <w:i/>
          <w:sz w:val="20"/>
          <w:szCs w:val="20"/>
        </w:rPr>
        <w:t>or</w:t>
      </w:r>
      <w:proofErr w:type="spellEnd"/>
      <w:r w:rsidR="71D32E27" w:rsidRPr="00C01D20">
        <w:rPr>
          <w:rFonts w:ascii="Verdana" w:hAnsi="Verdana"/>
          <w:i/>
          <w:sz w:val="20"/>
          <w:szCs w:val="20"/>
        </w:rPr>
        <w:t xml:space="preserve"> el cual se declara el Estado de Emergencia Económica, Social y Ecológica en parte del territorio nacional”, bajo las siguientes condiciones cuya implementación deberá iniciarse tan pronto se publique el comunicado de esta decisión: a) El estado de emergencia no habilita la adopción de medidas estructurales, ni de aquellas que tengan por objeto ejecutar acciones de reconstrucción, a menos que, respecto de estas últimas, el Gobierno nacional demuestre que se encuentran directa y estrechamente relacionadas con la fase de rehabilitación, en los términos que han quedado indicados en la parte motiva de esta</w:t>
      </w:r>
      <w:r w:rsidR="00BB4652" w:rsidRPr="00C01D20">
        <w:rPr>
          <w:rFonts w:ascii="Verdana" w:hAnsi="Verdana"/>
          <w:i/>
          <w:sz w:val="20"/>
          <w:szCs w:val="20"/>
        </w:rPr>
        <w:t xml:space="preserve"> providencia</w:t>
      </w:r>
      <w:r w:rsidR="71D32E27" w:rsidRPr="00C01D20">
        <w:rPr>
          <w:rFonts w:ascii="Verdana" w:hAnsi="Verdana"/>
          <w:i/>
          <w:sz w:val="20"/>
          <w:szCs w:val="20"/>
        </w:rPr>
        <w:t xml:space="preserve">. b) La configuración y ejecución de las medidas de financiación extraordinarias deberá sujetarse a las siguientes exigencias: i. Las competencias para financiar (recaudo, crédito, distribuciones, entre otras) y ejecutar recursos al amparo del estado de excepción no pueden extenderse, en ningún caso, a gastos no relacionados directamente con el estado de emergencia declarado y en las condiciones indicadas en esta sentencia. A la mayor brevedad posible, el Ministerio de Hacienda deberá recalcular el costo total de la emergencia y de las adiciones presupuestales necesarias para financiarlo, teniendo en cuenta el contenido de esta sentencia y los principios y reglas que guían la gestión de los recursos públicos. </w:t>
      </w:r>
      <w:proofErr w:type="spellStart"/>
      <w:r w:rsidR="71D32E27" w:rsidRPr="00C01D20">
        <w:rPr>
          <w:rFonts w:ascii="Verdana" w:hAnsi="Verdana"/>
          <w:i/>
          <w:sz w:val="20"/>
          <w:szCs w:val="20"/>
        </w:rPr>
        <w:t>ii</w:t>
      </w:r>
      <w:proofErr w:type="spellEnd"/>
      <w:r w:rsidR="71D32E27" w:rsidRPr="00C01D20">
        <w:rPr>
          <w:rFonts w:ascii="Verdana" w:hAnsi="Verdana"/>
          <w:i/>
          <w:sz w:val="20"/>
          <w:szCs w:val="20"/>
        </w:rPr>
        <w:t xml:space="preserve">. La entidad con competencia para ordenar el gasto en cada sector deberá indicar en un acto administrativo, las razones por las cuales, en función de la oportunidad del gasto y la disponibilidad de los recursos, no es posible acudir a medios ordinarios de financiación. Esta obligación se extenderá a los recursos que todavía no se hayan comprometido o ejecutado. </w:t>
      </w:r>
      <w:proofErr w:type="spellStart"/>
      <w:r w:rsidR="71D32E27" w:rsidRPr="00C01D20">
        <w:rPr>
          <w:rFonts w:ascii="Verdana" w:hAnsi="Verdana"/>
          <w:i/>
          <w:sz w:val="20"/>
          <w:szCs w:val="20"/>
        </w:rPr>
        <w:t>iii</w:t>
      </w:r>
      <w:proofErr w:type="spellEnd"/>
      <w:r w:rsidR="71D32E27" w:rsidRPr="00C01D20">
        <w:rPr>
          <w:rFonts w:ascii="Verdana" w:hAnsi="Verdana"/>
          <w:i/>
          <w:sz w:val="20"/>
          <w:szCs w:val="20"/>
        </w:rPr>
        <w:t xml:space="preserve">. El Gobierno nacional, en coordinación con las entidades territoriales afectadas, deberá establecer mecanismos que, con pleno respeto de su autonomía, permitan distribuir las tareas de financiación de las medidas de emergencia entre la Nación y dichas entidades. </w:t>
      </w:r>
      <w:proofErr w:type="spellStart"/>
      <w:r w:rsidR="71D32E27" w:rsidRPr="00C01D20">
        <w:rPr>
          <w:rFonts w:ascii="Verdana" w:hAnsi="Verdana"/>
          <w:i/>
          <w:sz w:val="20"/>
          <w:szCs w:val="20"/>
        </w:rPr>
        <w:t>iv</w:t>
      </w:r>
      <w:proofErr w:type="spellEnd"/>
      <w:r w:rsidR="71D32E27" w:rsidRPr="00C01D20">
        <w:rPr>
          <w:rFonts w:ascii="Verdana" w:hAnsi="Verdana"/>
          <w:i/>
          <w:sz w:val="20"/>
          <w:szCs w:val="20"/>
        </w:rPr>
        <w:t xml:space="preserve">. El Gobierno nacional deberá prever, según los instrumentos actualmente existentes, un mecanismo para la administración y ejecución de los recursos obtenidos al amparo del estado de emergencia, absolutamente separado de otras fuentes, que permita un seguimiento adecuado de su destinación y que haga posible que los organismos de control dispongan de información permanente </w:t>
      </w:r>
      <w:r w:rsidR="71D32E27" w:rsidRPr="00C01D20">
        <w:rPr>
          <w:rFonts w:ascii="Verdana" w:hAnsi="Verdana"/>
          <w:i/>
          <w:sz w:val="20"/>
          <w:szCs w:val="20"/>
        </w:rPr>
        <w:lastRenderedPageBreak/>
        <w:t>sobre los diferentes compromisos que se asuman. Esta obligación se extenderá a los recursos que todavía no se hayan comprometido o ejecutado.</w:t>
      </w:r>
      <w:r w:rsidR="25D7A516" w:rsidRPr="00C01D20">
        <w:rPr>
          <w:rFonts w:ascii="Verdana" w:hAnsi="Verdana"/>
          <w:i/>
          <w:iCs/>
          <w:sz w:val="20"/>
          <w:szCs w:val="20"/>
        </w:rPr>
        <w:t>”</w:t>
      </w:r>
    </w:p>
    <w:p w14:paraId="3C05C65C" w14:textId="001E60D0" w:rsidR="00BB4652" w:rsidRPr="00C01D20" w:rsidRDefault="00BB4652" w:rsidP="1492DC2B">
      <w:pPr>
        <w:spacing w:after="160"/>
        <w:jc w:val="both"/>
        <w:rPr>
          <w:rFonts w:ascii="Verdana" w:hAnsi="Verdana"/>
        </w:rPr>
      </w:pPr>
      <w:r w:rsidRPr="00C01D20">
        <w:rPr>
          <w:rFonts w:ascii="Verdana" w:hAnsi="Verdana"/>
        </w:rPr>
        <w:t xml:space="preserve">Que </w:t>
      </w:r>
      <w:r w:rsidR="3BB5C41E" w:rsidRPr="00C01D20">
        <w:rPr>
          <w:rFonts w:ascii="Verdana" w:hAnsi="Verdana"/>
        </w:rPr>
        <w:t xml:space="preserve">en </w:t>
      </w:r>
      <w:r w:rsidR="72EC4939" w:rsidRPr="00C01D20">
        <w:rPr>
          <w:rFonts w:ascii="Verdana" w:hAnsi="Verdana"/>
        </w:rPr>
        <w:t>el numeral [</w:t>
      </w:r>
      <w:proofErr w:type="spellStart"/>
      <w:r w:rsidR="72EC4939" w:rsidRPr="00C01D20">
        <w:rPr>
          <w:rFonts w:ascii="Verdana" w:hAnsi="Verdana"/>
        </w:rPr>
        <w:t>ii</w:t>
      </w:r>
      <w:proofErr w:type="spellEnd"/>
      <w:r w:rsidR="72EC4939" w:rsidRPr="00C01D20">
        <w:rPr>
          <w:rFonts w:ascii="Verdana" w:hAnsi="Verdana"/>
        </w:rPr>
        <w:t xml:space="preserve">] del literal [b] de la </w:t>
      </w:r>
      <w:r w:rsidR="3B974C9E" w:rsidRPr="00C01D20">
        <w:rPr>
          <w:rFonts w:ascii="Verdana" w:hAnsi="Verdana"/>
        </w:rPr>
        <w:t xml:space="preserve">referida </w:t>
      </w:r>
      <w:r w:rsidR="72EC4939" w:rsidRPr="00C01D20">
        <w:rPr>
          <w:rFonts w:ascii="Verdana" w:hAnsi="Verdana"/>
        </w:rPr>
        <w:t>orden</w:t>
      </w:r>
      <w:r w:rsidR="196A7F1E" w:rsidRPr="00C01D20">
        <w:rPr>
          <w:rFonts w:ascii="Verdana" w:hAnsi="Verdana"/>
        </w:rPr>
        <w:t xml:space="preserve"> </w:t>
      </w:r>
      <w:r w:rsidR="72EC4939" w:rsidRPr="00C01D20">
        <w:rPr>
          <w:rFonts w:ascii="Verdana" w:eastAsia="Verdana" w:hAnsi="Verdana" w:cs="Verdana"/>
        </w:rPr>
        <w:t>segunda</w:t>
      </w:r>
      <w:r w:rsidR="72EC4939" w:rsidRPr="00C01D20">
        <w:rPr>
          <w:rFonts w:ascii="Verdana" w:hAnsi="Verdana"/>
        </w:rPr>
        <w:t xml:space="preserve"> de </w:t>
      </w:r>
      <w:r w:rsidRPr="00C01D20">
        <w:rPr>
          <w:rFonts w:ascii="Verdana" w:hAnsi="Verdana"/>
        </w:rPr>
        <w:t xml:space="preserve">la </w:t>
      </w:r>
      <w:r w:rsidR="2F88BB14" w:rsidRPr="00C01D20">
        <w:rPr>
          <w:rFonts w:ascii="Verdana" w:hAnsi="Verdana"/>
        </w:rPr>
        <w:t>Sentencia C-191 de 2026</w:t>
      </w:r>
      <w:r w:rsidR="6DAC45CD" w:rsidRPr="00C01D20">
        <w:rPr>
          <w:rFonts w:ascii="Verdana" w:hAnsi="Verdana"/>
        </w:rPr>
        <w:t>,</w:t>
      </w:r>
      <w:r w:rsidRPr="00C01D20">
        <w:rPr>
          <w:rFonts w:ascii="Verdana" w:hAnsi="Verdana"/>
        </w:rPr>
        <w:t xml:space="preserve"> </w:t>
      </w:r>
      <w:r w:rsidR="2E8A7E2C" w:rsidRPr="00C01D20">
        <w:rPr>
          <w:rFonts w:ascii="Verdana" w:hAnsi="Verdana"/>
          <w:b/>
          <w:bCs/>
        </w:rPr>
        <w:t>l</w:t>
      </w:r>
      <w:r w:rsidR="4D397506" w:rsidRPr="00C01D20">
        <w:rPr>
          <w:rFonts w:ascii="Verdana" w:hAnsi="Verdana"/>
          <w:b/>
          <w:bCs/>
        </w:rPr>
        <w:t>a</w:t>
      </w:r>
      <w:r w:rsidR="4D397506" w:rsidRPr="00C01D20">
        <w:rPr>
          <w:rFonts w:ascii="Verdana" w:hAnsi="Verdana"/>
          <w:b/>
        </w:rPr>
        <w:t xml:space="preserve"> </w:t>
      </w:r>
      <w:r w:rsidR="65CE7206" w:rsidRPr="00C01D20">
        <w:rPr>
          <w:rFonts w:ascii="Verdana" w:hAnsi="Verdana"/>
          <w:b/>
        </w:rPr>
        <w:t>C</w:t>
      </w:r>
      <w:r w:rsidR="4D397506" w:rsidRPr="00C01D20">
        <w:rPr>
          <w:rFonts w:ascii="Verdana" w:hAnsi="Verdana"/>
          <w:b/>
        </w:rPr>
        <w:t>orte</w:t>
      </w:r>
      <w:r w:rsidR="4B448C42" w:rsidRPr="00C01D20">
        <w:rPr>
          <w:rFonts w:ascii="Verdana" w:hAnsi="Verdana"/>
          <w:b/>
        </w:rPr>
        <w:t xml:space="preserve"> ordenó la expedición de un acto </w:t>
      </w:r>
      <w:r w:rsidR="7E37863F" w:rsidRPr="00C01D20">
        <w:rPr>
          <w:rFonts w:ascii="Verdana" w:hAnsi="Verdana"/>
          <w:b/>
        </w:rPr>
        <w:t>administrativo</w:t>
      </w:r>
      <w:r w:rsidR="4B448C42" w:rsidRPr="00C01D20">
        <w:rPr>
          <w:rFonts w:ascii="Verdana" w:hAnsi="Verdana"/>
        </w:rPr>
        <w:t xml:space="preserve"> por parte de las entidades con competencia para ordenar el gasto, en los siguientes términos:</w:t>
      </w:r>
    </w:p>
    <w:p w14:paraId="521E3D35" w14:textId="299D6070" w:rsidR="00BB4652" w:rsidRPr="00C01D20" w:rsidRDefault="006A45BC" w:rsidP="0F75E471">
      <w:pPr>
        <w:spacing w:after="160"/>
        <w:ind w:left="708"/>
        <w:jc w:val="both"/>
        <w:rPr>
          <w:rFonts w:ascii="Verdana" w:eastAsia="Verdana" w:hAnsi="Verdana" w:cs="Verdana"/>
          <w:i/>
          <w:sz w:val="20"/>
          <w:szCs w:val="20"/>
        </w:rPr>
      </w:pPr>
      <w:r w:rsidRPr="00C01D20">
        <w:rPr>
          <w:rFonts w:ascii="Verdana" w:eastAsia="Verdana" w:hAnsi="Verdana" w:cs="Verdana"/>
          <w:i/>
          <w:iCs/>
          <w:sz w:val="20"/>
          <w:szCs w:val="20"/>
        </w:rPr>
        <w:t>“</w:t>
      </w:r>
      <w:proofErr w:type="spellStart"/>
      <w:r w:rsidR="696174DA" w:rsidRPr="00C01D20">
        <w:rPr>
          <w:rFonts w:ascii="Verdana" w:eastAsia="Verdana" w:hAnsi="Verdana" w:cs="Verdana"/>
          <w:i/>
          <w:sz w:val="20"/>
          <w:szCs w:val="20"/>
        </w:rPr>
        <w:t>ii</w:t>
      </w:r>
      <w:proofErr w:type="spellEnd"/>
      <w:r w:rsidR="696174DA" w:rsidRPr="00C01D20">
        <w:rPr>
          <w:rFonts w:ascii="Verdana" w:eastAsia="Verdana" w:hAnsi="Verdana" w:cs="Verdana"/>
          <w:i/>
          <w:sz w:val="20"/>
          <w:szCs w:val="20"/>
        </w:rPr>
        <w:t>. La entidad con competencia para ordenar el gasto en cada sector deberá indicar en un acto administrativo, las razones por las cuales, en función de la oportunidad del gasto y la disponibilidad de los recursos, no es posible acudir a medios ordinarios de financiación. Esta obligación se extenderá a los recursos que todavía no se hayan comprometido o ejecutado</w:t>
      </w:r>
      <w:r w:rsidRPr="00C01D20">
        <w:rPr>
          <w:rFonts w:ascii="Verdana" w:eastAsia="Verdana" w:hAnsi="Verdana" w:cs="Verdana"/>
          <w:i/>
          <w:iCs/>
          <w:sz w:val="20"/>
          <w:szCs w:val="20"/>
        </w:rPr>
        <w:t>”</w:t>
      </w:r>
      <w:r w:rsidR="696174DA" w:rsidRPr="00C01D20">
        <w:rPr>
          <w:rFonts w:ascii="Verdana" w:eastAsia="Verdana" w:hAnsi="Verdana" w:cs="Verdana"/>
          <w:i/>
          <w:sz w:val="20"/>
          <w:szCs w:val="20"/>
        </w:rPr>
        <w:t>.</w:t>
      </w:r>
    </w:p>
    <w:p w14:paraId="57AEE5E6" w14:textId="50B8EB9B" w:rsidR="00BB4652" w:rsidRPr="00C01D20" w:rsidRDefault="00BB4652" w:rsidP="00BB4652">
      <w:pPr>
        <w:spacing w:after="160"/>
        <w:jc w:val="both"/>
        <w:rPr>
          <w:rFonts w:ascii="Verdana" w:hAnsi="Verdana"/>
        </w:rPr>
      </w:pPr>
      <w:r w:rsidRPr="00C01D20">
        <w:rPr>
          <w:rFonts w:ascii="Verdana" w:hAnsi="Verdana"/>
        </w:rPr>
        <w:t xml:space="preserve">Que las dependencias responsables, mediante los documentos técnicos y presupuestales identificados con los radicados </w:t>
      </w:r>
      <w:r w:rsidR="00795E3D" w:rsidRPr="00C01D20">
        <w:rPr>
          <w:rFonts w:ascii="Verdana" w:hAnsi="Verdana"/>
          <w:lang w:val="es-CO"/>
        </w:rPr>
        <w:t xml:space="preserve">202612300000101793 del 30 de julio de 2026 y su Anexo “MUNICIPIOS AFECTADOS POR EL FRENTE FRIO PLAN DE RECUPERACIÓN TEMPRANA MAYO 2026” </w:t>
      </w:r>
      <w:r w:rsidR="4B4C5658" w:rsidRPr="00C01D20">
        <w:rPr>
          <w:rFonts w:ascii="Verdana" w:hAnsi="Verdana"/>
        </w:rPr>
        <w:t xml:space="preserve">sustentaron la necesidad de financiar las medidas de respuesta, rehabilitación y reconstrucción derivadas de la declaratoria del Estado de Emergencia Económica, Social y Ecológica, para lo cual </w:t>
      </w:r>
      <w:r w:rsidRPr="00C01D20">
        <w:rPr>
          <w:rFonts w:ascii="Verdana" w:hAnsi="Verdana"/>
        </w:rPr>
        <w:t xml:space="preserve">analizaron: </w:t>
      </w:r>
      <w:r w:rsidR="529095C7" w:rsidRPr="00C01D20">
        <w:rPr>
          <w:rFonts w:ascii="Verdana" w:hAnsi="Verdana"/>
        </w:rPr>
        <w:t>[</w:t>
      </w:r>
      <w:r w:rsidRPr="00C01D20">
        <w:rPr>
          <w:rFonts w:ascii="Verdana" w:hAnsi="Verdana"/>
        </w:rPr>
        <w:t>i</w:t>
      </w:r>
      <w:r w:rsidR="03BD7EDA" w:rsidRPr="00C01D20">
        <w:rPr>
          <w:rFonts w:ascii="Verdana" w:hAnsi="Verdana"/>
        </w:rPr>
        <w:t>]</w:t>
      </w:r>
      <w:r w:rsidRPr="00C01D20">
        <w:rPr>
          <w:rFonts w:ascii="Verdana" w:hAnsi="Verdana"/>
        </w:rPr>
        <w:t xml:space="preserve"> las necesidades directamente derivadas de la emergencia; </w:t>
      </w:r>
      <w:r w:rsidR="304573BC" w:rsidRPr="00C01D20">
        <w:rPr>
          <w:rFonts w:ascii="Verdana" w:hAnsi="Verdana"/>
        </w:rPr>
        <w:t>[</w:t>
      </w:r>
      <w:proofErr w:type="spellStart"/>
      <w:r w:rsidRPr="00C01D20">
        <w:rPr>
          <w:rFonts w:ascii="Verdana" w:hAnsi="Verdana"/>
        </w:rPr>
        <w:t>ii</w:t>
      </w:r>
      <w:proofErr w:type="spellEnd"/>
      <w:r w:rsidR="1422C357" w:rsidRPr="00C01D20">
        <w:rPr>
          <w:rFonts w:ascii="Verdana" w:hAnsi="Verdana"/>
        </w:rPr>
        <w:t>]</w:t>
      </w:r>
      <w:r w:rsidRPr="00C01D20">
        <w:rPr>
          <w:rFonts w:ascii="Verdana" w:hAnsi="Verdana"/>
        </w:rPr>
        <w:t xml:space="preserve"> la población y los territorios afectados; </w:t>
      </w:r>
      <w:r w:rsidR="57B1B82A" w:rsidRPr="00C01D20">
        <w:rPr>
          <w:rFonts w:ascii="Verdana" w:hAnsi="Verdana"/>
        </w:rPr>
        <w:t>[</w:t>
      </w:r>
      <w:proofErr w:type="spellStart"/>
      <w:r w:rsidRPr="00C01D20">
        <w:rPr>
          <w:rFonts w:ascii="Verdana" w:hAnsi="Verdana"/>
        </w:rPr>
        <w:t>iii</w:t>
      </w:r>
      <w:proofErr w:type="spellEnd"/>
      <w:r w:rsidR="7C63CE5B" w:rsidRPr="00C01D20">
        <w:rPr>
          <w:rFonts w:ascii="Verdana" w:hAnsi="Verdana"/>
        </w:rPr>
        <w:t>]</w:t>
      </w:r>
      <w:r w:rsidRPr="00C01D20">
        <w:rPr>
          <w:rFonts w:ascii="Verdana" w:hAnsi="Verdana"/>
        </w:rPr>
        <w:t xml:space="preserve"> los recursos ordinarios disponibles; </w:t>
      </w:r>
      <w:r w:rsidR="09997124" w:rsidRPr="00C01D20">
        <w:rPr>
          <w:rFonts w:ascii="Verdana" w:hAnsi="Verdana"/>
        </w:rPr>
        <w:t>[</w:t>
      </w:r>
      <w:proofErr w:type="spellStart"/>
      <w:r w:rsidRPr="00C01D20">
        <w:rPr>
          <w:rFonts w:ascii="Verdana" w:hAnsi="Verdana"/>
        </w:rPr>
        <w:t>iv</w:t>
      </w:r>
      <w:proofErr w:type="spellEnd"/>
      <w:r w:rsidR="1B72E9CA" w:rsidRPr="00C01D20">
        <w:rPr>
          <w:rFonts w:ascii="Verdana" w:hAnsi="Verdana"/>
        </w:rPr>
        <w:t>]</w:t>
      </w:r>
      <w:r w:rsidRPr="00C01D20">
        <w:rPr>
          <w:rFonts w:ascii="Verdana" w:hAnsi="Verdana"/>
        </w:rPr>
        <w:t xml:space="preserve"> las apropiaciones comprometidas para garantizar la continuidad de los servicios ordinarios; </w:t>
      </w:r>
      <w:r w:rsidR="397FA81F" w:rsidRPr="00C01D20">
        <w:rPr>
          <w:rFonts w:ascii="Verdana" w:hAnsi="Verdana"/>
        </w:rPr>
        <w:t>[</w:t>
      </w:r>
      <w:r w:rsidRPr="00C01D20">
        <w:rPr>
          <w:rFonts w:ascii="Verdana" w:hAnsi="Verdana"/>
        </w:rPr>
        <w:t>v</w:t>
      </w:r>
      <w:r w:rsidR="58576AE2" w:rsidRPr="00C01D20">
        <w:rPr>
          <w:rFonts w:ascii="Verdana" w:hAnsi="Verdana"/>
        </w:rPr>
        <w:t>]</w:t>
      </w:r>
      <w:r w:rsidRPr="00C01D20">
        <w:rPr>
          <w:rFonts w:ascii="Verdana" w:hAnsi="Verdana"/>
        </w:rPr>
        <w:t xml:space="preserve"> el déficit de financiación; y </w:t>
      </w:r>
      <w:r w:rsidR="12567CA2" w:rsidRPr="00C01D20">
        <w:rPr>
          <w:rFonts w:ascii="Verdana" w:hAnsi="Verdana"/>
        </w:rPr>
        <w:t>[</w:t>
      </w:r>
      <w:r w:rsidRPr="00C01D20">
        <w:rPr>
          <w:rFonts w:ascii="Verdana" w:hAnsi="Verdana"/>
        </w:rPr>
        <w:t>vi</w:t>
      </w:r>
      <w:r w:rsidR="63AF951D" w:rsidRPr="00C01D20">
        <w:rPr>
          <w:rFonts w:ascii="Verdana" w:hAnsi="Verdana"/>
        </w:rPr>
        <w:t>]</w:t>
      </w:r>
      <w:r w:rsidRPr="00C01D20">
        <w:rPr>
          <w:rFonts w:ascii="Verdana" w:hAnsi="Verdana"/>
        </w:rPr>
        <w:t xml:space="preserve"> el periodo dentro del cual deben ejecutarse las medidas para que resulten oportunas.</w:t>
      </w:r>
    </w:p>
    <w:p w14:paraId="6BB69C77" w14:textId="570E4436" w:rsidR="00BB4652" w:rsidRPr="00C01D20" w:rsidRDefault="00BB4652" w:rsidP="00BB4652">
      <w:pPr>
        <w:spacing w:after="160"/>
        <w:jc w:val="both"/>
        <w:rPr>
          <w:rFonts w:ascii="Verdana" w:hAnsi="Verdana"/>
        </w:rPr>
      </w:pPr>
      <w:r w:rsidRPr="00C01D20">
        <w:rPr>
          <w:rFonts w:ascii="Verdana" w:hAnsi="Verdana"/>
        </w:rPr>
        <w:t>Que dichos análisis deben incorporarse al expediente contractual respectivo y mantenerse actualizados durante la ejecución de los recursos</w:t>
      </w:r>
      <w:r w:rsidR="47ACC861" w:rsidRPr="00C01D20">
        <w:rPr>
          <w:rFonts w:ascii="Verdana" w:hAnsi="Verdana"/>
        </w:rPr>
        <w:t xml:space="preserve"> extraordinarios en el marco Decreto Legislativo 150 del 11 de febrero de 2026</w:t>
      </w:r>
      <w:r w:rsidRPr="00C01D20">
        <w:rPr>
          <w:rFonts w:ascii="Verdana" w:hAnsi="Verdana"/>
        </w:rPr>
        <w:t>, pues la insuficiencia de los mecanismos ordinarios no puede presumirse ni sustentarse exclusivamente en la existencia de la apropiación extraordinaria.</w:t>
      </w:r>
    </w:p>
    <w:p w14:paraId="579D815B" w14:textId="30610727" w:rsidR="00BB4652" w:rsidRPr="00C01D20" w:rsidRDefault="00BB4652" w:rsidP="00BB4652">
      <w:pPr>
        <w:spacing w:after="160"/>
        <w:jc w:val="both"/>
        <w:rPr>
          <w:rFonts w:ascii="Verdana" w:hAnsi="Verdana"/>
        </w:rPr>
      </w:pPr>
      <w:r w:rsidRPr="00C01D20">
        <w:rPr>
          <w:rFonts w:ascii="Verdana" w:hAnsi="Verdana"/>
        </w:rPr>
        <w:t xml:space="preserve">Que, en consecuencia, es necesario </w:t>
      </w:r>
      <w:r w:rsidR="4DD973DE" w:rsidRPr="00C01D20">
        <w:rPr>
          <w:rFonts w:ascii="Verdana" w:hAnsi="Verdana"/>
        </w:rPr>
        <w:t xml:space="preserve">cumplir lo ordenado por la Corte Constitucional y </w:t>
      </w:r>
      <w:r w:rsidRPr="00C01D20">
        <w:rPr>
          <w:rFonts w:ascii="Verdana" w:hAnsi="Verdana"/>
        </w:rPr>
        <w:t xml:space="preserve">establecer una justificación institucional general y ordenar a quienes ejercen la ordenación del gasto </w:t>
      </w:r>
      <w:r w:rsidR="6953287F" w:rsidRPr="00C01D20">
        <w:rPr>
          <w:rFonts w:ascii="Verdana" w:hAnsi="Verdana"/>
        </w:rPr>
        <w:t>especifica</w:t>
      </w:r>
      <w:r w:rsidRPr="00C01D20">
        <w:rPr>
          <w:rFonts w:ascii="Verdana" w:hAnsi="Verdana"/>
        </w:rPr>
        <w:t xml:space="preserve"> que efectúen, antes de comprometer o continuar ejecutando los recursos, la valoración concreta exigida por la Corte Constitucional</w:t>
      </w:r>
      <w:r w:rsidR="085F312A" w:rsidRPr="00C01D20">
        <w:rPr>
          <w:rFonts w:ascii="Verdana" w:hAnsi="Verdana"/>
        </w:rPr>
        <w:t xml:space="preserve"> en la sentencia C 191 de 2026</w:t>
      </w:r>
      <w:r w:rsidRPr="00C01D20">
        <w:rPr>
          <w:rFonts w:ascii="Verdana" w:hAnsi="Verdana"/>
        </w:rPr>
        <w:t>.</w:t>
      </w:r>
    </w:p>
    <w:p w14:paraId="50787146" w14:textId="77777777" w:rsidR="00BB4652" w:rsidRPr="00C01D20" w:rsidRDefault="00BB4652" w:rsidP="00BB4652">
      <w:pPr>
        <w:spacing w:after="160"/>
        <w:jc w:val="both"/>
        <w:rPr>
          <w:rFonts w:ascii="Verdana" w:hAnsi="Verdana"/>
        </w:rPr>
      </w:pPr>
      <w:r w:rsidRPr="00C01D20">
        <w:rPr>
          <w:rFonts w:ascii="Verdana" w:hAnsi="Verdana"/>
        </w:rPr>
        <w:t>En mérito de lo expuesto,</w:t>
      </w:r>
    </w:p>
    <w:p w14:paraId="379E75E1" w14:textId="25853A47" w:rsidR="00BB4652" w:rsidRPr="00C01D20" w:rsidRDefault="00BB4652" w:rsidP="00BB4652">
      <w:pPr>
        <w:spacing w:after="160"/>
        <w:jc w:val="center"/>
        <w:rPr>
          <w:rFonts w:ascii="Verdana" w:hAnsi="Verdana"/>
          <w:b/>
          <w:bCs/>
        </w:rPr>
      </w:pPr>
      <w:r w:rsidRPr="00C01D20">
        <w:rPr>
          <w:rFonts w:ascii="Verdana" w:hAnsi="Verdana"/>
          <w:b/>
          <w:bCs/>
        </w:rPr>
        <w:t>RESUELVE</w:t>
      </w:r>
      <w:r w:rsidR="00FD6C37" w:rsidRPr="00C01D20">
        <w:rPr>
          <w:rFonts w:ascii="Verdana" w:hAnsi="Verdana"/>
          <w:b/>
          <w:bCs/>
        </w:rPr>
        <w:t>:</w:t>
      </w:r>
    </w:p>
    <w:p w14:paraId="485893FA" w14:textId="2955391C" w:rsidR="1492DC2B" w:rsidRPr="00C01D20" w:rsidRDefault="00BB4652" w:rsidP="1492DC2B">
      <w:pPr>
        <w:spacing w:after="160"/>
        <w:jc w:val="both"/>
        <w:rPr>
          <w:rFonts w:ascii="Verdana" w:hAnsi="Verdana"/>
          <w:b/>
          <w:bCs/>
        </w:rPr>
      </w:pPr>
      <w:r w:rsidRPr="00C01D20">
        <w:rPr>
          <w:rFonts w:ascii="Verdana" w:eastAsia="Work Sans" w:hAnsi="Verdana" w:cs="Work Sans"/>
          <w:b/>
          <w:color w:val="000000" w:themeColor="text1"/>
        </w:rPr>
        <w:t>ARTÍCULO 1</w:t>
      </w:r>
      <w:r w:rsidR="6AFDB115" w:rsidRPr="00C01D20">
        <w:rPr>
          <w:rFonts w:ascii="Verdana" w:eastAsia="Work Sans" w:hAnsi="Verdana" w:cs="Work Sans"/>
          <w:b/>
          <w:bCs/>
          <w:color w:val="000000" w:themeColor="text1"/>
        </w:rPr>
        <w:t>. OBJETO</w:t>
      </w:r>
      <w:r w:rsidR="6AFDB115" w:rsidRPr="00C01D20">
        <w:rPr>
          <w:rFonts w:ascii="Verdana" w:eastAsia="Work Sans" w:hAnsi="Verdana" w:cs="Work Sans"/>
          <w:color w:val="000000" w:themeColor="text1"/>
        </w:rPr>
        <w:t>. El presente acto administrativo tiene como objeto el cumplimiento de la orden impartida</w:t>
      </w:r>
      <w:r w:rsidR="1A3DD77F" w:rsidRPr="00C01D20">
        <w:rPr>
          <w:rFonts w:ascii="Verdana" w:eastAsia="Work Sans" w:hAnsi="Verdana" w:cs="Work Sans"/>
          <w:color w:val="000000" w:themeColor="text1"/>
        </w:rPr>
        <w:t xml:space="preserve"> por la Corte Constitucional en la Sentencia C 191 de 2026, consistente en la expedición de un acto administrativo que contenga las razones por las cuales, en función de la oportunidad del gasto y la disponibilidad de los recursos, no es posible acudir a medios ordinarios de financiación y por lo tanto, el ICBF requiere medidas extraordinarias de financiación en el marco del Estado de Emergencia Económica, Social y Ecológica declarado mediante el Decreto Legislativo 150 de 2026.</w:t>
      </w:r>
    </w:p>
    <w:p w14:paraId="315D2E00" w14:textId="750CA8E6" w:rsidR="00E62232" w:rsidRPr="00C01D20" w:rsidRDefault="00BB4652" w:rsidP="00E523A2">
      <w:pPr>
        <w:spacing w:after="160"/>
        <w:jc w:val="both"/>
        <w:rPr>
          <w:rFonts w:ascii="Verdana" w:hAnsi="Verdana"/>
        </w:rPr>
      </w:pPr>
      <w:r w:rsidRPr="00C01D20">
        <w:rPr>
          <w:rFonts w:ascii="Verdana" w:hAnsi="Verdana"/>
          <w:b/>
          <w:bCs/>
        </w:rPr>
        <w:t xml:space="preserve">ARTÍCULO </w:t>
      </w:r>
      <w:r w:rsidR="3847A9CA" w:rsidRPr="00C01D20">
        <w:rPr>
          <w:rFonts w:ascii="Verdana" w:hAnsi="Verdana"/>
          <w:b/>
          <w:bCs/>
        </w:rPr>
        <w:t>2</w:t>
      </w:r>
      <w:r w:rsidRPr="00C01D20">
        <w:rPr>
          <w:rFonts w:ascii="Verdana" w:hAnsi="Verdana"/>
          <w:b/>
          <w:bCs/>
        </w:rPr>
        <w:t xml:space="preserve">°. JUSTIFICACIÓN GENERAL PARA LA UTILIZACIÓN DE LOS RECURSOS EXTRAORDINARIOS. </w:t>
      </w:r>
      <w:r w:rsidR="00E62232" w:rsidRPr="00C01D20">
        <w:rPr>
          <w:rFonts w:ascii="Verdana" w:hAnsi="Verdana"/>
        </w:rPr>
        <w:t>Téngase como fundamento</w:t>
      </w:r>
      <w:r w:rsidR="00102D41" w:rsidRPr="00C01D20">
        <w:rPr>
          <w:rFonts w:ascii="Verdana" w:hAnsi="Verdana"/>
        </w:rPr>
        <w:t xml:space="preserve"> para la utilización de</w:t>
      </w:r>
      <w:r w:rsidR="5CC6E06E" w:rsidRPr="00C01D20">
        <w:rPr>
          <w:rFonts w:ascii="Verdana" w:hAnsi="Verdana"/>
        </w:rPr>
        <w:t xml:space="preserve"> los</w:t>
      </w:r>
      <w:r w:rsidR="00102D41" w:rsidRPr="00C01D20">
        <w:rPr>
          <w:rFonts w:ascii="Verdana" w:hAnsi="Verdana"/>
        </w:rPr>
        <w:t xml:space="preserve"> </w:t>
      </w:r>
      <w:r w:rsidR="03F1B9FD" w:rsidRPr="00C01D20">
        <w:rPr>
          <w:rFonts w:ascii="Verdana" w:hAnsi="Verdana"/>
        </w:rPr>
        <w:t xml:space="preserve">recursos adicionados al ICBF </w:t>
      </w:r>
      <w:r w:rsidR="3047754B" w:rsidRPr="00C01D20">
        <w:rPr>
          <w:rFonts w:ascii="Verdana" w:hAnsi="Verdana"/>
        </w:rPr>
        <w:t>en el marco del Decreto Legislativo 150 de 2026</w:t>
      </w:r>
      <w:r w:rsidR="00102D41" w:rsidRPr="00C01D20">
        <w:rPr>
          <w:rFonts w:ascii="Verdana" w:hAnsi="Verdana"/>
        </w:rPr>
        <w:t>,</w:t>
      </w:r>
      <w:r w:rsidR="00655924" w:rsidRPr="00C01D20">
        <w:rPr>
          <w:rFonts w:ascii="Verdana" w:hAnsi="Verdana"/>
        </w:rPr>
        <w:t xml:space="preserve"> </w:t>
      </w:r>
      <w:r w:rsidR="00E62232" w:rsidRPr="00C01D20">
        <w:rPr>
          <w:rFonts w:ascii="Verdana" w:hAnsi="Verdana"/>
        </w:rPr>
        <w:t xml:space="preserve">la justificación técnica, financiera, presupuestal y territorial contenida en el Memorando con radicado No. 202612300000101793 del 30 de julio de 2026 y en su anexo denominado “Municipios afectados por el frente frío – Plan de Recuperación Temprana, mayo de 2026”, </w:t>
      </w:r>
      <w:r w:rsidR="2CC8A807" w:rsidRPr="00C01D20">
        <w:rPr>
          <w:rFonts w:ascii="Verdana" w:hAnsi="Verdana"/>
        </w:rPr>
        <w:t>documentos que hacen parte integral del presente acto administrativo;</w:t>
      </w:r>
      <w:r w:rsidR="00E62232" w:rsidRPr="00C01D20">
        <w:rPr>
          <w:rFonts w:ascii="Verdana" w:hAnsi="Verdana"/>
        </w:rPr>
        <w:t xml:space="preserve"> los cuales establecen que las apropiaciones ordinarias de la vigencia </w:t>
      </w:r>
      <w:r w:rsidR="00E62232" w:rsidRPr="00C01D20">
        <w:rPr>
          <w:rFonts w:ascii="Verdana" w:hAnsi="Verdana"/>
        </w:rPr>
        <w:lastRenderedPageBreak/>
        <w:t xml:space="preserve">fiscal 2026 fueron programadas para garantizar la continuidad, calidad y cobertura de los servicios, programas y obligaciones institucionales a cargo del ICBF, y no contemplan las necesidades extraordinarias, sobrevinientes e inmediatas derivadas de la emergencia. </w:t>
      </w:r>
      <w:r w:rsidR="0030479E" w:rsidRPr="00C01D20">
        <w:rPr>
          <w:rFonts w:ascii="Verdana" w:hAnsi="Verdana"/>
        </w:rPr>
        <w:t>Y que, e</w:t>
      </w:r>
      <w:r w:rsidR="00E62232" w:rsidRPr="00C01D20">
        <w:rPr>
          <w:rFonts w:ascii="Verdana" w:hAnsi="Verdana"/>
        </w:rPr>
        <w:t xml:space="preserve">n consecuencia, dichos recursos no resultan suficientes ni pueden ser reorientados con la oportunidad requerida sin afectar la prestación regular de los servicios institucionales, mientras que la magnitud, extensión territorial y urgencia de las afectaciones </w:t>
      </w:r>
      <w:r w:rsidR="000D26D7" w:rsidRPr="00C01D20">
        <w:rPr>
          <w:rFonts w:ascii="Verdana" w:hAnsi="Verdana"/>
        </w:rPr>
        <w:t xml:space="preserve">derivadas de la emergencia </w:t>
      </w:r>
      <w:r w:rsidR="00E62232" w:rsidRPr="00C01D20">
        <w:rPr>
          <w:rFonts w:ascii="Verdana" w:hAnsi="Verdana"/>
        </w:rPr>
        <w:t>exigen la adopción de medidas inmediatas de respuesta y rehabilitación dirigidas a la atención y protección integral de las niñas, los niños, los adolescentes, las familias y las comunidades afectada</w:t>
      </w:r>
      <w:r w:rsidR="3F94E8A2" w:rsidRPr="00C01D20">
        <w:rPr>
          <w:rFonts w:ascii="Verdana" w:hAnsi="Verdana"/>
        </w:rPr>
        <w:t>.</w:t>
      </w:r>
    </w:p>
    <w:p w14:paraId="2FC6464B" w14:textId="4EC51138" w:rsidR="00BB4652" w:rsidRPr="00C01D20" w:rsidRDefault="00BB4652" w:rsidP="00E523A2">
      <w:pPr>
        <w:spacing w:after="160"/>
        <w:jc w:val="both"/>
      </w:pPr>
      <w:r w:rsidRPr="00C01D20">
        <w:rPr>
          <w:rFonts w:ascii="Verdana" w:hAnsi="Verdana"/>
          <w:b/>
          <w:bCs/>
        </w:rPr>
        <w:t>PARÁGRAFO 1°.</w:t>
      </w:r>
      <w:r w:rsidRPr="00C01D20">
        <w:rPr>
          <w:rFonts w:ascii="Verdana" w:hAnsi="Verdana"/>
        </w:rPr>
        <w:t xml:space="preserve"> La justificación general contenida en este artículo </w:t>
      </w:r>
      <w:r w:rsidR="1BF9150A" w:rsidRPr="00C01D20">
        <w:rPr>
          <w:rFonts w:ascii="Verdana" w:hAnsi="Verdana"/>
        </w:rPr>
        <w:t>y en los anexos al presente acto administrativo,</w:t>
      </w:r>
      <w:r w:rsidRPr="00C01D20">
        <w:rPr>
          <w:rFonts w:ascii="Verdana" w:hAnsi="Verdana"/>
        </w:rPr>
        <w:t xml:space="preserve"> no constituye una habilitación abierta</w:t>
      </w:r>
      <w:r w:rsidR="3817F1F5" w:rsidRPr="00C01D20">
        <w:rPr>
          <w:rFonts w:ascii="Verdana" w:hAnsi="Verdana"/>
        </w:rPr>
        <w:t>, general</w:t>
      </w:r>
      <w:r w:rsidRPr="00C01D20">
        <w:rPr>
          <w:rFonts w:ascii="Verdana" w:hAnsi="Verdana"/>
        </w:rPr>
        <w:t xml:space="preserve"> o indiscriminada para ejecutar las apropiaciones </w:t>
      </w:r>
      <w:r w:rsidR="4CD6B131" w:rsidRPr="00C01D20">
        <w:rPr>
          <w:rFonts w:ascii="Verdana" w:hAnsi="Verdana"/>
        </w:rPr>
        <w:t xml:space="preserve">extraordinarias </w:t>
      </w:r>
      <w:r w:rsidRPr="00C01D20">
        <w:rPr>
          <w:rFonts w:ascii="Verdana" w:hAnsi="Verdana"/>
        </w:rPr>
        <w:t>incorporadas al presupuesto del Instituto</w:t>
      </w:r>
      <w:r w:rsidR="7DE55FB6" w:rsidRPr="00C01D20">
        <w:rPr>
          <w:rFonts w:ascii="Verdana" w:hAnsi="Verdana"/>
        </w:rPr>
        <w:t xml:space="preserve"> en el marco del Decreto Legislativo 150 de 2026</w:t>
      </w:r>
      <w:r w:rsidRPr="00C01D20">
        <w:rPr>
          <w:rFonts w:ascii="Verdana" w:hAnsi="Verdana"/>
        </w:rPr>
        <w:t xml:space="preserve">. Cada </w:t>
      </w:r>
      <w:r w:rsidR="7086ECA0" w:rsidRPr="00C01D20">
        <w:rPr>
          <w:rFonts w:ascii="Verdana" w:hAnsi="Verdana"/>
        </w:rPr>
        <w:t>ordena</w:t>
      </w:r>
      <w:r w:rsidR="7BB50424" w:rsidRPr="00C01D20">
        <w:rPr>
          <w:rFonts w:ascii="Verdana" w:hAnsi="Verdana"/>
        </w:rPr>
        <w:t>dor</w:t>
      </w:r>
      <w:r w:rsidR="7086ECA0" w:rsidRPr="00C01D20">
        <w:rPr>
          <w:rFonts w:ascii="Verdana" w:hAnsi="Verdana"/>
        </w:rPr>
        <w:t xml:space="preserve"> de </w:t>
      </w:r>
      <w:r w:rsidRPr="00C01D20">
        <w:rPr>
          <w:rFonts w:ascii="Verdana" w:hAnsi="Verdana"/>
        </w:rPr>
        <w:t xml:space="preserve">gasto deberá </w:t>
      </w:r>
      <w:r w:rsidR="640D174E" w:rsidRPr="00C01D20">
        <w:rPr>
          <w:rFonts w:ascii="Verdana" w:hAnsi="Verdana"/>
        </w:rPr>
        <w:t>realizar una</w:t>
      </w:r>
      <w:r w:rsidRPr="00C01D20">
        <w:rPr>
          <w:rFonts w:ascii="Verdana" w:hAnsi="Verdana"/>
        </w:rPr>
        <w:t xml:space="preserve"> valoración </w:t>
      </w:r>
      <w:r w:rsidR="3F4A39F0" w:rsidRPr="00C01D20">
        <w:rPr>
          <w:rFonts w:ascii="Verdana" w:hAnsi="Verdana"/>
        </w:rPr>
        <w:t xml:space="preserve">y justificación </w:t>
      </w:r>
      <w:r w:rsidRPr="00C01D20">
        <w:rPr>
          <w:rFonts w:ascii="Verdana" w:hAnsi="Verdana"/>
        </w:rPr>
        <w:t>concreta</w:t>
      </w:r>
      <w:r w:rsidR="0B01401D" w:rsidRPr="00C01D20">
        <w:rPr>
          <w:rFonts w:ascii="Verdana" w:hAnsi="Verdana"/>
        </w:rPr>
        <w:t xml:space="preserve">, respecto de cada </w:t>
      </w:r>
      <w:r w:rsidR="5780CC9D" w:rsidRPr="00C01D20">
        <w:rPr>
          <w:rFonts w:ascii="Verdana" w:hAnsi="Verdana"/>
        </w:rPr>
        <w:t xml:space="preserve">proceso contractual en </w:t>
      </w:r>
      <w:r w:rsidR="3B191263" w:rsidRPr="00C01D20">
        <w:rPr>
          <w:rFonts w:ascii="Verdana" w:hAnsi="Verdana"/>
        </w:rPr>
        <w:t>el</w:t>
      </w:r>
      <w:r w:rsidR="5780CC9D" w:rsidRPr="00C01D20">
        <w:rPr>
          <w:rFonts w:ascii="Verdana" w:hAnsi="Verdana"/>
        </w:rPr>
        <w:t xml:space="preserve"> que se u</w:t>
      </w:r>
      <w:r w:rsidR="74A190E8" w:rsidRPr="00C01D20">
        <w:rPr>
          <w:rFonts w:ascii="Verdana" w:hAnsi="Verdana"/>
        </w:rPr>
        <w:t>tilicen los</w:t>
      </w:r>
      <w:r w:rsidR="5780CC9D" w:rsidRPr="00C01D20">
        <w:rPr>
          <w:rFonts w:ascii="Verdana" w:hAnsi="Verdana"/>
        </w:rPr>
        <w:t xml:space="preserve"> recursos extraordinarios</w:t>
      </w:r>
      <w:r w:rsidR="108ADF99" w:rsidRPr="00C01D20">
        <w:rPr>
          <w:rFonts w:ascii="Verdana" w:hAnsi="Verdana"/>
        </w:rPr>
        <w:t xml:space="preserve"> a la luz de la Sentencia C 191-2026</w:t>
      </w:r>
      <w:r w:rsidR="5780CC9D" w:rsidRPr="00C01D20">
        <w:rPr>
          <w:rFonts w:ascii="Verdana" w:hAnsi="Verdana"/>
        </w:rPr>
        <w:t xml:space="preserve">. </w:t>
      </w:r>
    </w:p>
    <w:p w14:paraId="5354F809" w14:textId="09BFFA73" w:rsidR="17E92067" w:rsidRPr="00C01D20" w:rsidRDefault="002B5AC1" w:rsidP="17E92067">
      <w:pPr>
        <w:spacing w:after="160"/>
        <w:jc w:val="both"/>
        <w:rPr>
          <w:rFonts w:ascii="Verdana" w:hAnsi="Verdana"/>
        </w:rPr>
      </w:pPr>
      <w:r w:rsidRPr="00C01D20">
        <w:rPr>
          <w:rFonts w:ascii="Verdana" w:hAnsi="Verdana"/>
          <w:b/>
          <w:bCs/>
        </w:rPr>
        <w:t xml:space="preserve">PARÁGRAFO </w:t>
      </w:r>
      <w:r w:rsidR="00FD7473" w:rsidRPr="00C01D20">
        <w:rPr>
          <w:rFonts w:ascii="Verdana" w:hAnsi="Verdana"/>
          <w:b/>
          <w:bCs/>
        </w:rPr>
        <w:t>2</w:t>
      </w:r>
      <w:r w:rsidRPr="00C01D20">
        <w:rPr>
          <w:rFonts w:ascii="Verdana" w:hAnsi="Verdana"/>
          <w:b/>
          <w:bCs/>
        </w:rPr>
        <w:t xml:space="preserve">°. </w:t>
      </w:r>
      <w:r w:rsidRPr="00C01D20">
        <w:rPr>
          <w:rFonts w:ascii="Verdana" w:hAnsi="Verdana"/>
        </w:rPr>
        <w:t>El cumplimiento de la presente resolución no releva a los ordenadores del gasto, gerentes de recursos, gerentes de proyectos, supervisores y demás servidores intervinientes de sus responsabilidades en materia presupuestal, fiscal, disciplinaria</w:t>
      </w:r>
      <w:r w:rsidR="00B2623E" w:rsidRPr="00C01D20">
        <w:rPr>
          <w:rFonts w:ascii="Verdana" w:hAnsi="Verdana"/>
        </w:rPr>
        <w:t>,</w:t>
      </w:r>
      <w:r w:rsidRPr="00C01D20">
        <w:rPr>
          <w:rFonts w:ascii="Verdana" w:hAnsi="Verdana"/>
        </w:rPr>
        <w:t xml:space="preserve"> administrativa</w:t>
      </w:r>
      <w:r w:rsidR="00B2623E" w:rsidRPr="00C01D20">
        <w:rPr>
          <w:rFonts w:ascii="Verdana" w:hAnsi="Verdana"/>
        </w:rPr>
        <w:t xml:space="preserve"> y contractual, especialmente en lo relacionado con </w:t>
      </w:r>
      <w:r w:rsidR="00F256B3" w:rsidRPr="00C01D20">
        <w:rPr>
          <w:rFonts w:ascii="Verdana" w:hAnsi="Verdana"/>
        </w:rPr>
        <w:t>el cumplimiento del principio de planeación</w:t>
      </w:r>
      <w:r w:rsidRPr="00C01D20">
        <w:rPr>
          <w:rFonts w:ascii="Verdana" w:hAnsi="Verdana"/>
        </w:rPr>
        <w:t>.</w:t>
      </w:r>
    </w:p>
    <w:p w14:paraId="11CB26F3" w14:textId="1833E26B" w:rsidR="65DC0A93" w:rsidRPr="00C01D20" w:rsidRDefault="00BB4652" w:rsidP="65DC0A93">
      <w:pPr>
        <w:spacing w:after="160"/>
        <w:jc w:val="both"/>
        <w:rPr>
          <w:rFonts w:ascii="Verdana" w:hAnsi="Verdana"/>
        </w:rPr>
      </w:pPr>
      <w:r w:rsidRPr="00C01D20">
        <w:rPr>
          <w:rFonts w:ascii="Verdana" w:hAnsi="Verdana"/>
          <w:b/>
          <w:bCs/>
        </w:rPr>
        <w:t xml:space="preserve">ARTÍCULO </w:t>
      </w:r>
      <w:r w:rsidR="36B96462" w:rsidRPr="00C01D20">
        <w:rPr>
          <w:rFonts w:ascii="Verdana" w:hAnsi="Verdana"/>
          <w:b/>
          <w:bCs/>
        </w:rPr>
        <w:t>3</w:t>
      </w:r>
      <w:r w:rsidRPr="00C01D20">
        <w:rPr>
          <w:rFonts w:ascii="Verdana" w:hAnsi="Verdana"/>
          <w:b/>
          <w:bCs/>
        </w:rPr>
        <w:t xml:space="preserve">°. DEBER DE MOTIVACIÓN A CARGO DE LOS ORDENADORES DEL GASTO. </w:t>
      </w:r>
      <w:r w:rsidRPr="00C01D20">
        <w:rPr>
          <w:rFonts w:ascii="Verdana" w:hAnsi="Verdana"/>
        </w:rPr>
        <w:t xml:space="preserve">Ordenar a quienes ejerzan la ordenación del gasto que antes de asumir un nuevo compromiso con cargo a los recursos </w:t>
      </w:r>
      <w:r w:rsidR="00AC54AF" w:rsidRPr="00C01D20">
        <w:rPr>
          <w:rFonts w:ascii="Verdana" w:hAnsi="Verdana"/>
        </w:rPr>
        <w:t>adicionados</w:t>
      </w:r>
      <w:r w:rsidRPr="00C01D20">
        <w:rPr>
          <w:rFonts w:ascii="Verdana" w:hAnsi="Verdana"/>
        </w:rPr>
        <w:t xml:space="preserve"> al presupuesto del I</w:t>
      </w:r>
      <w:r w:rsidR="7C853D27" w:rsidRPr="00C01D20">
        <w:rPr>
          <w:rFonts w:ascii="Verdana" w:hAnsi="Verdana"/>
        </w:rPr>
        <w:t>CBF</w:t>
      </w:r>
      <w:r w:rsidRPr="00C01D20">
        <w:rPr>
          <w:rFonts w:ascii="Verdana" w:hAnsi="Verdana"/>
        </w:rPr>
        <w:t xml:space="preserve"> </w:t>
      </w:r>
      <w:r w:rsidR="00AC54AF" w:rsidRPr="00C01D20">
        <w:rPr>
          <w:rFonts w:ascii="Verdana" w:hAnsi="Verdana"/>
        </w:rPr>
        <w:t xml:space="preserve">con ocasión </w:t>
      </w:r>
      <w:r w:rsidRPr="00C01D20">
        <w:rPr>
          <w:rFonts w:ascii="Verdana" w:hAnsi="Verdana"/>
        </w:rPr>
        <w:t xml:space="preserve">del estado de </w:t>
      </w:r>
      <w:r w:rsidR="6FD1F56F" w:rsidRPr="00C01D20">
        <w:rPr>
          <w:rFonts w:ascii="Verdana" w:hAnsi="Verdana"/>
        </w:rPr>
        <w:t>E</w:t>
      </w:r>
      <w:r w:rsidRPr="00C01D20">
        <w:rPr>
          <w:rFonts w:ascii="Verdana" w:hAnsi="Verdana"/>
        </w:rPr>
        <w:t>mergencia</w:t>
      </w:r>
      <w:r w:rsidR="3BC0A228" w:rsidRPr="00C01D20">
        <w:rPr>
          <w:rFonts w:ascii="Verdana" w:hAnsi="Verdana"/>
        </w:rPr>
        <w:t xml:space="preserve"> Económica, Social y Ecológica declarada mediante el Decreto Legislativo 150 de 2026</w:t>
      </w:r>
      <w:r w:rsidRPr="00C01D20">
        <w:rPr>
          <w:rFonts w:ascii="Verdana" w:hAnsi="Verdana"/>
        </w:rPr>
        <w:t xml:space="preserve">, realicen </w:t>
      </w:r>
      <w:r w:rsidR="6DD1F4B7" w:rsidRPr="00C01D20">
        <w:rPr>
          <w:rFonts w:ascii="Verdana" w:hAnsi="Verdana"/>
        </w:rPr>
        <w:t xml:space="preserve">la </w:t>
      </w:r>
      <w:r w:rsidRPr="00C01D20">
        <w:rPr>
          <w:rFonts w:ascii="Verdana" w:hAnsi="Verdana"/>
        </w:rPr>
        <w:t>justificación</w:t>
      </w:r>
      <w:r w:rsidR="0B83F0A5" w:rsidRPr="00C01D20">
        <w:rPr>
          <w:rFonts w:ascii="Verdana" w:hAnsi="Verdana"/>
        </w:rPr>
        <w:t xml:space="preserve"> </w:t>
      </w:r>
      <w:r w:rsidR="34ACC548" w:rsidRPr="00C01D20">
        <w:rPr>
          <w:rFonts w:ascii="Verdana" w:hAnsi="Verdana"/>
        </w:rPr>
        <w:t>prevista en</w:t>
      </w:r>
      <w:r w:rsidR="48FD587E" w:rsidRPr="00C01D20">
        <w:rPr>
          <w:rFonts w:ascii="Verdana" w:hAnsi="Verdana"/>
        </w:rPr>
        <w:t xml:space="preserve"> el artículo 2° de la presente resolución</w:t>
      </w:r>
      <w:r w:rsidR="4DCA6612" w:rsidRPr="00C01D20">
        <w:rPr>
          <w:rFonts w:ascii="Verdana" w:hAnsi="Verdana"/>
        </w:rPr>
        <w:t>.</w:t>
      </w:r>
    </w:p>
    <w:p w14:paraId="2E9EF520" w14:textId="73F3585E" w:rsidR="00BB4652" w:rsidRPr="00C01D20" w:rsidRDefault="00BB4652" w:rsidP="00BB4652">
      <w:pPr>
        <w:spacing w:after="160"/>
        <w:jc w:val="both"/>
      </w:pPr>
      <w:r w:rsidRPr="00C01D20">
        <w:rPr>
          <w:rFonts w:ascii="Verdana" w:hAnsi="Verdana"/>
          <w:b/>
          <w:bCs/>
        </w:rPr>
        <w:t xml:space="preserve">PARÁGRAFO </w:t>
      </w:r>
      <w:r w:rsidR="4D5568ED" w:rsidRPr="00C01D20">
        <w:rPr>
          <w:rFonts w:ascii="Verdana" w:hAnsi="Verdana"/>
          <w:b/>
          <w:bCs/>
        </w:rPr>
        <w:t>1</w:t>
      </w:r>
      <w:r w:rsidRPr="00C01D20">
        <w:rPr>
          <w:rFonts w:ascii="Verdana" w:hAnsi="Verdana"/>
          <w:b/>
          <w:bCs/>
        </w:rPr>
        <w:t>°.</w:t>
      </w:r>
      <w:r w:rsidRPr="00C01D20">
        <w:rPr>
          <w:rFonts w:ascii="Verdana" w:hAnsi="Verdana"/>
        </w:rPr>
        <w:t xml:space="preserve"> Una misma justificación podrá comprender varios gastos únicamente cuando estos sean homogéneos en cuanto a su objeto, fuente de financiación, población, territorio, periodo de ejecución y análisis de insuficiencia de los medios ordinarios. No serán admisibles motivaciones generales que se limiten a reproducir la declaratoria de emergencia o el contenido de la presente resolución.</w:t>
      </w:r>
    </w:p>
    <w:p w14:paraId="3AE08222" w14:textId="132BD41F" w:rsidR="0246212A" w:rsidRPr="00C01D20" w:rsidRDefault="0246212A" w:rsidP="3F089DF3">
      <w:pPr>
        <w:spacing w:before="240" w:after="240"/>
        <w:jc w:val="both"/>
        <w:rPr>
          <w:rFonts w:ascii="Verdana" w:eastAsia="Verdana" w:hAnsi="Verdana" w:cs="Verdana"/>
          <w:color w:val="000000" w:themeColor="text1"/>
        </w:rPr>
      </w:pPr>
      <w:r w:rsidRPr="00C01D20">
        <w:rPr>
          <w:rFonts w:ascii="Verdana" w:eastAsia="Verdana" w:hAnsi="Verdana" w:cs="Verdana"/>
          <w:b/>
          <w:bCs/>
          <w:color w:val="000000" w:themeColor="text1"/>
        </w:rPr>
        <w:t>PARÁGRAFO 2°.</w:t>
      </w:r>
      <w:r w:rsidRPr="00C01D20">
        <w:rPr>
          <w:rFonts w:ascii="Verdana" w:eastAsia="Verdana" w:hAnsi="Verdana" w:cs="Verdana"/>
          <w:color w:val="000000" w:themeColor="text1"/>
        </w:rPr>
        <w:t xml:space="preserve"> Cuando las medidas financiadas con recursos extraordinarios se ejecuten en municipios no comprendidos expresamente dentro del ámbito territorial </w:t>
      </w:r>
      <w:r w:rsidR="3F38715D" w:rsidRPr="00C01D20">
        <w:rPr>
          <w:rFonts w:ascii="Verdana" w:eastAsia="Verdana" w:hAnsi="Verdana" w:cs="Verdana"/>
          <w:color w:val="000000" w:themeColor="text1"/>
        </w:rPr>
        <w:t xml:space="preserve">señalado por la Corte </w:t>
      </w:r>
      <w:r w:rsidR="5589ACDA" w:rsidRPr="00C01D20">
        <w:rPr>
          <w:rFonts w:ascii="Verdana" w:eastAsia="Verdana" w:hAnsi="Verdana" w:cs="Verdana"/>
          <w:color w:val="000000" w:themeColor="text1"/>
        </w:rPr>
        <w:t xml:space="preserve">Constitucional </w:t>
      </w:r>
      <w:r w:rsidR="3F38715D" w:rsidRPr="00C01D20">
        <w:rPr>
          <w:rFonts w:ascii="Verdana" w:eastAsia="Verdana" w:hAnsi="Verdana" w:cs="Verdana"/>
          <w:color w:val="000000" w:themeColor="text1"/>
        </w:rPr>
        <w:t>en la Sentencia C-191 de 2026</w:t>
      </w:r>
      <w:r w:rsidRPr="00C01D20">
        <w:rPr>
          <w:rFonts w:ascii="Verdana" w:eastAsia="Verdana" w:hAnsi="Verdana" w:cs="Verdana"/>
          <w:color w:val="000000" w:themeColor="text1"/>
        </w:rPr>
        <w:t>, el ordenador del gasto deberá incorporar una justificación técnica específica que acredite, con fundamento en los soportes correspondientes, la existencia de una afectación concreta, directa</w:t>
      </w:r>
      <w:r w:rsidR="4A35CF2D" w:rsidRPr="00C01D20">
        <w:rPr>
          <w:rFonts w:ascii="Verdana" w:eastAsia="Verdana" w:hAnsi="Verdana" w:cs="Verdana"/>
          <w:color w:val="000000" w:themeColor="text1"/>
        </w:rPr>
        <w:t>, precisa</w:t>
      </w:r>
      <w:r w:rsidRPr="00C01D20">
        <w:rPr>
          <w:rFonts w:ascii="Verdana" w:eastAsia="Verdana" w:hAnsi="Verdana" w:cs="Verdana"/>
          <w:color w:val="000000" w:themeColor="text1"/>
        </w:rPr>
        <w:t xml:space="preserve"> y verificable derivada del fenómeno que dio lugar a la declaratoria del estado de emergencia, en los términos</w:t>
      </w:r>
      <w:r w:rsidR="1B1C694E" w:rsidRPr="00C01D20">
        <w:rPr>
          <w:rFonts w:ascii="Verdana" w:eastAsia="Verdana" w:hAnsi="Verdana" w:cs="Verdana"/>
          <w:color w:val="000000" w:themeColor="text1"/>
        </w:rPr>
        <w:t xml:space="preserve"> </w:t>
      </w:r>
      <w:r w:rsidRPr="00C01D20">
        <w:rPr>
          <w:rFonts w:ascii="Verdana" w:eastAsia="Verdana" w:hAnsi="Verdana" w:cs="Verdana"/>
          <w:color w:val="000000" w:themeColor="text1"/>
        </w:rPr>
        <w:t xml:space="preserve">establecidos por la Corte Constitucional en la </w:t>
      </w:r>
      <w:r w:rsidR="7D66E27A" w:rsidRPr="00C01D20">
        <w:rPr>
          <w:rFonts w:ascii="Verdana" w:eastAsia="Verdana" w:hAnsi="Verdana" w:cs="Verdana"/>
          <w:color w:val="000000" w:themeColor="text1"/>
        </w:rPr>
        <w:t>sentencia referida.</w:t>
      </w:r>
    </w:p>
    <w:p w14:paraId="15103912" w14:textId="50677243" w:rsidR="00BB4652" w:rsidRPr="00C01D20" w:rsidRDefault="00BB4652" w:rsidP="3F089DF3">
      <w:pPr>
        <w:spacing w:after="160"/>
        <w:jc w:val="both"/>
      </w:pPr>
      <w:r w:rsidRPr="00C01D20">
        <w:rPr>
          <w:rFonts w:ascii="Verdana" w:hAnsi="Verdana"/>
          <w:b/>
          <w:bCs/>
        </w:rPr>
        <w:t>PARÁGRAFO</w:t>
      </w:r>
      <w:r w:rsidR="003B18C7" w:rsidRPr="00C01D20">
        <w:rPr>
          <w:rFonts w:ascii="Verdana" w:hAnsi="Verdana"/>
          <w:b/>
          <w:bCs/>
        </w:rPr>
        <w:t xml:space="preserve"> </w:t>
      </w:r>
      <w:r w:rsidR="3CA1180D" w:rsidRPr="00C01D20">
        <w:rPr>
          <w:rFonts w:ascii="Verdana" w:hAnsi="Verdana"/>
          <w:b/>
          <w:bCs/>
        </w:rPr>
        <w:t>3</w:t>
      </w:r>
      <w:r w:rsidRPr="00C01D20">
        <w:rPr>
          <w:rFonts w:ascii="Verdana" w:hAnsi="Verdana"/>
          <w:b/>
          <w:bCs/>
        </w:rPr>
        <w:t>°.</w:t>
      </w:r>
      <w:r w:rsidRPr="00C01D20">
        <w:rPr>
          <w:rFonts w:ascii="Verdana" w:hAnsi="Verdana"/>
        </w:rPr>
        <w:t xml:space="preserve"> El documento que contenga la justificación y sus soportes deberán incorporarse al expediente contractual, presupuestal o administrativo correspondiente antes de la expedición del registro presupuestal o de la asunción del compromiso, según corresponda.</w:t>
      </w:r>
    </w:p>
    <w:p w14:paraId="4D0D814C" w14:textId="79328076" w:rsidR="00BB4652" w:rsidRPr="00C01D20" w:rsidRDefault="00BB4652" w:rsidP="00BB4652">
      <w:pPr>
        <w:spacing w:after="160"/>
        <w:jc w:val="both"/>
        <w:rPr>
          <w:rFonts w:ascii="Verdana" w:hAnsi="Verdana"/>
        </w:rPr>
      </w:pPr>
      <w:r w:rsidRPr="00C01D20">
        <w:rPr>
          <w:rFonts w:ascii="Verdana" w:hAnsi="Verdana"/>
          <w:b/>
          <w:bCs/>
        </w:rPr>
        <w:t xml:space="preserve">ARTÍCULO </w:t>
      </w:r>
      <w:r w:rsidR="78458FEC" w:rsidRPr="00C01D20">
        <w:rPr>
          <w:rFonts w:ascii="Verdana" w:hAnsi="Verdana"/>
          <w:b/>
          <w:bCs/>
        </w:rPr>
        <w:t>4</w:t>
      </w:r>
      <w:r w:rsidRPr="00C01D20">
        <w:rPr>
          <w:rFonts w:ascii="Verdana" w:hAnsi="Verdana"/>
          <w:b/>
          <w:bCs/>
        </w:rPr>
        <w:t xml:space="preserve">°. COMUNICACIÓN Y PUBLICACIÓN. </w:t>
      </w:r>
      <w:r w:rsidRPr="00C01D20">
        <w:rPr>
          <w:rFonts w:ascii="Verdana" w:hAnsi="Verdana"/>
        </w:rPr>
        <w:t xml:space="preserve">Por conducto de la Dirección de Planeación y Control de Gestión, </w:t>
      </w:r>
      <w:r w:rsidRPr="00C01D20">
        <w:rPr>
          <w:rFonts w:ascii="Verdana" w:hAnsi="Verdana"/>
          <w:b/>
          <w:bCs/>
        </w:rPr>
        <w:t>COMUNÍQUESE</w:t>
      </w:r>
      <w:r w:rsidRPr="00C01D20">
        <w:rPr>
          <w:rFonts w:ascii="Verdana" w:hAnsi="Verdana"/>
        </w:rPr>
        <w:t xml:space="preserve"> la presente resolución a los ordenadores del gasto, gerentes de recursos, gerentes de proyectos, directores regionales y demás dependencias involucradas.</w:t>
      </w:r>
    </w:p>
    <w:p w14:paraId="5D6C3A45" w14:textId="75996995" w:rsidR="00BB4652" w:rsidRPr="00C01D20" w:rsidRDefault="00BB4652" w:rsidP="3F089DF3">
      <w:pPr>
        <w:spacing w:after="160"/>
        <w:jc w:val="both"/>
      </w:pPr>
      <w:r w:rsidRPr="00C01D20">
        <w:rPr>
          <w:rFonts w:ascii="Verdana" w:hAnsi="Verdana"/>
        </w:rPr>
        <w:lastRenderedPageBreak/>
        <w:t xml:space="preserve">Por conducto de la Oficina Asesora de Comunicaciones, </w:t>
      </w:r>
      <w:r w:rsidRPr="00C01D20">
        <w:rPr>
          <w:rFonts w:ascii="Verdana" w:hAnsi="Verdana"/>
          <w:b/>
          <w:bCs/>
        </w:rPr>
        <w:t>PUBLÍQUESE</w:t>
      </w:r>
      <w:r w:rsidRPr="00C01D20">
        <w:rPr>
          <w:rFonts w:ascii="Verdana" w:hAnsi="Verdana"/>
        </w:rPr>
        <w:t xml:space="preserve"> la presente resolución en la página web del Instituto.</w:t>
      </w:r>
    </w:p>
    <w:p w14:paraId="43F6B242" w14:textId="21771705" w:rsidR="00BB4652" w:rsidRPr="00C01D20" w:rsidRDefault="00BB4652" w:rsidP="00BB4652">
      <w:pPr>
        <w:spacing w:after="160"/>
        <w:jc w:val="both"/>
        <w:rPr>
          <w:rFonts w:ascii="Verdana" w:hAnsi="Verdana"/>
        </w:rPr>
      </w:pPr>
      <w:r w:rsidRPr="00C01D20">
        <w:rPr>
          <w:rFonts w:ascii="Verdana" w:hAnsi="Verdana"/>
          <w:b/>
          <w:bCs/>
        </w:rPr>
        <w:t xml:space="preserve">ARTÍCULO </w:t>
      </w:r>
      <w:r w:rsidR="7AA8688C" w:rsidRPr="00C01D20">
        <w:rPr>
          <w:rFonts w:ascii="Verdana" w:hAnsi="Verdana"/>
          <w:b/>
          <w:bCs/>
        </w:rPr>
        <w:t>5</w:t>
      </w:r>
      <w:r w:rsidRPr="00C01D20">
        <w:rPr>
          <w:rFonts w:ascii="Verdana" w:hAnsi="Verdana"/>
          <w:b/>
          <w:bCs/>
        </w:rPr>
        <w:t xml:space="preserve">°. VIGENCIA. </w:t>
      </w:r>
      <w:r w:rsidRPr="00C01D20">
        <w:rPr>
          <w:rFonts w:ascii="Verdana" w:hAnsi="Verdana"/>
        </w:rPr>
        <w:t>La presente resolución rige a partir de la fecha de su expedición.</w:t>
      </w:r>
    </w:p>
    <w:p w14:paraId="303FC019" w14:textId="77777777" w:rsidR="003C78D3" w:rsidRPr="00C01D20" w:rsidRDefault="003C78D3" w:rsidP="00E050F4">
      <w:pPr>
        <w:pStyle w:val="Ttulo1"/>
        <w:spacing w:line="240" w:lineRule="auto"/>
        <w:ind w:right="51"/>
        <w:rPr>
          <w:rFonts w:ascii="Verdana" w:hAnsi="Verdana"/>
          <w:sz w:val="22"/>
          <w:szCs w:val="22"/>
        </w:rPr>
      </w:pPr>
    </w:p>
    <w:p w14:paraId="6F06CC9B" w14:textId="45498352" w:rsidR="009F2D15" w:rsidRDefault="000C3BFF" w:rsidP="00E050F4">
      <w:pPr>
        <w:pStyle w:val="Ttulo1"/>
        <w:spacing w:line="240" w:lineRule="auto"/>
        <w:ind w:right="51"/>
        <w:rPr>
          <w:rFonts w:ascii="Verdana" w:hAnsi="Verdana"/>
          <w:sz w:val="22"/>
          <w:szCs w:val="22"/>
        </w:rPr>
      </w:pPr>
      <w:r w:rsidRPr="00C01D20">
        <w:rPr>
          <w:rFonts w:ascii="Verdana" w:hAnsi="Verdana"/>
          <w:sz w:val="22"/>
          <w:szCs w:val="22"/>
        </w:rPr>
        <w:t>COMUNÍQUESE</w:t>
      </w:r>
      <w:r w:rsidR="009F2D15" w:rsidRPr="00C01D20">
        <w:rPr>
          <w:rFonts w:ascii="Verdana" w:hAnsi="Verdana"/>
          <w:sz w:val="22"/>
          <w:szCs w:val="22"/>
        </w:rPr>
        <w:t xml:space="preserve">, </w:t>
      </w:r>
      <w:r w:rsidR="003F5ADC" w:rsidRPr="00C01D20">
        <w:rPr>
          <w:rFonts w:ascii="Verdana" w:hAnsi="Verdana"/>
          <w:sz w:val="22"/>
          <w:szCs w:val="22"/>
        </w:rPr>
        <w:t>PUBLÍQUESE</w:t>
      </w:r>
      <w:r w:rsidR="009F2D15" w:rsidRPr="00C01D20">
        <w:rPr>
          <w:rFonts w:ascii="Verdana" w:hAnsi="Verdana"/>
          <w:sz w:val="22"/>
          <w:szCs w:val="22"/>
        </w:rPr>
        <w:t xml:space="preserve"> </w:t>
      </w:r>
      <w:r w:rsidRPr="00C01D20">
        <w:rPr>
          <w:rFonts w:ascii="Verdana" w:hAnsi="Verdana"/>
          <w:sz w:val="22"/>
          <w:szCs w:val="22"/>
        </w:rPr>
        <w:t>Y</w:t>
      </w:r>
      <w:r w:rsidRPr="00C01D20">
        <w:rPr>
          <w:rFonts w:ascii="Verdana" w:hAnsi="Verdana"/>
          <w:spacing w:val="-6"/>
          <w:sz w:val="22"/>
          <w:szCs w:val="22"/>
        </w:rPr>
        <w:t xml:space="preserve"> </w:t>
      </w:r>
      <w:r w:rsidRPr="00C01D20">
        <w:rPr>
          <w:rFonts w:ascii="Verdana" w:hAnsi="Verdana"/>
          <w:sz w:val="22"/>
          <w:szCs w:val="22"/>
        </w:rPr>
        <w:t>CÚMPLASE</w:t>
      </w:r>
    </w:p>
    <w:p w14:paraId="66B5BEB4" w14:textId="77777777" w:rsidR="00EF077E" w:rsidRPr="00C01D20" w:rsidRDefault="00EF077E" w:rsidP="00E050F4">
      <w:pPr>
        <w:pStyle w:val="Ttulo1"/>
        <w:spacing w:line="240" w:lineRule="auto"/>
        <w:ind w:right="51"/>
      </w:pPr>
    </w:p>
    <w:p w14:paraId="72E44F2A" w14:textId="0267E8AD" w:rsidR="000C3BFF" w:rsidRPr="00C01D20" w:rsidRDefault="000C3BFF" w:rsidP="00E050F4">
      <w:pPr>
        <w:pStyle w:val="Textoindependiente"/>
        <w:ind w:right="51"/>
        <w:jc w:val="center"/>
        <w:rPr>
          <w:rFonts w:ascii="Verdana" w:hAnsi="Verdana" w:cs="Arial"/>
          <w:sz w:val="22"/>
          <w:szCs w:val="22"/>
        </w:rPr>
      </w:pPr>
      <w:r w:rsidRPr="00C01D20">
        <w:rPr>
          <w:rFonts w:ascii="Verdana" w:hAnsi="Verdana" w:cs="Arial"/>
          <w:sz w:val="22"/>
          <w:szCs w:val="22"/>
        </w:rPr>
        <w:t>Dada</w:t>
      </w:r>
      <w:r w:rsidRPr="00C01D20">
        <w:rPr>
          <w:rFonts w:ascii="Verdana" w:hAnsi="Verdana" w:cs="Arial"/>
          <w:spacing w:val="-1"/>
          <w:sz w:val="22"/>
          <w:szCs w:val="22"/>
        </w:rPr>
        <w:t xml:space="preserve"> </w:t>
      </w:r>
      <w:r w:rsidRPr="00C01D20">
        <w:rPr>
          <w:rFonts w:ascii="Verdana" w:hAnsi="Verdana" w:cs="Arial"/>
          <w:sz w:val="22"/>
          <w:szCs w:val="22"/>
        </w:rPr>
        <w:t>en</w:t>
      </w:r>
      <w:r w:rsidRPr="00C01D20">
        <w:rPr>
          <w:rFonts w:ascii="Verdana" w:hAnsi="Verdana" w:cs="Arial"/>
          <w:spacing w:val="-1"/>
          <w:sz w:val="22"/>
          <w:szCs w:val="22"/>
        </w:rPr>
        <w:t xml:space="preserve"> </w:t>
      </w:r>
      <w:r w:rsidRPr="00C01D20">
        <w:rPr>
          <w:rFonts w:ascii="Verdana" w:hAnsi="Verdana" w:cs="Arial"/>
          <w:sz w:val="22"/>
          <w:szCs w:val="22"/>
        </w:rPr>
        <w:t>Bogotá</w:t>
      </w:r>
      <w:r w:rsidRPr="00C01D20">
        <w:rPr>
          <w:rFonts w:ascii="Verdana" w:hAnsi="Verdana" w:cs="Arial"/>
          <w:spacing w:val="-4"/>
          <w:sz w:val="22"/>
          <w:szCs w:val="22"/>
        </w:rPr>
        <w:t xml:space="preserve"> </w:t>
      </w:r>
      <w:r w:rsidRPr="00C01D20">
        <w:rPr>
          <w:rFonts w:ascii="Verdana" w:hAnsi="Verdana" w:cs="Arial"/>
          <w:sz w:val="22"/>
          <w:szCs w:val="22"/>
        </w:rPr>
        <w:t>D.C.,</w:t>
      </w:r>
      <w:r w:rsidRPr="00C01D20">
        <w:rPr>
          <w:rFonts w:ascii="Verdana" w:hAnsi="Verdana" w:cs="Arial"/>
          <w:spacing w:val="-2"/>
          <w:sz w:val="22"/>
          <w:szCs w:val="22"/>
        </w:rPr>
        <w:t xml:space="preserve"> </w:t>
      </w:r>
      <w:r w:rsidRPr="00C01D20">
        <w:rPr>
          <w:rFonts w:ascii="Verdana" w:hAnsi="Verdana" w:cs="Arial"/>
          <w:sz w:val="22"/>
          <w:szCs w:val="22"/>
        </w:rPr>
        <w:t>a</w:t>
      </w:r>
      <w:r w:rsidRPr="00C01D20">
        <w:rPr>
          <w:rFonts w:ascii="Verdana" w:hAnsi="Verdana" w:cs="Arial"/>
          <w:spacing w:val="-1"/>
          <w:sz w:val="22"/>
          <w:szCs w:val="22"/>
        </w:rPr>
        <w:t xml:space="preserve"> </w:t>
      </w:r>
      <w:r w:rsidRPr="00C01D20">
        <w:rPr>
          <w:rFonts w:ascii="Verdana" w:hAnsi="Verdana" w:cs="Arial"/>
          <w:sz w:val="22"/>
          <w:szCs w:val="22"/>
        </w:rPr>
        <w:t>los,</w:t>
      </w:r>
      <w:r w:rsidR="00EF077E">
        <w:rPr>
          <w:rFonts w:ascii="Verdana" w:hAnsi="Verdana" w:cs="Arial"/>
          <w:sz w:val="22"/>
          <w:szCs w:val="22"/>
        </w:rPr>
        <w:t xml:space="preserve"> 31 días del mes de julio de 2026</w:t>
      </w:r>
    </w:p>
    <w:p w14:paraId="3BBDFE03" w14:textId="77777777" w:rsidR="000C3BFF" w:rsidRPr="00C01D20" w:rsidRDefault="000C3BFF" w:rsidP="00E050F4">
      <w:pPr>
        <w:pStyle w:val="Textoindependiente"/>
        <w:rPr>
          <w:rFonts w:ascii="Verdana" w:hAnsi="Verdana" w:cs="Arial"/>
          <w:sz w:val="22"/>
          <w:szCs w:val="22"/>
        </w:rPr>
      </w:pPr>
    </w:p>
    <w:p w14:paraId="5C5ACDBD" w14:textId="77777777" w:rsidR="00EC411E" w:rsidRPr="00C01D20" w:rsidRDefault="00EC411E" w:rsidP="00E050F4">
      <w:pPr>
        <w:pStyle w:val="Textoindependiente"/>
        <w:rPr>
          <w:rFonts w:ascii="Verdana" w:hAnsi="Verdana" w:cs="Arial"/>
          <w:sz w:val="22"/>
          <w:szCs w:val="22"/>
        </w:rPr>
      </w:pPr>
    </w:p>
    <w:p w14:paraId="0D6DEC96" w14:textId="77777777" w:rsidR="00A93E87" w:rsidRPr="00C01D20" w:rsidRDefault="00A93E87" w:rsidP="00E050F4">
      <w:pPr>
        <w:pStyle w:val="Textoindependiente"/>
        <w:rPr>
          <w:rFonts w:ascii="Verdana" w:hAnsi="Verdana" w:cs="Arial"/>
          <w:sz w:val="22"/>
          <w:szCs w:val="22"/>
        </w:rPr>
      </w:pPr>
    </w:p>
    <w:p w14:paraId="4D19E206" w14:textId="48EFAA17" w:rsidR="00A93E87" w:rsidRPr="00C01D20" w:rsidRDefault="003F5ADC" w:rsidP="00E050F4">
      <w:pPr>
        <w:pStyle w:val="Ttulo1"/>
        <w:spacing w:line="240" w:lineRule="auto"/>
        <w:ind w:right="12"/>
        <w:rPr>
          <w:rFonts w:ascii="Verdana" w:hAnsi="Verdana"/>
          <w:sz w:val="22"/>
          <w:szCs w:val="22"/>
        </w:rPr>
      </w:pPr>
      <w:r w:rsidRPr="00C01D20">
        <w:rPr>
          <w:rFonts w:ascii="Verdana" w:hAnsi="Verdana"/>
          <w:sz w:val="22"/>
          <w:szCs w:val="22"/>
        </w:rPr>
        <w:t>ASTRID ELIANA CÁCERES CÁRDENAS</w:t>
      </w:r>
    </w:p>
    <w:p w14:paraId="7500EE79" w14:textId="2D5D0175" w:rsidR="00A93E87" w:rsidRPr="00C01D20" w:rsidRDefault="00CC2A08" w:rsidP="00E050F4">
      <w:pPr>
        <w:pStyle w:val="Textoindependiente"/>
        <w:ind w:right="8"/>
        <w:jc w:val="center"/>
        <w:rPr>
          <w:rFonts w:ascii="Verdana" w:hAnsi="Verdana" w:cs="Arial"/>
          <w:sz w:val="22"/>
          <w:szCs w:val="22"/>
        </w:rPr>
      </w:pPr>
      <w:r w:rsidRPr="00C01D20">
        <w:rPr>
          <w:rFonts w:ascii="Verdana" w:hAnsi="Verdana"/>
          <w:noProof/>
          <w:sz w:val="22"/>
          <w:szCs w:val="22"/>
        </w:rPr>
        <mc:AlternateContent>
          <mc:Choice Requires="wps">
            <w:drawing>
              <wp:anchor distT="0" distB="0" distL="114300" distR="114300" simplePos="0" relativeHeight="251658240" behindDoc="0" locked="0" layoutInCell="1" allowOverlap="1" wp14:anchorId="7F84E686" wp14:editId="34435CF8">
                <wp:simplePos x="0" y="0"/>
                <wp:positionH relativeFrom="page">
                  <wp:posOffset>13776960</wp:posOffset>
                </wp:positionH>
                <wp:positionV relativeFrom="paragraph">
                  <wp:posOffset>4833620</wp:posOffset>
                </wp:positionV>
                <wp:extent cx="137795" cy="188595"/>
                <wp:effectExtent l="51435" t="17145" r="10795" b="32385"/>
                <wp:wrapNone/>
                <wp:docPr id="204724176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37795" cy="188595"/>
                        </a:xfrm>
                        <a:custGeom>
                          <a:avLst/>
                          <a:gdLst>
                            <a:gd name="T0" fmla="*/ 136525 w 217"/>
                            <a:gd name="T1" fmla="*/ 1209675 h 297"/>
                            <a:gd name="T2" fmla="*/ 133985 w 217"/>
                            <a:gd name="T3" fmla="*/ 1214755 h 297"/>
                            <a:gd name="T4" fmla="*/ 130810 w 217"/>
                            <a:gd name="T5" fmla="*/ 1221105 h 297"/>
                            <a:gd name="T6" fmla="*/ 123190 w 217"/>
                            <a:gd name="T7" fmla="*/ 1264285 h 297"/>
                            <a:gd name="T8" fmla="*/ 123825 w 217"/>
                            <a:gd name="T9" fmla="*/ 1270000 h 297"/>
                            <a:gd name="T10" fmla="*/ 123190 w 217"/>
                            <a:gd name="T11" fmla="*/ 1274445 h 297"/>
                            <a:gd name="T12" fmla="*/ 122555 w 217"/>
                            <a:gd name="T13" fmla="*/ 1278255 h 297"/>
                            <a:gd name="T14" fmla="*/ 121920 w 217"/>
                            <a:gd name="T15" fmla="*/ 1282065 h 297"/>
                            <a:gd name="T16" fmla="*/ 120650 w 217"/>
                            <a:gd name="T17" fmla="*/ 1285240 h 297"/>
                            <a:gd name="T18" fmla="*/ 119380 w 217"/>
                            <a:gd name="T19" fmla="*/ 1287145 h 297"/>
                            <a:gd name="T20" fmla="*/ 117475 w 217"/>
                            <a:gd name="T21" fmla="*/ 1289685 h 297"/>
                            <a:gd name="T22" fmla="*/ 116205 w 217"/>
                            <a:gd name="T23" fmla="*/ 1292225 h 297"/>
                            <a:gd name="T24" fmla="*/ 114935 w 217"/>
                            <a:gd name="T25" fmla="*/ 1296035 h 297"/>
                            <a:gd name="T26" fmla="*/ 114300 w 217"/>
                            <a:gd name="T27" fmla="*/ 1301115 h 297"/>
                            <a:gd name="T28" fmla="*/ 114300 w 217"/>
                            <a:gd name="T29" fmla="*/ 1309370 h 297"/>
                            <a:gd name="T30" fmla="*/ 115570 w 217"/>
                            <a:gd name="T31" fmla="*/ 1319530 h 297"/>
                            <a:gd name="T32" fmla="*/ 116840 w 217"/>
                            <a:gd name="T33" fmla="*/ 1331595 h 297"/>
                            <a:gd name="T34" fmla="*/ 118745 w 217"/>
                            <a:gd name="T35" fmla="*/ 1344295 h 297"/>
                            <a:gd name="T36" fmla="*/ 121285 w 217"/>
                            <a:gd name="T37" fmla="*/ 1357630 h 297"/>
                            <a:gd name="T38" fmla="*/ 123825 w 217"/>
                            <a:gd name="T39" fmla="*/ 1370330 h 297"/>
                            <a:gd name="T40" fmla="*/ 125730 w 217"/>
                            <a:gd name="T41" fmla="*/ 1382395 h 297"/>
                            <a:gd name="T42" fmla="*/ 127000 w 217"/>
                            <a:gd name="T43" fmla="*/ 1393190 h 297"/>
                            <a:gd name="T44" fmla="*/ 125730 w 217"/>
                            <a:gd name="T45" fmla="*/ 1397000 h 297"/>
                            <a:gd name="T46" fmla="*/ 121920 w 217"/>
                            <a:gd name="T47" fmla="*/ 1397000 h 297"/>
                            <a:gd name="T48" fmla="*/ 116840 w 217"/>
                            <a:gd name="T49" fmla="*/ 1392555 h 297"/>
                            <a:gd name="T50" fmla="*/ 111125 w 217"/>
                            <a:gd name="T51" fmla="*/ 1386840 h 297"/>
                            <a:gd name="T52" fmla="*/ 105410 w 217"/>
                            <a:gd name="T53" fmla="*/ 1379855 h 297"/>
                            <a:gd name="T54" fmla="*/ 100330 w 217"/>
                            <a:gd name="T55" fmla="*/ 1370965 h 297"/>
                            <a:gd name="T56" fmla="*/ 95885 w 217"/>
                            <a:gd name="T57" fmla="*/ 1363345 h 297"/>
                            <a:gd name="T58" fmla="*/ 85090 w 217"/>
                            <a:gd name="T59" fmla="*/ 1341120 h 297"/>
                            <a:gd name="T60" fmla="*/ 67310 w 217"/>
                            <a:gd name="T61" fmla="*/ 1321435 h 297"/>
                            <a:gd name="T62" fmla="*/ 33655 w 217"/>
                            <a:gd name="T63" fmla="*/ 1347470 h 297"/>
                            <a:gd name="T64" fmla="*/ 20955 w 217"/>
                            <a:gd name="T65" fmla="*/ 1361440 h 297"/>
                            <a:gd name="T66" fmla="*/ 1270 w 217"/>
                            <a:gd name="T67" fmla="*/ 1386840 h 297"/>
                            <a:gd name="T68" fmla="*/ 39370 w 217"/>
                            <a:gd name="T69" fmla="*/ 1348105 h 297"/>
                            <a:gd name="T70" fmla="*/ 77470 w 217"/>
                            <a:gd name="T71" fmla="*/ 1310005 h 297"/>
                            <a:gd name="T72" fmla="*/ 130810 w 217"/>
                            <a:gd name="T73" fmla="*/ 1256665 h 29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17" h="297">
                              <a:moveTo>
                                <a:pt x="216" y="0"/>
                              </a:moveTo>
                              <a:lnTo>
                                <a:pt x="215" y="2"/>
                              </a:lnTo>
                              <a:lnTo>
                                <a:pt x="213" y="6"/>
                              </a:lnTo>
                              <a:lnTo>
                                <a:pt x="211" y="10"/>
                              </a:lnTo>
                              <a:lnTo>
                                <a:pt x="209" y="15"/>
                              </a:lnTo>
                              <a:lnTo>
                                <a:pt x="206" y="20"/>
                              </a:lnTo>
                              <a:lnTo>
                                <a:pt x="204" y="26"/>
                              </a:lnTo>
                              <a:lnTo>
                                <a:pt x="194" y="88"/>
                              </a:lnTo>
                              <a:lnTo>
                                <a:pt x="194" y="92"/>
                              </a:lnTo>
                              <a:lnTo>
                                <a:pt x="195" y="97"/>
                              </a:lnTo>
                              <a:lnTo>
                                <a:pt x="194" y="100"/>
                              </a:lnTo>
                              <a:lnTo>
                                <a:pt x="194" y="104"/>
                              </a:lnTo>
                              <a:lnTo>
                                <a:pt x="193" y="107"/>
                              </a:lnTo>
                              <a:lnTo>
                                <a:pt x="193" y="110"/>
                              </a:lnTo>
                              <a:lnTo>
                                <a:pt x="192" y="113"/>
                              </a:lnTo>
                              <a:lnTo>
                                <a:pt x="192" y="116"/>
                              </a:lnTo>
                              <a:lnTo>
                                <a:pt x="191" y="118"/>
                              </a:lnTo>
                              <a:lnTo>
                                <a:pt x="190" y="121"/>
                              </a:lnTo>
                              <a:lnTo>
                                <a:pt x="189" y="122"/>
                              </a:lnTo>
                              <a:lnTo>
                                <a:pt x="188" y="124"/>
                              </a:lnTo>
                              <a:lnTo>
                                <a:pt x="186" y="126"/>
                              </a:lnTo>
                              <a:lnTo>
                                <a:pt x="185" y="128"/>
                              </a:lnTo>
                              <a:lnTo>
                                <a:pt x="184" y="130"/>
                              </a:lnTo>
                              <a:lnTo>
                                <a:pt x="183" y="132"/>
                              </a:lnTo>
                              <a:lnTo>
                                <a:pt x="181" y="134"/>
                              </a:lnTo>
                              <a:lnTo>
                                <a:pt x="181" y="138"/>
                              </a:lnTo>
                              <a:lnTo>
                                <a:pt x="180" y="142"/>
                              </a:lnTo>
                              <a:lnTo>
                                <a:pt x="180" y="146"/>
                              </a:lnTo>
                              <a:lnTo>
                                <a:pt x="180" y="153"/>
                              </a:lnTo>
                              <a:lnTo>
                                <a:pt x="180" y="159"/>
                              </a:lnTo>
                              <a:lnTo>
                                <a:pt x="181" y="166"/>
                              </a:lnTo>
                              <a:lnTo>
                                <a:pt x="182" y="175"/>
                              </a:lnTo>
                              <a:lnTo>
                                <a:pt x="183" y="183"/>
                              </a:lnTo>
                              <a:lnTo>
                                <a:pt x="184" y="194"/>
                              </a:lnTo>
                              <a:lnTo>
                                <a:pt x="186" y="204"/>
                              </a:lnTo>
                              <a:lnTo>
                                <a:pt x="187" y="214"/>
                              </a:lnTo>
                              <a:lnTo>
                                <a:pt x="189" y="225"/>
                              </a:lnTo>
                              <a:lnTo>
                                <a:pt x="191" y="235"/>
                              </a:lnTo>
                              <a:lnTo>
                                <a:pt x="193" y="245"/>
                              </a:lnTo>
                              <a:lnTo>
                                <a:pt x="195" y="255"/>
                              </a:lnTo>
                              <a:lnTo>
                                <a:pt x="196" y="265"/>
                              </a:lnTo>
                              <a:lnTo>
                                <a:pt x="198" y="274"/>
                              </a:lnTo>
                              <a:lnTo>
                                <a:pt x="201" y="285"/>
                              </a:lnTo>
                              <a:lnTo>
                                <a:pt x="200" y="291"/>
                              </a:lnTo>
                              <a:lnTo>
                                <a:pt x="200" y="296"/>
                              </a:lnTo>
                              <a:lnTo>
                                <a:pt x="198" y="297"/>
                              </a:lnTo>
                              <a:lnTo>
                                <a:pt x="195" y="297"/>
                              </a:lnTo>
                              <a:lnTo>
                                <a:pt x="192" y="297"/>
                              </a:lnTo>
                              <a:lnTo>
                                <a:pt x="188" y="294"/>
                              </a:lnTo>
                              <a:lnTo>
                                <a:pt x="184" y="290"/>
                              </a:lnTo>
                              <a:lnTo>
                                <a:pt x="180" y="287"/>
                              </a:lnTo>
                              <a:lnTo>
                                <a:pt x="175" y="281"/>
                              </a:lnTo>
                              <a:lnTo>
                                <a:pt x="170" y="275"/>
                              </a:lnTo>
                              <a:lnTo>
                                <a:pt x="166" y="270"/>
                              </a:lnTo>
                              <a:lnTo>
                                <a:pt x="161" y="263"/>
                              </a:lnTo>
                              <a:lnTo>
                                <a:pt x="158" y="256"/>
                              </a:lnTo>
                              <a:lnTo>
                                <a:pt x="154" y="250"/>
                              </a:lnTo>
                              <a:lnTo>
                                <a:pt x="151" y="244"/>
                              </a:lnTo>
                              <a:lnTo>
                                <a:pt x="148" y="238"/>
                              </a:lnTo>
                              <a:lnTo>
                                <a:pt x="134" y="209"/>
                              </a:lnTo>
                              <a:lnTo>
                                <a:pt x="132" y="205"/>
                              </a:lnTo>
                              <a:lnTo>
                                <a:pt x="106" y="178"/>
                              </a:lnTo>
                              <a:lnTo>
                                <a:pt x="103" y="179"/>
                              </a:lnTo>
                              <a:lnTo>
                                <a:pt x="53" y="219"/>
                              </a:lnTo>
                              <a:lnTo>
                                <a:pt x="39" y="234"/>
                              </a:lnTo>
                              <a:lnTo>
                                <a:pt x="33" y="241"/>
                              </a:lnTo>
                              <a:lnTo>
                                <a:pt x="0" y="282"/>
                              </a:lnTo>
                              <a:lnTo>
                                <a:pt x="2" y="281"/>
                              </a:lnTo>
                              <a:lnTo>
                                <a:pt x="50" y="232"/>
                              </a:lnTo>
                              <a:lnTo>
                                <a:pt x="62" y="220"/>
                              </a:lnTo>
                              <a:lnTo>
                                <a:pt x="76" y="206"/>
                              </a:lnTo>
                              <a:lnTo>
                                <a:pt x="122" y="160"/>
                              </a:lnTo>
                              <a:lnTo>
                                <a:pt x="172" y="110"/>
                              </a:lnTo>
                              <a:lnTo>
                                <a:pt x="206" y="76"/>
                              </a:lnTo>
                              <a:lnTo>
                                <a:pt x="217" y="66"/>
                              </a:lnTo>
                            </a:path>
                          </a:pathLst>
                        </a:custGeom>
                        <a:noFill/>
                        <a:ln w="19050">
                          <a:solidFill>
                            <a:srgbClr val="004D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19315C2B" id="Freeform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95.6pt,380.6pt,1095.55pt,380.7pt,1095.45pt,380.9pt,1095.35pt,381.1pt,1095.25pt,381.35pt,1095.1pt,381.6pt,1095pt,381.9pt,1094.5pt,385pt,1094.5pt,385.2pt,1094.55pt,385.45pt,1094.5pt,385.6pt,1094.5pt,385.8pt,1094.45pt,385.95pt,1094.45pt,386.1pt,1094.4pt,386.25pt,1094.4pt,386.4pt,1094.35pt,386.5pt,1094.3pt,386.65pt,1094.25pt,386.7pt,1094.2pt,386.8pt,1094.1pt,386.9pt,1094.05pt,387pt,1094pt,387.1pt,1093.95pt,387.2pt,1093.85pt,387.3pt,1093.85pt,387.5pt,1093.8pt,387.7pt,1093.8pt,387.9pt,1093.8pt,388.25pt,1093.8pt,388.55pt,1093.85pt,388.9pt,1093.9pt,389.35pt,1093.95pt,389.75pt,1094pt,390.3pt,1094.1pt,390.8pt,1094.15pt,391.3pt,1094.25pt,391.85pt,1094.35pt,392.35pt,1094.45pt,392.85pt,1094.55pt,393.35pt,1094.6pt,393.85pt,1094.7pt,394.3pt,1094.85pt,394.85pt,1094.8pt,395.15pt,1094.8pt,395.4pt,1094.7pt,395.45pt,1094.55pt,395.45pt,1094.4pt,395.45pt,1094.2pt,395.3pt,1094pt,395.1pt,1093.8pt,394.95pt,1093.55pt,394.65pt,1093.3pt,394.35pt,1093.1pt,394.1pt,1092.85pt,393.75pt,1092.7pt,393.4pt,1092.5pt,393.1pt,1092.35pt,392.8pt,1092.2pt,392.5pt,1091.5pt,391.05pt,1091.4pt,390.85pt,1090.1pt,389.5pt,1089.95pt,389.55pt,1087.45pt,391.55pt,1086.75pt,392.3pt,1086.45pt,392.65pt,1084.8pt,394.7pt,1084.9pt,394.65pt,1087.3pt,392.2pt,1087.9pt,391.6pt,1088.6pt,390.9pt,1090.9pt,388.6pt,1093.4pt,386.1pt,1095.1pt,384.4pt,1095.65pt,383.9pt" coordsize="2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" filled="f" strokecolor="#004de6" strokeweight="1.5pt">
                <v:path arrowok="t" o:connecttype="custom" o:connectlocs="86693375,768143625;85080475,771369425;83064350,775401675;78225650,802820975;78628875,806450000;78225650,809272575;77822425,811691925;77419200,814111275;76612750,816127400;75806300,817337075;74596625,818949975;73790175,820562875;72983725,822982225;72580500,826208025;72580500,831449950;73386950,837901550;74193400,845562825;75403075,853627325;77015975,862095050;78628875,870159550;79838550,877820825;80645000,884675650;79838550,887095000;77419200,887095000;74193400,884272425;70564375,880643400;66935350,876207925;63709550,870562775;60886975,865724075;54032150,851611200;42741850,839111225;21370925,855643450;13306425,864514400;806450,880643400;24999950,856046675;49193450,831853175;83064350,797982275" o:connectangles="0,0,0,0,0,0,0,0,0,0,0,0,0,0,0,0,0,0,0,0,0,0,0,0,0,0,0,0,0,0,0,0,0,0,0,0,0"/>
                <o:lock v:ext="edit" verticies="t"/>
                <w10:wrap anchorx="page"/>
              </v:polyline>
            </w:pict>
          </mc:Fallback>
        </mc:AlternateContent>
      </w:r>
      <w:r w:rsidR="00A93E87" w:rsidRPr="00C01D20">
        <w:rPr>
          <w:rFonts w:ascii="Verdana" w:hAnsi="Verdana" w:cs="Arial"/>
          <w:sz w:val="22"/>
          <w:szCs w:val="22"/>
        </w:rPr>
        <w:t>Directora</w:t>
      </w:r>
      <w:r w:rsidR="00A93E87" w:rsidRPr="00C01D20">
        <w:rPr>
          <w:rFonts w:ascii="Verdana" w:hAnsi="Verdana" w:cs="Arial"/>
          <w:spacing w:val="-3"/>
          <w:sz w:val="22"/>
          <w:szCs w:val="22"/>
        </w:rPr>
        <w:t xml:space="preserve"> </w:t>
      </w:r>
      <w:r w:rsidR="00A93E87" w:rsidRPr="00C01D20">
        <w:rPr>
          <w:rFonts w:ascii="Verdana" w:hAnsi="Verdana" w:cs="Arial"/>
          <w:sz w:val="22"/>
          <w:szCs w:val="22"/>
        </w:rPr>
        <w:t>General</w:t>
      </w:r>
      <w:r w:rsidR="00A93E87" w:rsidRPr="00C01D20">
        <w:rPr>
          <w:rFonts w:ascii="Verdana" w:hAnsi="Verdana" w:cs="Arial"/>
          <w:spacing w:val="-2"/>
          <w:sz w:val="22"/>
          <w:szCs w:val="22"/>
        </w:rPr>
        <w:t xml:space="preserve"> </w:t>
      </w:r>
      <w:r w:rsidR="00A93E87" w:rsidRPr="00C01D20">
        <w:rPr>
          <w:rFonts w:ascii="Verdana" w:hAnsi="Verdana" w:cs="Arial"/>
          <w:sz w:val="22"/>
          <w:szCs w:val="22"/>
        </w:rPr>
        <w:t xml:space="preserve">ICBF </w:t>
      </w:r>
      <w:r w:rsidR="003F5ADC" w:rsidRPr="00C01D20" w:rsidDel="003F5ADC">
        <w:rPr>
          <w:rFonts w:ascii="Verdana" w:hAnsi="Verdana" w:cs="Arial"/>
          <w:sz w:val="22"/>
          <w:szCs w:val="22"/>
        </w:rPr>
        <w:t xml:space="preserve"> </w:t>
      </w:r>
    </w:p>
    <w:p w14:paraId="3FC9802F" w14:textId="77777777" w:rsidR="00A93E87" w:rsidRPr="00C01D20" w:rsidRDefault="00A93E87" w:rsidP="00E050F4">
      <w:pPr>
        <w:pStyle w:val="Textoindependiente"/>
        <w:ind w:right="8"/>
        <w:jc w:val="center"/>
        <w:rPr>
          <w:rFonts w:ascii="Verdana" w:hAnsi="Verdana" w:cs="Arial"/>
          <w:sz w:val="22"/>
          <w:szCs w:val="22"/>
        </w:rPr>
      </w:pPr>
    </w:p>
    <w:p w14:paraId="61867D61" w14:textId="77777777" w:rsidR="000C3BFF" w:rsidRPr="00F5055A" w:rsidRDefault="000C3BFF" w:rsidP="00832AF0">
      <w:pPr>
        <w:spacing w:after="120"/>
        <w:rPr>
          <w:rFonts w:ascii="Verdana" w:hAnsi="Verdana"/>
        </w:rPr>
      </w:pPr>
    </w:p>
    <w:sectPr w:rsidR="000C3BFF" w:rsidRPr="00F5055A" w:rsidSect="002A53B8">
      <w:headerReference w:type="default" r:id="rId11"/>
      <w:pgSz w:w="12240" w:h="20160" w:code="5"/>
      <w:pgMar w:top="1136" w:right="1134" w:bottom="2410" w:left="1701" w:header="1191"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5FD9" w14:textId="77777777" w:rsidR="002D758F" w:rsidRDefault="002D758F" w:rsidP="00B92FB1">
      <w:pPr>
        <w:spacing w:after="0" w:line="240" w:lineRule="auto"/>
      </w:pPr>
      <w:r>
        <w:separator/>
      </w:r>
    </w:p>
  </w:endnote>
  <w:endnote w:type="continuationSeparator" w:id="0">
    <w:p w14:paraId="2325E658" w14:textId="77777777" w:rsidR="002D758F" w:rsidRDefault="002D758F"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ork Sans">
    <w:charset w:val="00"/>
    <w:family w:val="auto"/>
    <w:pitch w:val="variable"/>
    <w:sig w:usb0="A00000FF" w:usb1="5000E07B"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55984" w14:textId="77777777" w:rsidR="002D758F" w:rsidRDefault="002D758F" w:rsidP="00B92FB1">
      <w:pPr>
        <w:spacing w:after="0" w:line="240" w:lineRule="auto"/>
      </w:pPr>
      <w:r>
        <w:separator/>
      </w:r>
    </w:p>
  </w:footnote>
  <w:footnote w:type="continuationSeparator" w:id="0">
    <w:p w14:paraId="38FCF379" w14:textId="77777777" w:rsidR="002D758F" w:rsidRDefault="002D758F"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F688" w14:textId="756497B5" w:rsidR="00C82C06" w:rsidRPr="002573C4" w:rsidRDefault="00C82C06" w:rsidP="003975C0">
    <w:pPr>
      <w:pStyle w:val="Encabezado"/>
      <w:spacing w:after="0" w:line="240" w:lineRule="auto"/>
      <w:jc w:val="center"/>
      <w:rPr>
        <w:rFonts w:ascii="Verdana" w:eastAsia="Times New Roman" w:hAnsi="Verdana" w:cs="Arial"/>
        <w:i/>
        <w:color w:val="000000" w:themeColor="text1"/>
        <w:sz w:val="20"/>
        <w:szCs w:val="20"/>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500D"/>
    <w:multiLevelType w:val="hybridMultilevel"/>
    <w:tmpl w:val="885CB538"/>
    <w:lvl w:ilvl="0" w:tplc="240A000F">
      <w:start w:val="1"/>
      <w:numFmt w:val="decimal"/>
      <w:lvlText w:val="%1."/>
      <w:lvlJc w:val="left"/>
      <w:pPr>
        <w:ind w:left="436" w:hanging="360"/>
      </w:pPr>
    </w:lvl>
    <w:lvl w:ilvl="1" w:tplc="240A0019" w:tentative="1">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1" w15:restartNumberingAfterBreak="0">
    <w:nsid w:val="11523144"/>
    <w:multiLevelType w:val="hybridMultilevel"/>
    <w:tmpl w:val="476A4004"/>
    <w:lvl w:ilvl="0" w:tplc="240A000F">
      <w:start w:val="1"/>
      <w:numFmt w:val="decimal"/>
      <w:lvlText w:val="%1."/>
      <w:lvlJc w:val="left"/>
      <w:pPr>
        <w:ind w:left="0" w:hanging="360"/>
      </w:pPr>
      <w:rPr>
        <w:rFonts w:hint="default"/>
      </w:rPr>
    </w:lvl>
    <w:lvl w:ilvl="1" w:tplc="240A0019" w:tentative="1">
      <w:start w:val="1"/>
      <w:numFmt w:val="lowerLetter"/>
      <w:lvlText w:val="%2."/>
      <w:lvlJc w:val="left"/>
      <w:pPr>
        <w:ind w:left="720" w:hanging="360"/>
      </w:pPr>
    </w:lvl>
    <w:lvl w:ilvl="2" w:tplc="240A001B" w:tentative="1">
      <w:start w:val="1"/>
      <w:numFmt w:val="lowerRoman"/>
      <w:lvlText w:val="%3."/>
      <w:lvlJc w:val="right"/>
      <w:pPr>
        <w:ind w:left="1440" w:hanging="180"/>
      </w:pPr>
    </w:lvl>
    <w:lvl w:ilvl="3" w:tplc="240A000F" w:tentative="1">
      <w:start w:val="1"/>
      <w:numFmt w:val="decimal"/>
      <w:lvlText w:val="%4."/>
      <w:lvlJc w:val="left"/>
      <w:pPr>
        <w:ind w:left="2160" w:hanging="360"/>
      </w:pPr>
    </w:lvl>
    <w:lvl w:ilvl="4" w:tplc="240A0019" w:tentative="1">
      <w:start w:val="1"/>
      <w:numFmt w:val="lowerLetter"/>
      <w:lvlText w:val="%5."/>
      <w:lvlJc w:val="left"/>
      <w:pPr>
        <w:ind w:left="2880" w:hanging="360"/>
      </w:pPr>
    </w:lvl>
    <w:lvl w:ilvl="5" w:tplc="240A001B" w:tentative="1">
      <w:start w:val="1"/>
      <w:numFmt w:val="lowerRoman"/>
      <w:lvlText w:val="%6."/>
      <w:lvlJc w:val="right"/>
      <w:pPr>
        <w:ind w:left="3600" w:hanging="180"/>
      </w:pPr>
    </w:lvl>
    <w:lvl w:ilvl="6" w:tplc="240A000F" w:tentative="1">
      <w:start w:val="1"/>
      <w:numFmt w:val="decimal"/>
      <w:lvlText w:val="%7."/>
      <w:lvlJc w:val="left"/>
      <w:pPr>
        <w:ind w:left="4320" w:hanging="360"/>
      </w:pPr>
    </w:lvl>
    <w:lvl w:ilvl="7" w:tplc="240A0019" w:tentative="1">
      <w:start w:val="1"/>
      <w:numFmt w:val="lowerLetter"/>
      <w:lvlText w:val="%8."/>
      <w:lvlJc w:val="left"/>
      <w:pPr>
        <w:ind w:left="5040" w:hanging="360"/>
      </w:pPr>
    </w:lvl>
    <w:lvl w:ilvl="8" w:tplc="240A001B" w:tentative="1">
      <w:start w:val="1"/>
      <w:numFmt w:val="lowerRoman"/>
      <w:lvlText w:val="%9."/>
      <w:lvlJc w:val="right"/>
      <w:pPr>
        <w:ind w:left="5760" w:hanging="180"/>
      </w:pPr>
    </w:lvl>
  </w:abstractNum>
  <w:abstractNum w:abstractNumId="2" w15:restartNumberingAfterBreak="0">
    <w:nsid w:val="1452372E"/>
    <w:multiLevelType w:val="hybridMultilevel"/>
    <w:tmpl w:val="0F06A9E8"/>
    <w:lvl w:ilvl="0" w:tplc="1102BF72">
      <w:numFmt w:val="bullet"/>
      <w:lvlText w:val="-"/>
      <w:lvlJc w:val="left"/>
      <w:pPr>
        <w:ind w:left="720" w:hanging="360"/>
      </w:pPr>
      <w:rPr>
        <w:rFonts w:ascii="Verdana" w:eastAsia="Calibri" w:hAnsi="Verdana" w:cs="Arial" w:hint="default"/>
        <w:b/>
        <w: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89E1039"/>
    <w:multiLevelType w:val="multilevel"/>
    <w:tmpl w:val="2FE61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AC1A92"/>
    <w:multiLevelType w:val="hybridMultilevel"/>
    <w:tmpl w:val="FF7A982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EF251CC"/>
    <w:multiLevelType w:val="hybridMultilevel"/>
    <w:tmpl w:val="78305E6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F7E6220"/>
    <w:multiLevelType w:val="hybridMultilevel"/>
    <w:tmpl w:val="65306754"/>
    <w:lvl w:ilvl="0" w:tplc="04090001">
      <w:start w:val="1"/>
      <w:numFmt w:val="bullet"/>
      <w:lvlText w:val=""/>
      <w:lvlJc w:val="left"/>
      <w:pPr>
        <w:ind w:left="857" w:hanging="360"/>
      </w:pPr>
      <w:rPr>
        <w:rFonts w:ascii="Symbol" w:hAnsi="Symbol" w:hint="default"/>
      </w:rPr>
    </w:lvl>
    <w:lvl w:ilvl="1" w:tplc="240A0003" w:tentative="1">
      <w:start w:val="1"/>
      <w:numFmt w:val="bullet"/>
      <w:lvlText w:val="o"/>
      <w:lvlJc w:val="left"/>
      <w:pPr>
        <w:ind w:left="1577" w:hanging="360"/>
      </w:pPr>
      <w:rPr>
        <w:rFonts w:ascii="Courier New" w:hAnsi="Courier New" w:cs="Courier New" w:hint="default"/>
      </w:rPr>
    </w:lvl>
    <w:lvl w:ilvl="2" w:tplc="240A0005" w:tentative="1">
      <w:start w:val="1"/>
      <w:numFmt w:val="bullet"/>
      <w:lvlText w:val=""/>
      <w:lvlJc w:val="left"/>
      <w:pPr>
        <w:ind w:left="2297" w:hanging="360"/>
      </w:pPr>
      <w:rPr>
        <w:rFonts w:ascii="Wingdings" w:hAnsi="Wingdings" w:hint="default"/>
      </w:rPr>
    </w:lvl>
    <w:lvl w:ilvl="3" w:tplc="240A0001" w:tentative="1">
      <w:start w:val="1"/>
      <w:numFmt w:val="bullet"/>
      <w:lvlText w:val=""/>
      <w:lvlJc w:val="left"/>
      <w:pPr>
        <w:ind w:left="3017" w:hanging="360"/>
      </w:pPr>
      <w:rPr>
        <w:rFonts w:ascii="Symbol" w:hAnsi="Symbol" w:hint="default"/>
      </w:rPr>
    </w:lvl>
    <w:lvl w:ilvl="4" w:tplc="240A0003" w:tentative="1">
      <w:start w:val="1"/>
      <w:numFmt w:val="bullet"/>
      <w:lvlText w:val="o"/>
      <w:lvlJc w:val="left"/>
      <w:pPr>
        <w:ind w:left="3737" w:hanging="360"/>
      </w:pPr>
      <w:rPr>
        <w:rFonts w:ascii="Courier New" w:hAnsi="Courier New" w:cs="Courier New" w:hint="default"/>
      </w:rPr>
    </w:lvl>
    <w:lvl w:ilvl="5" w:tplc="240A0005" w:tentative="1">
      <w:start w:val="1"/>
      <w:numFmt w:val="bullet"/>
      <w:lvlText w:val=""/>
      <w:lvlJc w:val="left"/>
      <w:pPr>
        <w:ind w:left="4457" w:hanging="360"/>
      </w:pPr>
      <w:rPr>
        <w:rFonts w:ascii="Wingdings" w:hAnsi="Wingdings" w:hint="default"/>
      </w:rPr>
    </w:lvl>
    <w:lvl w:ilvl="6" w:tplc="240A0001" w:tentative="1">
      <w:start w:val="1"/>
      <w:numFmt w:val="bullet"/>
      <w:lvlText w:val=""/>
      <w:lvlJc w:val="left"/>
      <w:pPr>
        <w:ind w:left="5177" w:hanging="360"/>
      </w:pPr>
      <w:rPr>
        <w:rFonts w:ascii="Symbol" w:hAnsi="Symbol" w:hint="default"/>
      </w:rPr>
    </w:lvl>
    <w:lvl w:ilvl="7" w:tplc="240A0003" w:tentative="1">
      <w:start w:val="1"/>
      <w:numFmt w:val="bullet"/>
      <w:lvlText w:val="o"/>
      <w:lvlJc w:val="left"/>
      <w:pPr>
        <w:ind w:left="5897" w:hanging="360"/>
      </w:pPr>
      <w:rPr>
        <w:rFonts w:ascii="Courier New" w:hAnsi="Courier New" w:cs="Courier New" w:hint="default"/>
      </w:rPr>
    </w:lvl>
    <w:lvl w:ilvl="8" w:tplc="240A0005" w:tentative="1">
      <w:start w:val="1"/>
      <w:numFmt w:val="bullet"/>
      <w:lvlText w:val=""/>
      <w:lvlJc w:val="left"/>
      <w:pPr>
        <w:ind w:left="6617" w:hanging="360"/>
      </w:pPr>
      <w:rPr>
        <w:rFonts w:ascii="Wingdings" w:hAnsi="Wingdings" w:hint="default"/>
      </w:rPr>
    </w:lvl>
  </w:abstractNum>
  <w:abstractNum w:abstractNumId="7" w15:restartNumberingAfterBreak="0">
    <w:nsid w:val="20D079B8"/>
    <w:multiLevelType w:val="hybridMultilevel"/>
    <w:tmpl w:val="944004C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073FC3"/>
    <w:multiLevelType w:val="hybridMultilevel"/>
    <w:tmpl w:val="A5F64A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AC74C04"/>
    <w:multiLevelType w:val="hybridMultilevel"/>
    <w:tmpl w:val="0F8A8304"/>
    <w:lvl w:ilvl="0" w:tplc="240A0001">
      <w:start w:val="1"/>
      <w:numFmt w:val="bullet"/>
      <w:lvlText w:val=""/>
      <w:lvlJc w:val="left"/>
      <w:pPr>
        <w:ind w:left="789" w:hanging="360"/>
      </w:pPr>
      <w:rPr>
        <w:rFonts w:ascii="Symbol" w:hAnsi="Symbol" w:hint="default"/>
      </w:rPr>
    </w:lvl>
    <w:lvl w:ilvl="1" w:tplc="240A0003" w:tentative="1">
      <w:start w:val="1"/>
      <w:numFmt w:val="bullet"/>
      <w:lvlText w:val="o"/>
      <w:lvlJc w:val="left"/>
      <w:pPr>
        <w:ind w:left="1509" w:hanging="360"/>
      </w:pPr>
      <w:rPr>
        <w:rFonts w:ascii="Courier New" w:hAnsi="Courier New" w:cs="Courier New" w:hint="default"/>
      </w:rPr>
    </w:lvl>
    <w:lvl w:ilvl="2" w:tplc="240A0005" w:tentative="1">
      <w:start w:val="1"/>
      <w:numFmt w:val="bullet"/>
      <w:lvlText w:val=""/>
      <w:lvlJc w:val="left"/>
      <w:pPr>
        <w:ind w:left="2229" w:hanging="360"/>
      </w:pPr>
      <w:rPr>
        <w:rFonts w:ascii="Wingdings" w:hAnsi="Wingdings" w:hint="default"/>
      </w:rPr>
    </w:lvl>
    <w:lvl w:ilvl="3" w:tplc="240A0001" w:tentative="1">
      <w:start w:val="1"/>
      <w:numFmt w:val="bullet"/>
      <w:lvlText w:val=""/>
      <w:lvlJc w:val="left"/>
      <w:pPr>
        <w:ind w:left="2949" w:hanging="360"/>
      </w:pPr>
      <w:rPr>
        <w:rFonts w:ascii="Symbol" w:hAnsi="Symbol" w:hint="default"/>
      </w:rPr>
    </w:lvl>
    <w:lvl w:ilvl="4" w:tplc="240A0003" w:tentative="1">
      <w:start w:val="1"/>
      <w:numFmt w:val="bullet"/>
      <w:lvlText w:val="o"/>
      <w:lvlJc w:val="left"/>
      <w:pPr>
        <w:ind w:left="3669" w:hanging="360"/>
      </w:pPr>
      <w:rPr>
        <w:rFonts w:ascii="Courier New" w:hAnsi="Courier New" w:cs="Courier New" w:hint="default"/>
      </w:rPr>
    </w:lvl>
    <w:lvl w:ilvl="5" w:tplc="240A0005" w:tentative="1">
      <w:start w:val="1"/>
      <w:numFmt w:val="bullet"/>
      <w:lvlText w:val=""/>
      <w:lvlJc w:val="left"/>
      <w:pPr>
        <w:ind w:left="4389" w:hanging="360"/>
      </w:pPr>
      <w:rPr>
        <w:rFonts w:ascii="Wingdings" w:hAnsi="Wingdings" w:hint="default"/>
      </w:rPr>
    </w:lvl>
    <w:lvl w:ilvl="6" w:tplc="240A0001" w:tentative="1">
      <w:start w:val="1"/>
      <w:numFmt w:val="bullet"/>
      <w:lvlText w:val=""/>
      <w:lvlJc w:val="left"/>
      <w:pPr>
        <w:ind w:left="5109" w:hanging="360"/>
      </w:pPr>
      <w:rPr>
        <w:rFonts w:ascii="Symbol" w:hAnsi="Symbol" w:hint="default"/>
      </w:rPr>
    </w:lvl>
    <w:lvl w:ilvl="7" w:tplc="240A0003" w:tentative="1">
      <w:start w:val="1"/>
      <w:numFmt w:val="bullet"/>
      <w:lvlText w:val="o"/>
      <w:lvlJc w:val="left"/>
      <w:pPr>
        <w:ind w:left="5829" w:hanging="360"/>
      </w:pPr>
      <w:rPr>
        <w:rFonts w:ascii="Courier New" w:hAnsi="Courier New" w:cs="Courier New" w:hint="default"/>
      </w:rPr>
    </w:lvl>
    <w:lvl w:ilvl="8" w:tplc="240A0005" w:tentative="1">
      <w:start w:val="1"/>
      <w:numFmt w:val="bullet"/>
      <w:lvlText w:val=""/>
      <w:lvlJc w:val="left"/>
      <w:pPr>
        <w:ind w:left="6549" w:hanging="360"/>
      </w:pPr>
      <w:rPr>
        <w:rFonts w:ascii="Wingdings" w:hAnsi="Wingdings" w:hint="default"/>
      </w:rPr>
    </w:lvl>
  </w:abstractNum>
  <w:abstractNum w:abstractNumId="10"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34282896"/>
    <w:multiLevelType w:val="hybridMultilevel"/>
    <w:tmpl w:val="7D9C26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35774DF8"/>
    <w:multiLevelType w:val="hybridMultilevel"/>
    <w:tmpl w:val="328439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9610401"/>
    <w:multiLevelType w:val="hybridMultilevel"/>
    <w:tmpl w:val="B8A28CDC"/>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55216FA"/>
    <w:multiLevelType w:val="hybridMultilevel"/>
    <w:tmpl w:val="D6448AC4"/>
    <w:lvl w:ilvl="0" w:tplc="1A14D1A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67E0F56"/>
    <w:multiLevelType w:val="hybridMultilevel"/>
    <w:tmpl w:val="08CE473C"/>
    <w:lvl w:ilvl="0" w:tplc="95EC109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46FE37F1"/>
    <w:multiLevelType w:val="multilevel"/>
    <w:tmpl w:val="CC5EB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8E6366"/>
    <w:multiLevelType w:val="multilevel"/>
    <w:tmpl w:val="70666F1E"/>
    <w:lvl w:ilvl="0">
      <w:start w:val="1"/>
      <w:numFmt w:val="decimal"/>
      <w:lvlText w:val="%1"/>
      <w:lvlJc w:val="left"/>
      <w:pPr>
        <w:ind w:left="360" w:hanging="360"/>
      </w:pPr>
      <w:rPr>
        <w:rFonts w:hint="default"/>
      </w:rPr>
    </w:lvl>
    <w:lvl w:ilvl="1">
      <w:start w:val="1"/>
      <w:numFmt w:val="decimal"/>
      <w:pStyle w:val="Ttulo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AD3C85"/>
    <w:multiLevelType w:val="hybridMultilevel"/>
    <w:tmpl w:val="A8C4E0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E9A26CF"/>
    <w:multiLevelType w:val="hybridMultilevel"/>
    <w:tmpl w:val="3FF02FC8"/>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20" w15:restartNumberingAfterBreak="0">
    <w:nsid w:val="50DA7C35"/>
    <w:multiLevelType w:val="hybridMultilevel"/>
    <w:tmpl w:val="42D433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7C85BAD"/>
    <w:multiLevelType w:val="multilevel"/>
    <w:tmpl w:val="92DA6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2201DC"/>
    <w:multiLevelType w:val="hybridMultilevel"/>
    <w:tmpl w:val="1C042C52"/>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CBC6B15"/>
    <w:multiLevelType w:val="hybridMultilevel"/>
    <w:tmpl w:val="9D46224E"/>
    <w:lvl w:ilvl="0" w:tplc="9380F7F6">
      <w:start w:val="1"/>
      <w:numFmt w:val="upperLetter"/>
      <w:lvlText w:val="%1."/>
      <w:lvlJc w:val="left"/>
      <w:pPr>
        <w:ind w:left="473" w:hanging="360"/>
      </w:pPr>
      <w:rPr>
        <w:rFonts w:hint="default"/>
        <w:b/>
        <w:bCs/>
        <w:spacing w:val="0"/>
        <w:w w:val="100"/>
        <w:sz w:val="22"/>
        <w:szCs w:val="22"/>
        <w:lang w:val="es-ES" w:eastAsia="en-US" w:bidi="ar-SA"/>
      </w:rPr>
    </w:lvl>
    <w:lvl w:ilvl="1" w:tplc="FFFFFFFF">
      <w:numFmt w:val="bullet"/>
      <w:lvlText w:val="•"/>
      <w:lvlJc w:val="left"/>
      <w:pPr>
        <w:ind w:left="1452" w:hanging="360"/>
      </w:pPr>
      <w:rPr>
        <w:lang w:val="es-ES" w:eastAsia="en-US" w:bidi="ar-SA"/>
      </w:rPr>
    </w:lvl>
    <w:lvl w:ilvl="2" w:tplc="FFFFFFFF">
      <w:numFmt w:val="bullet"/>
      <w:lvlText w:val="•"/>
      <w:lvlJc w:val="left"/>
      <w:pPr>
        <w:ind w:left="2424" w:hanging="360"/>
      </w:pPr>
      <w:rPr>
        <w:lang w:val="es-ES" w:eastAsia="en-US" w:bidi="ar-SA"/>
      </w:rPr>
    </w:lvl>
    <w:lvl w:ilvl="3" w:tplc="FFFFFFFF">
      <w:numFmt w:val="bullet"/>
      <w:lvlText w:val="•"/>
      <w:lvlJc w:val="left"/>
      <w:pPr>
        <w:ind w:left="3396" w:hanging="360"/>
      </w:pPr>
      <w:rPr>
        <w:lang w:val="es-ES" w:eastAsia="en-US" w:bidi="ar-SA"/>
      </w:rPr>
    </w:lvl>
    <w:lvl w:ilvl="4" w:tplc="FFFFFFFF">
      <w:numFmt w:val="bullet"/>
      <w:lvlText w:val="•"/>
      <w:lvlJc w:val="left"/>
      <w:pPr>
        <w:ind w:left="4368" w:hanging="360"/>
      </w:pPr>
      <w:rPr>
        <w:lang w:val="es-ES" w:eastAsia="en-US" w:bidi="ar-SA"/>
      </w:rPr>
    </w:lvl>
    <w:lvl w:ilvl="5" w:tplc="FFFFFFFF">
      <w:numFmt w:val="bullet"/>
      <w:lvlText w:val="•"/>
      <w:lvlJc w:val="left"/>
      <w:pPr>
        <w:ind w:left="5340" w:hanging="360"/>
      </w:pPr>
      <w:rPr>
        <w:lang w:val="es-ES" w:eastAsia="en-US" w:bidi="ar-SA"/>
      </w:rPr>
    </w:lvl>
    <w:lvl w:ilvl="6" w:tplc="FFFFFFFF">
      <w:numFmt w:val="bullet"/>
      <w:lvlText w:val="•"/>
      <w:lvlJc w:val="left"/>
      <w:pPr>
        <w:ind w:left="6312" w:hanging="360"/>
      </w:pPr>
      <w:rPr>
        <w:lang w:val="es-ES" w:eastAsia="en-US" w:bidi="ar-SA"/>
      </w:rPr>
    </w:lvl>
    <w:lvl w:ilvl="7" w:tplc="FFFFFFFF">
      <w:numFmt w:val="bullet"/>
      <w:lvlText w:val="•"/>
      <w:lvlJc w:val="left"/>
      <w:pPr>
        <w:ind w:left="7284" w:hanging="360"/>
      </w:pPr>
      <w:rPr>
        <w:lang w:val="es-ES" w:eastAsia="en-US" w:bidi="ar-SA"/>
      </w:rPr>
    </w:lvl>
    <w:lvl w:ilvl="8" w:tplc="FFFFFFFF">
      <w:numFmt w:val="bullet"/>
      <w:lvlText w:val="•"/>
      <w:lvlJc w:val="left"/>
      <w:pPr>
        <w:ind w:left="8256" w:hanging="360"/>
      </w:pPr>
      <w:rPr>
        <w:lang w:val="es-ES" w:eastAsia="en-US" w:bidi="ar-SA"/>
      </w:rPr>
    </w:lvl>
  </w:abstractNum>
  <w:abstractNum w:abstractNumId="24" w15:restartNumberingAfterBreak="0">
    <w:nsid w:val="5D857CAE"/>
    <w:multiLevelType w:val="multilevel"/>
    <w:tmpl w:val="C8AC2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7265E57"/>
    <w:multiLevelType w:val="hybridMultilevel"/>
    <w:tmpl w:val="715C4560"/>
    <w:lvl w:ilvl="0" w:tplc="CA92F0F0">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7E228EE"/>
    <w:multiLevelType w:val="hybridMultilevel"/>
    <w:tmpl w:val="BE601DBE"/>
    <w:lvl w:ilvl="0" w:tplc="240A0015">
      <w:start w:val="3"/>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9E83307"/>
    <w:multiLevelType w:val="hybridMultilevel"/>
    <w:tmpl w:val="AEB4A1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DD27382"/>
    <w:multiLevelType w:val="hybridMultilevel"/>
    <w:tmpl w:val="4976BF80"/>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29" w15:restartNumberingAfterBreak="0">
    <w:nsid w:val="6F5322FF"/>
    <w:multiLevelType w:val="hybridMultilevel"/>
    <w:tmpl w:val="071ABF9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6F881239"/>
    <w:multiLevelType w:val="hybridMultilevel"/>
    <w:tmpl w:val="8F04159C"/>
    <w:lvl w:ilvl="0" w:tplc="59C0AA66">
      <w:start w:val="1"/>
      <w:numFmt w:val="decimal"/>
      <w:lvlText w:val="%1."/>
      <w:lvlJc w:val="left"/>
      <w:pPr>
        <w:ind w:left="473" w:hanging="360"/>
      </w:pPr>
      <w:rPr>
        <w:rFonts w:ascii="Arial MT" w:eastAsia="Arial MT" w:hAnsi="Arial MT" w:cs="Arial MT" w:hint="default"/>
        <w:spacing w:val="0"/>
        <w:w w:val="100"/>
        <w:sz w:val="22"/>
        <w:szCs w:val="22"/>
        <w:lang w:val="es-ES" w:eastAsia="en-US" w:bidi="ar-SA"/>
      </w:rPr>
    </w:lvl>
    <w:lvl w:ilvl="1" w:tplc="7A4AF2EC">
      <w:numFmt w:val="bullet"/>
      <w:lvlText w:val="•"/>
      <w:lvlJc w:val="left"/>
      <w:pPr>
        <w:ind w:left="1452" w:hanging="360"/>
      </w:pPr>
      <w:rPr>
        <w:lang w:val="es-ES" w:eastAsia="en-US" w:bidi="ar-SA"/>
      </w:rPr>
    </w:lvl>
    <w:lvl w:ilvl="2" w:tplc="05B080FA">
      <w:numFmt w:val="bullet"/>
      <w:lvlText w:val="•"/>
      <w:lvlJc w:val="left"/>
      <w:pPr>
        <w:ind w:left="2424" w:hanging="360"/>
      </w:pPr>
      <w:rPr>
        <w:lang w:val="es-ES" w:eastAsia="en-US" w:bidi="ar-SA"/>
      </w:rPr>
    </w:lvl>
    <w:lvl w:ilvl="3" w:tplc="6266479A">
      <w:numFmt w:val="bullet"/>
      <w:lvlText w:val="•"/>
      <w:lvlJc w:val="left"/>
      <w:pPr>
        <w:ind w:left="3396" w:hanging="360"/>
      </w:pPr>
      <w:rPr>
        <w:lang w:val="es-ES" w:eastAsia="en-US" w:bidi="ar-SA"/>
      </w:rPr>
    </w:lvl>
    <w:lvl w:ilvl="4" w:tplc="2F820592">
      <w:numFmt w:val="bullet"/>
      <w:lvlText w:val="•"/>
      <w:lvlJc w:val="left"/>
      <w:pPr>
        <w:ind w:left="4368" w:hanging="360"/>
      </w:pPr>
      <w:rPr>
        <w:lang w:val="es-ES" w:eastAsia="en-US" w:bidi="ar-SA"/>
      </w:rPr>
    </w:lvl>
    <w:lvl w:ilvl="5" w:tplc="F768DBD6">
      <w:numFmt w:val="bullet"/>
      <w:lvlText w:val="•"/>
      <w:lvlJc w:val="left"/>
      <w:pPr>
        <w:ind w:left="5340" w:hanging="360"/>
      </w:pPr>
      <w:rPr>
        <w:lang w:val="es-ES" w:eastAsia="en-US" w:bidi="ar-SA"/>
      </w:rPr>
    </w:lvl>
    <w:lvl w:ilvl="6" w:tplc="654C696C">
      <w:numFmt w:val="bullet"/>
      <w:lvlText w:val="•"/>
      <w:lvlJc w:val="left"/>
      <w:pPr>
        <w:ind w:left="6312" w:hanging="360"/>
      </w:pPr>
      <w:rPr>
        <w:lang w:val="es-ES" w:eastAsia="en-US" w:bidi="ar-SA"/>
      </w:rPr>
    </w:lvl>
    <w:lvl w:ilvl="7" w:tplc="E0885A2E">
      <w:numFmt w:val="bullet"/>
      <w:lvlText w:val="•"/>
      <w:lvlJc w:val="left"/>
      <w:pPr>
        <w:ind w:left="7284" w:hanging="360"/>
      </w:pPr>
      <w:rPr>
        <w:lang w:val="es-ES" w:eastAsia="en-US" w:bidi="ar-SA"/>
      </w:rPr>
    </w:lvl>
    <w:lvl w:ilvl="8" w:tplc="FBBE502A">
      <w:numFmt w:val="bullet"/>
      <w:lvlText w:val="•"/>
      <w:lvlJc w:val="left"/>
      <w:pPr>
        <w:ind w:left="8256" w:hanging="360"/>
      </w:pPr>
      <w:rPr>
        <w:lang w:val="es-ES" w:eastAsia="en-US" w:bidi="ar-SA"/>
      </w:rPr>
    </w:lvl>
  </w:abstractNum>
  <w:abstractNum w:abstractNumId="31" w15:restartNumberingAfterBreak="0">
    <w:nsid w:val="73205282"/>
    <w:multiLevelType w:val="hybridMultilevel"/>
    <w:tmpl w:val="158CE942"/>
    <w:lvl w:ilvl="0" w:tplc="D4A4209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7C1D22"/>
    <w:multiLevelType w:val="hybridMultilevel"/>
    <w:tmpl w:val="248EA052"/>
    <w:lvl w:ilvl="0" w:tplc="E8DE43C8">
      <w:start w:val="1"/>
      <w:numFmt w:val="upperLetter"/>
      <w:lvlText w:val="%1."/>
      <w:lvlJc w:val="left"/>
      <w:pPr>
        <w:ind w:left="1211" w:hanging="360"/>
      </w:pPr>
      <w:rPr>
        <w:rFonts w:hint="default"/>
        <w:b/>
        <w:bCs/>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num w:numId="1" w16cid:durableId="1694918597">
    <w:abstractNumId w:val="28"/>
  </w:num>
  <w:num w:numId="2" w16cid:durableId="763842437">
    <w:abstractNumId w:val="19"/>
  </w:num>
  <w:num w:numId="3" w16cid:durableId="1439832563">
    <w:abstractNumId w:val="2"/>
  </w:num>
  <w:num w:numId="4" w16cid:durableId="1059668609">
    <w:abstractNumId w:val="13"/>
  </w:num>
  <w:num w:numId="5" w16cid:durableId="374741736">
    <w:abstractNumId w:val="22"/>
  </w:num>
  <w:num w:numId="6" w16cid:durableId="1584417010">
    <w:abstractNumId w:val="6"/>
  </w:num>
  <w:num w:numId="7" w16cid:durableId="715200396">
    <w:abstractNumId w:val="10"/>
  </w:num>
  <w:num w:numId="8" w16cid:durableId="216936916">
    <w:abstractNumId w:val="5"/>
  </w:num>
  <w:num w:numId="9" w16cid:durableId="1199665710">
    <w:abstractNumId w:val="11"/>
  </w:num>
  <w:num w:numId="10" w16cid:durableId="730613992">
    <w:abstractNumId w:val="12"/>
  </w:num>
  <w:num w:numId="11" w16cid:durableId="831533022">
    <w:abstractNumId w:val="17"/>
  </w:num>
  <w:num w:numId="12" w16cid:durableId="539560181">
    <w:abstractNumId w:val="1"/>
  </w:num>
  <w:num w:numId="13" w16cid:durableId="1623416798">
    <w:abstractNumId w:val="29"/>
  </w:num>
  <w:num w:numId="14" w16cid:durableId="69423545">
    <w:abstractNumId w:val="0"/>
  </w:num>
  <w:num w:numId="15" w16cid:durableId="16031429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1090974">
    <w:abstractNumId w:val="16"/>
  </w:num>
  <w:num w:numId="17" w16cid:durableId="1546790246">
    <w:abstractNumId w:val="27"/>
  </w:num>
  <w:num w:numId="18" w16cid:durableId="4942167">
    <w:abstractNumId w:val="18"/>
  </w:num>
  <w:num w:numId="19" w16cid:durableId="1954434464">
    <w:abstractNumId w:val="9"/>
  </w:num>
  <w:num w:numId="20" w16cid:durableId="890194050">
    <w:abstractNumId w:val="30"/>
    <w:lvlOverride w:ilvl="0">
      <w:startOverride w:val="1"/>
    </w:lvlOverride>
    <w:lvlOverride w:ilvl="1"/>
    <w:lvlOverride w:ilvl="2"/>
    <w:lvlOverride w:ilvl="3"/>
    <w:lvlOverride w:ilvl="4"/>
    <w:lvlOverride w:ilvl="5"/>
    <w:lvlOverride w:ilvl="6"/>
    <w:lvlOverride w:ilvl="7"/>
    <w:lvlOverride w:ilvl="8"/>
  </w:num>
  <w:num w:numId="21" w16cid:durableId="1868832397">
    <w:abstractNumId w:val="20"/>
  </w:num>
  <w:num w:numId="22" w16cid:durableId="785083893">
    <w:abstractNumId w:val="15"/>
  </w:num>
  <w:num w:numId="23" w16cid:durableId="1072585612">
    <w:abstractNumId w:val="25"/>
  </w:num>
  <w:num w:numId="24" w16cid:durableId="1367216679">
    <w:abstractNumId w:val="8"/>
  </w:num>
  <w:num w:numId="25" w16cid:durableId="804010837">
    <w:abstractNumId w:val="31"/>
  </w:num>
  <w:num w:numId="26" w16cid:durableId="624852416">
    <w:abstractNumId w:val="30"/>
  </w:num>
  <w:num w:numId="27" w16cid:durableId="1636834604">
    <w:abstractNumId w:val="23"/>
  </w:num>
  <w:num w:numId="28" w16cid:durableId="1262375264">
    <w:abstractNumId w:val="7"/>
  </w:num>
  <w:num w:numId="29" w16cid:durableId="732044891">
    <w:abstractNumId w:val="14"/>
  </w:num>
  <w:num w:numId="30" w16cid:durableId="1271935376">
    <w:abstractNumId w:val="32"/>
  </w:num>
  <w:num w:numId="31" w16cid:durableId="2005623706">
    <w:abstractNumId w:val="26"/>
  </w:num>
  <w:num w:numId="32" w16cid:durableId="1390955188">
    <w:abstractNumId w:val="4"/>
  </w:num>
  <w:num w:numId="33" w16cid:durableId="397872337">
    <w:abstractNumId w:val="3"/>
  </w:num>
  <w:num w:numId="34" w16cid:durableId="18042768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2163"/>
    <w:rsid w:val="0000300E"/>
    <w:rsid w:val="00003039"/>
    <w:rsid w:val="000036F4"/>
    <w:rsid w:val="00003BC5"/>
    <w:rsid w:val="000042EE"/>
    <w:rsid w:val="000056F5"/>
    <w:rsid w:val="00007DAC"/>
    <w:rsid w:val="00010AF4"/>
    <w:rsid w:val="00012ED2"/>
    <w:rsid w:val="00015A3A"/>
    <w:rsid w:val="00015E0C"/>
    <w:rsid w:val="000160BC"/>
    <w:rsid w:val="000175CC"/>
    <w:rsid w:val="00017871"/>
    <w:rsid w:val="0002014A"/>
    <w:rsid w:val="00020CA7"/>
    <w:rsid w:val="000221DE"/>
    <w:rsid w:val="00022511"/>
    <w:rsid w:val="00022591"/>
    <w:rsid w:val="00023AE2"/>
    <w:rsid w:val="0003016E"/>
    <w:rsid w:val="00033A40"/>
    <w:rsid w:val="0003682A"/>
    <w:rsid w:val="000371BE"/>
    <w:rsid w:val="0003799B"/>
    <w:rsid w:val="00037AA3"/>
    <w:rsid w:val="000403B9"/>
    <w:rsid w:val="00040F52"/>
    <w:rsid w:val="000417C2"/>
    <w:rsid w:val="00041D6F"/>
    <w:rsid w:val="000424B0"/>
    <w:rsid w:val="000439F0"/>
    <w:rsid w:val="00043C16"/>
    <w:rsid w:val="00043D88"/>
    <w:rsid w:val="0004538D"/>
    <w:rsid w:val="0004583C"/>
    <w:rsid w:val="00045B75"/>
    <w:rsid w:val="000466A6"/>
    <w:rsid w:val="00047CB3"/>
    <w:rsid w:val="00052023"/>
    <w:rsid w:val="00053350"/>
    <w:rsid w:val="00053AAF"/>
    <w:rsid w:val="00055669"/>
    <w:rsid w:val="0005575F"/>
    <w:rsid w:val="00055907"/>
    <w:rsid w:val="0005691D"/>
    <w:rsid w:val="00056CD1"/>
    <w:rsid w:val="00056D5C"/>
    <w:rsid w:val="000603CD"/>
    <w:rsid w:val="00061157"/>
    <w:rsid w:val="00061599"/>
    <w:rsid w:val="00061C2C"/>
    <w:rsid w:val="00062060"/>
    <w:rsid w:val="00063268"/>
    <w:rsid w:val="00064E51"/>
    <w:rsid w:val="000652B3"/>
    <w:rsid w:val="00065427"/>
    <w:rsid w:val="00065C2C"/>
    <w:rsid w:val="00066CDD"/>
    <w:rsid w:val="00072E5F"/>
    <w:rsid w:val="000730B4"/>
    <w:rsid w:val="000755AA"/>
    <w:rsid w:val="000762C7"/>
    <w:rsid w:val="00076D64"/>
    <w:rsid w:val="0008101B"/>
    <w:rsid w:val="0008395A"/>
    <w:rsid w:val="00084D97"/>
    <w:rsid w:val="00086583"/>
    <w:rsid w:val="0008669F"/>
    <w:rsid w:val="00090641"/>
    <w:rsid w:val="0009096A"/>
    <w:rsid w:val="000944EF"/>
    <w:rsid w:val="0009527D"/>
    <w:rsid w:val="000972DC"/>
    <w:rsid w:val="000A0479"/>
    <w:rsid w:val="000A0669"/>
    <w:rsid w:val="000A545A"/>
    <w:rsid w:val="000A6EC4"/>
    <w:rsid w:val="000B034F"/>
    <w:rsid w:val="000B0B2D"/>
    <w:rsid w:val="000B1C70"/>
    <w:rsid w:val="000B1E33"/>
    <w:rsid w:val="000B7438"/>
    <w:rsid w:val="000B7969"/>
    <w:rsid w:val="000C131F"/>
    <w:rsid w:val="000C1416"/>
    <w:rsid w:val="000C33DF"/>
    <w:rsid w:val="000C3BFF"/>
    <w:rsid w:val="000C3EA3"/>
    <w:rsid w:val="000C4671"/>
    <w:rsid w:val="000C5179"/>
    <w:rsid w:val="000C772A"/>
    <w:rsid w:val="000C78F8"/>
    <w:rsid w:val="000D1A65"/>
    <w:rsid w:val="000D26D7"/>
    <w:rsid w:val="000D3184"/>
    <w:rsid w:val="000D3A3D"/>
    <w:rsid w:val="000D5FB6"/>
    <w:rsid w:val="000E55BA"/>
    <w:rsid w:val="000F04F5"/>
    <w:rsid w:val="000F117F"/>
    <w:rsid w:val="000F1682"/>
    <w:rsid w:val="000F1E57"/>
    <w:rsid w:val="000F531B"/>
    <w:rsid w:val="000F5F37"/>
    <w:rsid w:val="000F721A"/>
    <w:rsid w:val="00100206"/>
    <w:rsid w:val="001003B8"/>
    <w:rsid w:val="001014E5"/>
    <w:rsid w:val="001021C4"/>
    <w:rsid w:val="00102D41"/>
    <w:rsid w:val="00104B57"/>
    <w:rsid w:val="0010534C"/>
    <w:rsid w:val="0010694F"/>
    <w:rsid w:val="001108CB"/>
    <w:rsid w:val="00111C48"/>
    <w:rsid w:val="00113A12"/>
    <w:rsid w:val="00113B3F"/>
    <w:rsid w:val="001162DC"/>
    <w:rsid w:val="00116BB0"/>
    <w:rsid w:val="00120FB1"/>
    <w:rsid w:val="00121534"/>
    <w:rsid w:val="00121970"/>
    <w:rsid w:val="00121D58"/>
    <w:rsid w:val="0012302A"/>
    <w:rsid w:val="00123A3F"/>
    <w:rsid w:val="001240FD"/>
    <w:rsid w:val="001241B1"/>
    <w:rsid w:val="001251D8"/>
    <w:rsid w:val="00125A13"/>
    <w:rsid w:val="00125DD9"/>
    <w:rsid w:val="0012658E"/>
    <w:rsid w:val="00127160"/>
    <w:rsid w:val="001276F8"/>
    <w:rsid w:val="00127AA5"/>
    <w:rsid w:val="00133FE8"/>
    <w:rsid w:val="0013767E"/>
    <w:rsid w:val="00137920"/>
    <w:rsid w:val="001420B5"/>
    <w:rsid w:val="00144DFE"/>
    <w:rsid w:val="0014737D"/>
    <w:rsid w:val="00152D93"/>
    <w:rsid w:val="00155245"/>
    <w:rsid w:val="001564C3"/>
    <w:rsid w:val="00156A2C"/>
    <w:rsid w:val="001570C4"/>
    <w:rsid w:val="00160160"/>
    <w:rsid w:val="00160E4B"/>
    <w:rsid w:val="00161C89"/>
    <w:rsid w:val="00161F72"/>
    <w:rsid w:val="001620C4"/>
    <w:rsid w:val="00164227"/>
    <w:rsid w:val="00164648"/>
    <w:rsid w:val="00165C3B"/>
    <w:rsid w:val="001718AA"/>
    <w:rsid w:val="00171BE6"/>
    <w:rsid w:val="00173887"/>
    <w:rsid w:val="00173986"/>
    <w:rsid w:val="00173E54"/>
    <w:rsid w:val="00174055"/>
    <w:rsid w:val="0017437F"/>
    <w:rsid w:val="001746B0"/>
    <w:rsid w:val="001815B9"/>
    <w:rsid w:val="001815FB"/>
    <w:rsid w:val="0018181C"/>
    <w:rsid w:val="0018297B"/>
    <w:rsid w:val="00183C85"/>
    <w:rsid w:val="0018479D"/>
    <w:rsid w:val="001863F8"/>
    <w:rsid w:val="00186505"/>
    <w:rsid w:val="001912EE"/>
    <w:rsid w:val="00197661"/>
    <w:rsid w:val="00197EB4"/>
    <w:rsid w:val="001A1069"/>
    <w:rsid w:val="001A1841"/>
    <w:rsid w:val="001A1B33"/>
    <w:rsid w:val="001A21A2"/>
    <w:rsid w:val="001A2A86"/>
    <w:rsid w:val="001A2ED9"/>
    <w:rsid w:val="001A367B"/>
    <w:rsid w:val="001A3D4E"/>
    <w:rsid w:val="001A5195"/>
    <w:rsid w:val="001A6713"/>
    <w:rsid w:val="001A6BF6"/>
    <w:rsid w:val="001A6EF8"/>
    <w:rsid w:val="001A7065"/>
    <w:rsid w:val="001A7D03"/>
    <w:rsid w:val="001A7F8A"/>
    <w:rsid w:val="001B156C"/>
    <w:rsid w:val="001B1A84"/>
    <w:rsid w:val="001B1E49"/>
    <w:rsid w:val="001B4521"/>
    <w:rsid w:val="001B5A3C"/>
    <w:rsid w:val="001B691F"/>
    <w:rsid w:val="001B6EF9"/>
    <w:rsid w:val="001C1CEA"/>
    <w:rsid w:val="001C242B"/>
    <w:rsid w:val="001C567D"/>
    <w:rsid w:val="001C71D5"/>
    <w:rsid w:val="001C73BC"/>
    <w:rsid w:val="001C7A7D"/>
    <w:rsid w:val="001D3215"/>
    <w:rsid w:val="001D37AC"/>
    <w:rsid w:val="001D49E6"/>
    <w:rsid w:val="001D5A64"/>
    <w:rsid w:val="001D7101"/>
    <w:rsid w:val="001D7AEA"/>
    <w:rsid w:val="001E194F"/>
    <w:rsid w:val="001E5DAD"/>
    <w:rsid w:val="001E6AF1"/>
    <w:rsid w:val="001F0458"/>
    <w:rsid w:val="001F1F60"/>
    <w:rsid w:val="001F24D5"/>
    <w:rsid w:val="001F4178"/>
    <w:rsid w:val="001F4927"/>
    <w:rsid w:val="001F560C"/>
    <w:rsid w:val="001F5D46"/>
    <w:rsid w:val="001F6633"/>
    <w:rsid w:val="001F7B22"/>
    <w:rsid w:val="00202105"/>
    <w:rsid w:val="002021E6"/>
    <w:rsid w:val="00202403"/>
    <w:rsid w:val="00203AD4"/>
    <w:rsid w:val="00206A63"/>
    <w:rsid w:val="00207A55"/>
    <w:rsid w:val="0021026A"/>
    <w:rsid w:val="0021102C"/>
    <w:rsid w:val="00211117"/>
    <w:rsid w:val="00214B0A"/>
    <w:rsid w:val="002156D5"/>
    <w:rsid w:val="00215A07"/>
    <w:rsid w:val="00216334"/>
    <w:rsid w:val="00220483"/>
    <w:rsid w:val="00220648"/>
    <w:rsid w:val="00220742"/>
    <w:rsid w:val="002217D9"/>
    <w:rsid w:val="00221DF7"/>
    <w:rsid w:val="002223A1"/>
    <w:rsid w:val="002224E6"/>
    <w:rsid w:val="00223E7E"/>
    <w:rsid w:val="00224CB3"/>
    <w:rsid w:val="00226670"/>
    <w:rsid w:val="00227FA5"/>
    <w:rsid w:val="002302D9"/>
    <w:rsid w:val="00230823"/>
    <w:rsid w:val="002322D8"/>
    <w:rsid w:val="0023242E"/>
    <w:rsid w:val="002340A3"/>
    <w:rsid w:val="00234509"/>
    <w:rsid w:val="002349FA"/>
    <w:rsid w:val="0023555A"/>
    <w:rsid w:val="00235787"/>
    <w:rsid w:val="002402FA"/>
    <w:rsid w:val="002405FA"/>
    <w:rsid w:val="002407D3"/>
    <w:rsid w:val="00240C58"/>
    <w:rsid w:val="00244195"/>
    <w:rsid w:val="00244ECD"/>
    <w:rsid w:val="00245EC7"/>
    <w:rsid w:val="0024618C"/>
    <w:rsid w:val="002502B4"/>
    <w:rsid w:val="00251B37"/>
    <w:rsid w:val="00252964"/>
    <w:rsid w:val="00253CAE"/>
    <w:rsid w:val="002544E0"/>
    <w:rsid w:val="00256B66"/>
    <w:rsid w:val="002573C4"/>
    <w:rsid w:val="00257931"/>
    <w:rsid w:val="00261996"/>
    <w:rsid w:val="00264F94"/>
    <w:rsid w:val="002659EB"/>
    <w:rsid w:val="00265EC9"/>
    <w:rsid w:val="00266FA4"/>
    <w:rsid w:val="0027290B"/>
    <w:rsid w:val="002731C8"/>
    <w:rsid w:val="00276BA5"/>
    <w:rsid w:val="00277F79"/>
    <w:rsid w:val="00280E13"/>
    <w:rsid w:val="0028107A"/>
    <w:rsid w:val="002814BC"/>
    <w:rsid w:val="00286426"/>
    <w:rsid w:val="00286E54"/>
    <w:rsid w:val="002900CC"/>
    <w:rsid w:val="002902A2"/>
    <w:rsid w:val="002913F4"/>
    <w:rsid w:val="00293199"/>
    <w:rsid w:val="00295053"/>
    <w:rsid w:val="002A3B04"/>
    <w:rsid w:val="002A4AF0"/>
    <w:rsid w:val="002A53B8"/>
    <w:rsid w:val="002A55DD"/>
    <w:rsid w:val="002A71BF"/>
    <w:rsid w:val="002B122E"/>
    <w:rsid w:val="002B22B3"/>
    <w:rsid w:val="002B2529"/>
    <w:rsid w:val="002B283D"/>
    <w:rsid w:val="002B5AC1"/>
    <w:rsid w:val="002B5BEE"/>
    <w:rsid w:val="002B7671"/>
    <w:rsid w:val="002B7757"/>
    <w:rsid w:val="002C0ABC"/>
    <w:rsid w:val="002C2B9D"/>
    <w:rsid w:val="002C2D4F"/>
    <w:rsid w:val="002C2F1D"/>
    <w:rsid w:val="002C3F08"/>
    <w:rsid w:val="002C6FA5"/>
    <w:rsid w:val="002C792B"/>
    <w:rsid w:val="002D1013"/>
    <w:rsid w:val="002D3BD3"/>
    <w:rsid w:val="002D3F96"/>
    <w:rsid w:val="002D758F"/>
    <w:rsid w:val="002D7B84"/>
    <w:rsid w:val="002E2E1D"/>
    <w:rsid w:val="002E347B"/>
    <w:rsid w:val="002E470D"/>
    <w:rsid w:val="002E4AC6"/>
    <w:rsid w:val="002E64A7"/>
    <w:rsid w:val="002E69D4"/>
    <w:rsid w:val="002F09DB"/>
    <w:rsid w:val="002F4C79"/>
    <w:rsid w:val="002F4DF1"/>
    <w:rsid w:val="002F73F4"/>
    <w:rsid w:val="002F7926"/>
    <w:rsid w:val="002F7FA8"/>
    <w:rsid w:val="00302D4D"/>
    <w:rsid w:val="0030425D"/>
    <w:rsid w:val="0030442B"/>
    <w:rsid w:val="0030442C"/>
    <w:rsid w:val="00304557"/>
    <w:rsid w:val="0030479E"/>
    <w:rsid w:val="003054BA"/>
    <w:rsid w:val="0030579E"/>
    <w:rsid w:val="00306DEC"/>
    <w:rsid w:val="003111EF"/>
    <w:rsid w:val="003140AA"/>
    <w:rsid w:val="0031419E"/>
    <w:rsid w:val="003145AC"/>
    <w:rsid w:val="0031603A"/>
    <w:rsid w:val="00317187"/>
    <w:rsid w:val="003179DB"/>
    <w:rsid w:val="003211F1"/>
    <w:rsid w:val="00321D8E"/>
    <w:rsid w:val="00323625"/>
    <w:rsid w:val="003240E5"/>
    <w:rsid w:val="00324731"/>
    <w:rsid w:val="003247DB"/>
    <w:rsid w:val="00327D29"/>
    <w:rsid w:val="00327E59"/>
    <w:rsid w:val="00332DE9"/>
    <w:rsid w:val="00334281"/>
    <w:rsid w:val="0033514A"/>
    <w:rsid w:val="00336917"/>
    <w:rsid w:val="00336CA1"/>
    <w:rsid w:val="003375A2"/>
    <w:rsid w:val="00341943"/>
    <w:rsid w:val="00347000"/>
    <w:rsid w:val="00350B3F"/>
    <w:rsid w:val="00350CFC"/>
    <w:rsid w:val="00351BA6"/>
    <w:rsid w:val="00352EEC"/>
    <w:rsid w:val="003542DE"/>
    <w:rsid w:val="00354853"/>
    <w:rsid w:val="003674DD"/>
    <w:rsid w:val="00371CB5"/>
    <w:rsid w:val="00373655"/>
    <w:rsid w:val="00376D02"/>
    <w:rsid w:val="003819F3"/>
    <w:rsid w:val="00382A87"/>
    <w:rsid w:val="003853D2"/>
    <w:rsid w:val="003857D1"/>
    <w:rsid w:val="00385BC5"/>
    <w:rsid w:val="00385D5D"/>
    <w:rsid w:val="0038750B"/>
    <w:rsid w:val="00390F8F"/>
    <w:rsid w:val="0039259D"/>
    <w:rsid w:val="00393267"/>
    <w:rsid w:val="003943EF"/>
    <w:rsid w:val="003963D2"/>
    <w:rsid w:val="003975C0"/>
    <w:rsid w:val="003A0516"/>
    <w:rsid w:val="003A2275"/>
    <w:rsid w:val="003A2928"/>
    <w:rsid w:val="003A2A68"/>
    <w:rsid w:val="003A496D"/>
    <w:rsid w:val="003A49AA"/>
    <w:rsid w:val="003A4CE0"/>
    <w:rsid w:val="003A5700"/>
    <w:rsid w:val="003A5B13"/>
    <w:rsid w:val="003A5C8B"/>
    <w:rsid w:val="003A6401"/>
    <w:rsid w:val="003A6707"/>
    <w:rsid w:val="003A793B"/>
    <w:rsid w:val="003B0231"/>
    <w:rsid w:val="003B0333"/>
    <w:rsid w:val="003B10D4"/>
    <w:rsid w:val="003B18C7"/>
    <w:rsid w:val="003B5F6F"/>
    <w:rsid w:val="003B6E5B"/>
    <w:rsid w:val="003C0BA8"/>
    <w:rsid w:val="003C0F9C"/>
    <w:rsid w:val="003C1A64"/>
    <w:rsid w:val="003C24A5"/>
    <w:rsid w:val="003C2C40"/>
    <w:rsid w:val="003C3A81"/>
    <w:rsid w:val="003C4E72"/>
    <w:rsid w:val="003C62F1"/>
    <w:rsid w:val="003C7449"/>
    <w:rsid w:val="003C78D3"/>
    <w:rsid w:val="003D0ABD"/>
    <w:rsid w:val="003D290F"/>
    <w:rsid w:val="003D4AEC"/>
    <w:rsid w:val="003D5389"/>
    <w:rsid w:val="003D66C1"/>
    <w:rsid w:val="003D6B1C"/>
    <w:rsid w:val="003E0E01"/>
    <w:rsid w:val="003E279A"/>
    <w:rsid w:val="003E289D"/>
    <w:rsid w:val="003E54E1"/>
    <w:rsid w:val="003F22DE"/>
    <w:rsid w:val="003F230A"/>
    <w:rsid w:val="003F2C40"/>
    <w:rsid w:val="003F5ADC"/>
    <w:rsid w:val="003F5C96"/>
    <w:rsid w:val="003F5D5E"/>
    <w:rsid w:val="003F5F2F"/>
    <w:rsid w:val="003F6E75"/>
    <w:rsid w:val="003F7664"/>
    <w:rsid w:val="00404F59"/>
    <w:rsid w:val="004052CD"/>
    <w:rsid w:val="004068DF"/>
    <w:rsid w:val="00407227"/>
    <w:rsid w:val="004110AC"/>
    <w:rsid w:val="0041194C"/>
    <w:rsid w:val="00411F5D"/>
    <w:rsid w:val="00412E81"/>
    <w:rsid w:val="00413921"/>
    <w:rsid w:val="00417637"/>
    <w:rsid w:val="0042434C"/>
    <w:rsid w:val="0042437C"/>
    <w:rsid w:val="00425F52"/>
    <w:rsid w:val="004276EE"/>
    <w:rsid w:val="00427E17"/>
    <w:rsid w:val="004301CA"/>
    <w:rsid w:val="004350FD"/>
    <w:rsid w:val="00435A81"/>
    <w:rsid w:val="00437712"/>
    <w:rsid w:val="00437B88"/>
    <w:rsid w:val="0044112F"/>
    <w:rsid w:val="0044117A"/>
    <w:rsid w:val="00441EF7"/>
    <w:rsid w:val="004427D8"/>
    <w:rsid w:val="004444AA"/>
    <w:rsid w:val="0044451B"/>
    <w:rsid w:val="00447C21"/>
    <w:rsid w:val="00447D1C"/>
    <w:rsid w:val="00450385"/>
    <w:rsid w:val="00450C9A"/>
    <w:rsid w:val="004554AF"/>
    <w:rsid w:val="004565F4"/>
    <w:rsid w:val="00456CA8"/>
    <w:rsid w:val="00460FC3"/>
    <w:rsid w:val="00461583"/>
    <w:rsid w:val="004620F5"/>
    <w:rsid w:val="00463220"/>
    <w:rsid w:val="00467907"/>
    <w:rsid w:val="00470F5B"/>
    <w:rsid w:val="00472095"/>
    <w:rsid w:val="004720F2"/>
    <w:rsid w:val="00474A36"/>
    <w:rsid w:val="00476636"/>
    <w:rsid w:val="0047666F"/>
    <w:rsid w:val="004851FA"/>
    <w:rsid w:val="00487E9C"/>
    <w:rsid w:val="004903DB"/>
    <w:rsid w:val="00490F50"/>
    <w:rsid w:val="00491B1C"/>
    <w:rsid w:val="004942F2"/>
    <w:rsid w:val="0049700E"/>
    <w:rsid w:val="00497338"/>
    <w:rsid w:val="004A01E4"/>
    <w:rsid w:val="004A1531"/>
    <w:rsid w:val="004A18B4"/>
    <w:rsid w:val="004A3EE2"/>
    <w:rsid w:val="004A5FF4"/>
    <w:rsid w:val="004A7210"/>
    <w:rsid w:val="004A7664"/>
    <w:rsid w:val="004B01EC"/>
    <w:rsid w:val="004B1AF6"/>
    <w:rsid w:val="004B2C6B"/>
    <w:rsid w:val="004B56BC"/>
    <w:rsid w:val="004C01E2"/>
    <w:rsid w:val="004C1317"/>
    <w:rsid w:val="004C56F1"/>
    <w:rsid w:val="004C642D"/>
    <w:rsid w:val="004C71D7"/>
    <w:rsid w:val="004D1CDB"/>
    <w:rsid w:val="004D40D4"/>
    <w:rsid w:val="004D551A"/>
    <w:rsid w:val="004D57DB"/>
    <w:rsid w:val="004D643D"/>
    <w:rsid w:val="004E1D03"/>
    <w:rsid w:val="004E2084"/>
    <w:rsid w:val="004E4867"/>
    <w:rsid w:val="004E49D4"/>
    <w:rsid w:val="004E5577"/>
    <w:rsid w:val="004E5855"/>
    <w:rsid w:val="004E6184"/>
    <w:rsid w:val="004F273E"/>
    <w:rsid w:val="004F27E2"/>
    <w:rsid w:val="004F6B16"/>
    <w:rsid w:val="0050111C"/>
    <w:rsid w:val="00503D79"/>
    <w:rsid w:val="00504228"/>
    <w:rsid w:val="005057CB"/>
    <w:rsid w:val="005077AD"/>
    <w:rsid w:val="0051072D"/>
    <w:rsid w:val="0051105B"/>
    <w:rsid w:val="00512E0F"/>
    <w:rsid w:val="00513AB9"/>
    <w:rsid w:val="00513F16"/>
    <w:rsid w:val="00514D2C"/>
    <w:rsid w:val="00515C6B"/>
    <w:rsid w:val="00516D8F"/>
    <w:rsid w:val="00517B9C"/>
    <w:rsid w:val="00522116"/>
    <w:rsid w:val="00526CDB"/>
    <w:rsid w:val="00527554"/>
    <w:rsid w:val="00530B9B"/>
    <w:rsid w:val="00531873"/>
    <w:rsid w:val="005321B4"/>
    <w:rsid w:val="005342AE"/>
    <w:rsid w:val="00535C0C"/>
    <w:rsid w:val="00535DB6"/>
    <w:rsid w:val="00536135"/>
    <w:rsid w:val="005369F9"/>
    <w:rsid w:val="00537AF3"/>
    <w:rsid w:val="00537EE9"/>
    <w:rsid w:val="005412C2"/>
    <w:rsid w:val="005423EA"/>
    <w:rsid w:val="0054482D"/>
    <w:rsid w:val="00544BF3"/>
    <w:rsid w:val="005461DB"/>
    <w:rsid w:val="00546765"/>
    <w:rsid w:val="005469CF"/>
    <w:rsid w:val="005543E1"/>
    <w:rsid w:val="005549EC"/>
    <w:rsid w:val="0055518A"/>
    <w:rsid w:val="005552BA"/>
    <w:rsid w:val="00556F6C"/>
    <w:rsid w:val="00557547"/>
    <w:rsid w:val="005607D9"/>
    <w:rsid w:val="00561DA8"/>
    <w:rsid w:val="005623E8"/>
    <w:rsid w:val="005633CF"/>
    <w:rsid w:val="00571954"/>
    <w:rsid w:val="00571B20"/>
    <w:rsid w:val="00571C60"/>
    <w:rsid w:val="0057226A"/>
    <w:rsid w:val="00572401"/>
    <w:rsid w:val="005740DF"/>
    <w:rsid w:val="005750FD"/>
    <w:rsid w:val="005809A1"/>
    <w:rsid w:val="00580F1C"/>
    <w:rsid w:val="00582B11"/>
    <w:rsid w:val="00582BC6"/>
    <w:rsid w:val="00584043"/>
    <w:rsid w:val="00585EA0"/>
    <w:rsid w:val="00586A5B"/>
    <w:rsid w:val="00586C7D"/>
    <w:rsid w:val="00586E8E"/>
    <w:rsid w:val="00587461"/>
    <w:rsid w:val="005904FC"/>
    <w:rsid w:val="00592DFB"/>
    <w:rsid w:val="00593067"/>
    <w:rsid w:val="005935DA"/>
    <w:rsid w:val="0059399D"/>
    <w:rsid w:val="00593B81"/>
    <w:rsid w:val="00595222"/>
    <w:rsid w:val="00596345"/>
    <w:rsid w:val="00596923"/>
    <w:rsid w:val="005A04BC"/>
    <w:rsid w:val="005A0A41"/>
    <w:rsid w:val="005A1CE2"/>
    <w:rsid w:val="005A2CE7"/>
    <w:rsid w:val="005A3A81"/>
    <w:rsid w:val="005A5035"/>
    <w:rsid w:val="005A7572"/>
    <w:rsid w:val="005B564B"/>
    <w:rsid w:val="005B6C3B"/>
    <w:rsid w:val="005B74D6"/>
    <w:rsid w:val="005B7531"/>
    <w:rsid w:val="005B78C0"/>
    <w:rsid w:val="005C0BD1"/>
    <w:rsid w:val="005C4B56"/>
    <w:rsid w:val="005C510A"/>
    <w:rsid w:val="005C5EF8"/>
    <w:rsid w:val="005C63F4"/>
    <w:rsid w:val="005C6948"/>
    <w:rsid w:val="005C7976"/>
    <w:rsid w:val="005D2307"/>
    <w:rsid w:val="005D4C82"/>
    <w:rsid w:val="005D695C"/>
    <w:rsid w:val="005D7D30"/>
    <w:rsid w:val="005E58E1"/>
    <w:rsid w:val="005E5D28"/>
    <w:rsid w:val="005E5FE1"/>
    <w:rsid w:val="005E6136"/>
    <w:rsid w:val="005E75BB"/>
    <w:rsid w:val="005F10C2"/>
    <w:rsid w:val="005F27FE"/>
    <w:rsid w:val="005F526F"/>
    <w:rsid w:val="005F6983"/>
    <w:rsid w:val="005F7CE7"/>
    <w:rsid w:val="005FE3D5"/>
    <w:rsid w:val="006016BF"/>
    <w:rsid w:val="00601A75"/>
    <w:rsid w:val="0060229E"/>
    <w:rsid w:val="00602474"/>
    <w:rsid w:val="00602D95"/>
    <w:rsid w:val="00602E4E"/>
    <w:rsid w:val="00602EAD"/>
    <w:rsid w:val="00603403"/>
    <w:rsid w:val="006042A9"/>
    <w:rsid w:val="006042E6"/>
    <w:rsid w:val="00605864"/>
    <w:rsid w:val="00605966"/>
    <w:rsid w:val="006077EF"/>
    <w:rsid w:val="00615C01"/>
    <w:rsid w:val="00615DB0"/>
    <w:rsid w:val="0061623F"/>
    <w:rsid w:val="00617628"/>
    <w:rsid w:val="00620921"/>
    <w:rsid w:val="00620BBF"/>
    <w:rsid w:val="00620E16"/>
    <w:rsid w:val="006237CE"/>
    <w:rsid w:val="006253E7"/>
    <w:rsid w:val="0062705D"/>
    <w:rsid w:val="006270FC"/>
    <w:rsid w:val="00627EEF"/>
    <w:rsid w:val="006301A3"/>
    <w:rsid w:val="006307BF"/>
    <w:rsid w:val="00630ACA"/>
    <w:rsid w:val="00631646"/>
    <w:rsid w:val="00632B3B"/>
    <w:rsid w:val="006342FE"/>
    <w:rsid w:val="006345E6"/>
    <w:rsid w:val="0063706A"/>
    <w:rsid w:val="006418A4"/>
    <w:rsid w:val="00642233"/>
    <w:rsid w:val="00642810"/>
    <w:rsid w:val="00644165"/>
    <w:rsid w:val="00644569"/>
    <w:rsid w:val="00645D95"/>
    <w:rsid w:val="006465B4"/>
    <w:rsid w:val="00651F77"/>
    <w:rsid w:val="0065391F"/>
    <w:rsid w:val="00655924"/>
    <w:rsid w:val="00655EB9"/>
    <w:rsid w:val="006624CD"/>
    <w:rsid w:val="00663584"/>
    <w:rsid w:val="00664878"/>
    <w:rsid w:val="00671FE2"/>
    <w:rsid w:val="00673118"/>
    <w:rsid w:val="00673B17"/>
    <w:rsid w:val="00675D88"/>
    <w:rsid w:val="006762AE"/>
    <w:rsid w:val="00680882"/>
    <w:rsid w:val="00680939"/>
    <w:rsid w:val="00682EA5"/>
    <w:rsid w:val="00683A35"/>
    <w:rsid w:val="00686409"/>
    <w:rsid w:val="0068774A"/>
    <w:rsid w:val="006901DB"/>
    <w:rsid w:val="00690E35"/>
    <w:rsid w:val="00692C11"/>
    <w:rsid w:val="00694EAC"/>
    <w:rsid w:val="00695552"/>
    <w:rsid w:val="0069568A"/>
    <w:rsid w:val="00697DC1"/>
    <w:rsid w:val="006A30B4"/>
    <w:rsid w:val="006A45BC"/>
    <w:rsid w:val="006A55CB"/>
    <w:rsid w:val="006B0EDB"/>
    <w:rsid w:val="006B1159"/>
    <w:rsid w:val="006C091F"/>
    <w:rsid w:val="006C183F"/>
    <w:rsid w:val="006C2123"/>
    <w:rsid w:val="006C21FF"/>
    <w:rsid w:val="006C28E4"/>
    <w:rsid w:val="006C3830"/>
    <w:rsid w:val="006C4071"/>
    <w:rsid w:val="006C428E"/>
    <w:rsid w:val="006C47BD"/>
    <w:rsid w:val="006C71B7"/>
    <w:rsid w:val="006C7934"/>
    <w:rsid w:val="006D1873"/>
    <w:rsid w:val="006D78BD"/>
    <w:rsid w:val="006D796E"/>
    <w:rsid w:val="006E2710"/>
    <w:rsid w:val="006E375D"/>
    <w:rsid w:val="006E3B46"/>
    <w:rsid w:val="006E50AD"/>
    <w:rsid w:val="006E68D3"/>
    <w:rsid w:val="006E6D7F"/>
    <w:rsid w:val="006F165B"/>
    <w:rsid w:val="006F17A3"/>
    <w:rsid w:val="006F79CC"/>
    <w:rsid w:val="006F7E16"/>
    <w:rsid w:val="00700BC9"/>
    <w:rsid w:val="00700F2E"/>
    <w:rsid w:val="00701517"/>
    <w:rsid w:val="007019E2"/>
    <w:rsid w:val="007025C1"/>
    <w:rsid w:val="007079FD"/>
    <w:rsid w:val="00707B95"/>
    <w:rsid w:val="00707DA4"/>
    <w:rsid w:val="00707F99"/>
    <w:rsid w:val="00715177"/>
    <w:rsid w:val="00720552"/>
    <w:rsid w:val="0072226F"/>
    <w:rsid w:val="007222B7"/>
    <w:rsid w:val="00722E98"/>
    <w:rsid w:val="00723776"/>
    <w:rsid w:val="00726B5D"/>
    <w:rsid w:val="00726CEA"/>
    <w:rsid w:val="00727445"/>
    <w:rsid w:val="00734706"/>
    <w:rsid w:val="00735E1C"/>
    <w:rsid w:val="00741B42"/>
    <w:rsid w:val="00742C24"/>
    <w:rsid w:val="0074309D"/>
    <w:rsid w:val="0074477C"/>
    <w:rsid w:val="00745C66"/>
    <w:rsid w:val="00745F76"/>
    <w:rsid w:val="00746D65"/>
    <w:rsid w:val="00747D35"/>
    <w:rsid w:val="00750F53"/>
    <w:rsid w:val="00751628"/>
    <w:rsid w:val="0075245E"/>
    <w:rsid w:val="00752809"/>
    <w:rsid w:val="00752882"/>
    <w:rsid w:val="00754080"/>
    <w:rsid w:val="00754F85"/>
    <w:rsid w:val="00765864"/>
    <w:rsid w:val="00765F80"/>
    <w:rsid w:val="00766B8A"/>
    <w:rsid w:val="007678C9"/>
    <w:rsid w:val="00767C50"/>
    <w:rsid w:val="00770068"/>
    <w:rsid w:val="00770892"/>
    <w:rsid w:val="00771492"/>
    <w:rsid w:val="00771774"/>
    <w:rsid w:val="00774241"/>
    <w:rsid w:val="00774CD3"/>
    <w:rsid w:val="00775BBF"/>
    <w:rsid w:val="0077618B"/>
    <w:rsid w:val="00776758"/>
    <w:rsid w:val="00776DF8"/>
    <w:rsid w:val="00777D8B"/>
    <w:rsid w:val="0078276A"/>
    <w:rsid w:val="00783415"/>
    <w:rsid w:val="00784D99"/>
    <w:rsid w:val="007877DF"/>
    <w:rsid w:val="007906C8"/>
    <w:rsid w:val="007910F0"/>
    <w:rsid w:val="0079129A"/>
    <w:rsid w:val="00793023"/>
    <w:rsid w:val="00794C97"/>
    <w:rsid w:val="00794EAC"/>
    <w:rsid w:val="00795E3D"/>
    <w:rsid w:val="007962C5"/>
    <w:rsid w:val="007967FF"/>
    <w:rsid w:val="00796C58"/>
    <w:rsid w:val="007A1BF2"/>
    <w:rsid w:val="007A26CC"/>
    <w:rsid w:val="007A2DBA"/>
    <w:rsid w:val="007A7147"/>
    <w:rsid w:val="007B104E"/>
    <w:rsid w:val="007B2901"/>
    <w:rsid w:val="007B3EB2"/>
    <w:rsid w:val="007B6F11"/>
    <w:rsid w:val="007B781B"/>
    <w:rsid w:val="007C1E78"/>
    <w:rsid w:val="007C2629"/>
    <w:rsid w:val="007C2E5E"/>
    <w:rsid w:val="007C5376"/>
    <w:rsid w:val="007C5596"/>
    <w:rsid w:val="007C5861"/>
    <w:rsid w:val="007C74AD"/>
    <w:rsid w:val="007D0565"/>
    <w:rsid w:val="007D0778"/>
    <w:rsid w:val="007D31C8"/>
    <w:rsid w:val="007D3DE4"/>
    <w:rsid w:val="007D78E7"/>
    <w:rsid w:val="007E046D"/>
    <w:rsid w:val="007E11B4"/>
    <w:rsid w:val="007E1B9F"/>
    <w:rsid w:val="007E421D"/>
    <w:rsid w:val="007E4696"/>
    <w:rsid w:val="007E6338"/>
    <w:rsid w:val="007F16C6"/>
    <w:rsid w:val="007F26F2"/>
    <w:rsid w:val="007F29AF"/>
    <w:rsid w:val="007F2E03"/>
    <w:rsid w:val="007F5337"/>
    <w:rsid w:val="007F5B6D"/>
    <w:rsid w:val="007F619B"/>
    <w:rsid w:val="00800706"/>
    <w:rsid w:val="0080086B"/>
    <w:rsid w:val="00801F84"/>
    <w:rsid w:val="00802AC3"/>
    <w:rsid w:val="00804E22"/>
    <w:rsid w:val="00805294"/>
    <w:rsid w:val="00807634"/>
    <w:rsid w:val="00807A09"/>
    <w:rsid w:val="00810F16"/>
    <w:rsid w:val="00812D63"/>
    <w:rsid w:val="00813DF1"/>
    <w:rsid w:val="00815A0F"/>
    <w:rsid w:val="00820651"/>
    <w:rsid w:val="00820FC1"/>
    <w:rsid w:val="00824824"/>
    <w:rsid w:val="008257D0"/>
    <w:rsid w:val="008311C5"/>
    <w:rsid w:val="00831787"/>
    <w:rsid w:val="00832AF0"/>
    <w:rsid w:val="00832CD7"/>
    <w:rsid w:val="00834357"/>
    <w:rsid w:val="00834758"/>
    <w:rsid w:val="008378F1"/>
    <w:rsid w:val="00844AB8"/>
    <w:rsid w:val="0084503F"/>
    <w:rsid w:val="008464E3"/>
    <w:rsid w:val="00846A2B"/>
    <w:rsid w:val="00850C24"/>
    <w:rsid w:val="00851CDB"/>
    <w:rsid w:val="00851CDF"/>
    <w:rsid w:val="00853B33"/>
    <w:rsid w:val="00854920"/>
    <w:rsid w:val="008550CB"/>
    <w:rsid w:val="008576E2"/>
    <w:rsid w:val="00857E35"/>
    <w:rsid w:val="00861705"/>
    <w:rsid w:val="00862D13"/>
    <w:rsid w:val="00863ADB"/>
    <w:rsid w:val="00863FE1"/>
    <w:rsid w:val="00864300"/>
    <w:rsid w:val="00865D5E"/>
    <w:rsid w:val="008661A8"/>
    <w:rsid w:val="00867FD9"/>
    <w:rsid w:val="008700CC"/>
    <w:rsid w:val="00872E1B"/>
    <w:rsid w:val="008749CD"/>
    <w:rsid w:val="008765AE"/>
    <w:rsid w:val="00877C84"/>
    <w:rsid w:val="00881CD8"/>
    <w:rsid w:val="008837E0"/>
    <w:rsid w:val="008872FC"/>
    <w:rsid w:val="0088759F"/>
    <w:rsid w:val="008877E0"/>
    <w:rsid w:val="00887861"/>
    <w:rsid w:val="008903F4"/>
    <w:rsid w:val="00891DF5"/>
    <w:rsid w:val="0089464D"/>
    <w:rsid w:val="00894895"/>
    <w:rsid w:val="00897C1C"/>
    <w:rsid w:val="008A1017"/>
    <w:rsid w:val="008A188E"/>
    <w:rsid w:val="008A1C3D"/>
    <w:rsid w:val="008A51D8"/>
    <w:rsid w:val="008A528A"/>
    <w:rsid w:val="008A73B1"/>
    <w:rsid w:val="008A778F"/>
    <w:rsid w:val="008B0312"/>
    <w:rsid w:val="008B0A69"/>
    <w:rsid w:val="008B0C79"/>
    <w:rsid w:val="008B19AF"/>
    <w:rsid w:val="008B1AE8"/>
    <w:rsid w:val="008B21C8"/>
    <w:rsid w:val="008B3AAB"/>
    <w:rsid w:val="008B3E1B"/>
    <w:rsid w:val="008B40A4"/>
    <w:rsid w:val="008B4E39"/>
    <w:rsid w:val="008B6E85"/>
    <w:rsid w:val="008C0DA3"/>
    <w:rsid w:val="008C2514"/>
    <w:rsid w:val="008C3B6E"/>
    <w:rsid w:val="008C4825"/>
    <w:rsid w:val="008C4A74"/>
    <w:rsid w:val="008C4CD4"/>
    <w:rsid w:val="008C52F8"/>
    <w:rsid w:val="008C5496"/>
    <w:rsid w:val="008C64FD"/>
    <w:rsid w:val="008D56C7"/>
    <w:rsid w:val="008D6BB3"/>
    <w:rsid w:val="008D7B0E"/>
    <w:rsid w:val="008E0A92"/>
    <w:rsid w:val="008E166B"/>
    <w:rsid w:val="008E1DA6"/>
    <w:rsid w:val="008E2CC5"/>
    <w:rsid w:val="008E3C63"/>
    <w:rsid w:val="008E4D86"/>
    <w:rsid w:val="008E7A70"/>
    <w:rsid w:val="008F01AB"/>
    <w:rsid w:val="008F130B"/>
    <w:rsid w:val="008F1429"/>
    <w:rsid w:val="008F1C90"/>
    <w:rsid w:val="008F3778"/>
    <w:rsid w:val="008F5414"/>
    <w:rsid w:val="008F5459"/>
    <w:rsid w:val="009012C0"/>
    <w:rsid w:val="0090490C"/>
    <w:rsid w:val="0090517F"/>
    <w:rsid w:val="00905E38"/>
    <w:rsid w:val="00906141"/>
    <w:rsid w:val="00906320"/>
    <w:rsid w:val="00912C4A"/>
    <w:rsid w:val="00915363"/>
    <w:rsid w:val="00916E8B"/>
    <w:rsid w:val="009206B0"/>
    <w:rsid w:val="0092128E"/>
    <w:rsid w:val="0092272E"/>
    <w:rsid w:val="00923296"/>
    <w:rsid w:val="00925DDA"/>
    <w:rsid w:val="00925FAE"/>
    <w:rsid w:val="00927EDC"/>
    <w:rsid w:val="009323DE"/>
    <w:rsid w:val="009346F5"/>
    <w:rsid w:val="00934A5D"/>
    <w:rsid w:val="0093637A"/>
    <w:rsid w:val="009403F8"/>
    <w:rsid w:val="00942999"/>
    <w:rsid w:val="0094309B"/>
    <w:rsid w:val="009460AC"/>
    <w:rsid w:val="00946859"/>
    <w:rsid w:val="00946A48"/>
    <w:rsid w:val="009475A6"/>
    <w:rsid w:val="00952132"/>
    <w:rsid w:val="00952A12"/>
    <w:rsid w:val="00956881"/>
    <w:rsid w:val="00956D79"/>
    <w:rsid w:val="009605FF"/>
    <w:rsid w:val="00960CE0"/>
    <w:rsid w:val="009628D2"/>
    <w:rsid w:val="009641A7"/>
    <w:rsid w:val="0096484F"/>
    <w:rsid w:val="00965485"/>
    <w:rsid w:val="00966BA4"/>
    <w:rsid w:val="00967769"/>
    <w:rsid w:val="0097076F"/>
    <w:rsid w:val="00970F3D"/>
    <w:rsid w:val="00971859"/>
    <w:rsid w:val="009735E3"/>
    <w:rsid w:val="0097374B"/>
    <w:rsid w:val="00974AE8"/>
    <w:rsid w:val="0097696D"/>
    <w:rsid w:val="00977598"/>
    <w:rsid w:val="00977B78"/>
    <w:rsid w:val="00980C08"/>
    <w:rsid w:val="00980ED5"/>
    <w:rsid w:val="00981140"/>
    <w:rsid w:val="00981CFA"/>
    <w:rsid w:val="00982C82"/>
    <w:rsid w:val="00983CDA"/>
    <w:rsid w:val="009859A8"/>
    <w:rsid w:val="00986C41"/>
    <w:rsid w:val="00986CC3"/>
    <w:rsid w:val="00992DC1"/>
    <w:rsid w:val="00993685"/>
    <w:rsid w:val="0099429B"/>
    <w:rsid w:val="009A1B22"/>
    <w:rsid w:val="009A2716"/>
    <w:rsid w:val="009A3E2E"/>
    <w:rsid w:val="009A497F"/>
    <w:rsid w:val="009A51B4"/>
    <w:rsid w:val="009A551A"/>
    <w:rsid w:val="009A5F98"/>
    <w:rsid w:val="009A6604"/>
    <w:rsid w:val="009A6CA9"/>
    <w:rsid w:val="009A7DD8"/>
    <w:rsid w:val="009B1661"/>
    <w:rsid w:val="009B1D9E"/>
    <w:rsid w:val="009B2066"/>
    <w:rsid w:val="009B217A"/>
    <w:rsid w:val="009B2507"/>
    <w:rsid w:val="009B25DF"/>
    <w:rsid w:val="009B723A"/>
    <w:rsid w:val="009C1163"/>
    <w:rsid w:val="009C268C"/>
    <w:rsid w:val="009C4DBF"/>
    <w:rsid w:val="009C63FB"/>
    <w:rsid w:val="009C6FBD"/>
    <w:rsid w:val="009D0539"/>
    <w:rsid w:val="009D054D"/>
    <w:rsid w:val="009D1696"/>
    <w:rsid w:val="009D2223"/>
    <w:rsid w:val="009D2C56"/>
    <w:rsid w:val="009D2DE6"/>
    <w:rsid w:val="009D4AC1"/>
    <w:rsid w:val="009D621A"/>
    <w:rsid w:val="009D6EED"/>
    <w:rsid w:val="009E1ED1"/>
    <w:rsid w:val="009E2266"/>
    <w:rsid w:val="009E3EAA"/>
    <w:rsid w:val="009E4E84"/>
    <w:rsid w:val="009E5AB4"/>
    <w:rsid w:val="009E5AD6"/>
    <w:rsid w:val="009F0999"/>
    <w:rsid w:val="009F2553"/>
    <w:rsid w:val="009F2D15"/>
    <w:rsid w:val="009F301F"/>
    <w:rsid w:val="009F4F8C"/>
    <w:rsid w:val="009F5E3E"/>
    <w:rsid w:val="00A00F6A"/>
    <w:rsid w:val="00A031A7"/>
    <w:rsid w:val="00A048C0"/>
    <w:rsid w:val="00A051E2"/>
    <w:rsid w:val="00A065DF"/>
    <w:rsid w:val="00A067E2"/>
    <w:rsid w:val="00A101A7"/>
    <w:rsid w:val="00A1057D"/>
    <w:rsid w:val="00A1091A"/>
    <w:rsid w:val="00A131B4"/>
    <w:rsid w:val="00A159CA"/>
    <w:rsid w:val="00A15B2D"/>
    <w:rsid w:val="00A15CD7"/>
    <w:rsid w:val="00A21CED"/>
    <w:rsid w:val="00A225DC"/>
    <w:rsid w:val="00A2592E"/>
    <w:rsid w:val="00A32E59"/>
    <w:rsid w:val="00A33754"/>
    <w:rsid w:val="00A34E90"/>
    <w:rsid w:val="00A35624"/>
    <w:rsid w:val="00A41130"/>
    <w:rsid w:val="00A4407D"/>
    <w:rsid w:val="00A46743"/>
    <w:rsid w:val="00A46885"/>
    <w:rsid w:val="00A46F46"/>
    <w:rsid w:val="00A47AB4"/>
    <w:rsid w:val="00A5271E"/>
    <w:rsid w:val="00A53157"/>
    <w:rsid w:val="00A53EDF"/>
    <w:rsid w:val="00A55610"/>
    <w:rsid w:val="00A57AD7"/>
    <w:rsid w:val="00A6185A"/>
    <w:rsid w:val="00A633D4"/>
    <w:rsid w:val="00A6491A"/>
    <w:rsid w:val="00A656E5"/>
    <w:rsid w:val="00A65E35"/>
    <w:rsid w:val="00A65FD6"/>
    <w:rsid w:val="00A66ED5"/>
    <w:rsid w:val="00A67379"/>
    <w:rsid w:val="00A67B07"/>
    <w:rsid w:val="00A72ADB"/>
    <w:rsid w:val="00A730CC"/>
    <w:rsid w:val="00A730CD"/>
    <w:rsid w:val="00A73A70"/>
    <w:rsid w:val="00A75B7E"/>
    <w:rsid w:val="00A7667F"/>
    <w:rsid w:val="00A800E1"/>
    <w:rsid w:val="00A8069F"/>
    <w:rsid w:val="00A808CD"/>
    <w:rsid w:val="00A81647"/>
    <w:rsid w:val="00A82F27"/>
    <w:rsid w:val="00A848DE"/>
    <w:rsid w:val="00A87367"/>
    <w:rsid w:val="00A91A1A"/>
    <w:rsid w:val="00A93E87"/>
    <w:rsid w:val="00A94297"/>
    <w:rsid w:val="00A9655C"/>
    <w:rsid w:val="00AA0161"/>
    <w:rsid w:val="00AA1E12"/>
    <w:rsid w:val="00AA2B59"/>
    <w:rsid w:val="00AA38B6"/>
    <w:rsid w:val="00AA5642"/>
    <w:rsid w:val="00AA57E5"/>
    <w:rsid w:val="00AA6CD2"/>
    <w:rsid w:val="00AA7847"/>
    <w:rsid w:val="00AA79BA"/>
    <w:rsid w:val="00AA7CA2"/>
    <w:rsid w:val="00AB09EC"/>
    <w:rsid w:val="00AB156B"/>
    <w:rsid w:val="00AB29E6"/>
    <w:rsid w:val="00AB3352"/>
    <w:rsid w:val="00AB36DF"/>
    <w:rsid w:val="00AB3702"/>
    <w:rsid w:val="00AB3E0E"/>
    <w:rsid w:val="00AB6385"/>
    <w:rsid w:val="00AC0E99"/>
    <w:rsid w:val="00AC140D"/>
    <w:rsid w:val="00AC15B3"/>
    <w:rsid w:val="00AC1A2B"/>
    <w:rsid w:val="00AC1BAB"/>
    <w:rsid w:val="00AC54AF"/>
    <w:rsid w:val="00AC54C7"/>
    <w:rsid w:val="00AC5908"/>
    <w:rsid w:val="00AC667D"/>
    <w:rsid w:val="00AD166B"/>
    <w:rsid w:val="00AD24B7"/>
    <w:rsid w:val="00AD45A6"/>
    <w:rsid w:val="00AD4B2F"/>
    <w:rsid w:val="00AD54AF"/>
    <w:rsid w:val="00AD5A8B"/>
    <w:rsid w:val="00AD5BFD"/>
    <w:rsid w:val="00AD6878"/>
    <w:rsid w:val="00AD6D10"/>
    <w:rsid w:val="00AD6E50"/>
    <w:rsid w:val="00AE05E1"/>
    <w:rsid w:val="00AE1031"/>
    <w:rsid w:val="00AE30F5"/>
    <w:rsid w:val="00AE476F"/>
    <w:rsid w:val="00AE48FB"/>
    <w:rsid w:val="00AE519E"/>
    <w:rsid w:val="00AE6967"/>
    <w:rsid w:val="00AF0195"/>
    <w:rsid w:val="00AF17D1"/>
    <w:rsid w:val="00B02A36"/>
    <w:rsid w:val="00B03FCF"/>
    <w:rsid w:val="00B11EFD"/>
    <w:rsid w:val="00B12E57"/>
    <w:rsid w:val="00B1499E"/>
    <w:rsid w:val="00B16811"/>
    <w:rsid w:val="00B1712C"/>
    <w:rsid w:val="00B171BE"/>
    <w:rsid w:val="00B176FA"/>
    <w:rsid w:val="00B17C34"/>
    <w:rsid w:val="00B17DB7"/>
    <w:rsid w:val="00B20B0C"/>
    <w:rsid w:val="00B2331E"/>
    <w:rsid w:val="00B250BE"/>
    <w:rsid w:val="00B2623E"/>
    <w:rsid w:val="00B2730F"/>
    <w:rsid w:val="00B30F33"/>
    <w:rsid w:val="00B320E1"/>
    <w:rsid w:val="00B33844"/>
    <w:rsid w:val="00B36D2F"/>
    <w:rsid w:val="00B4063C"/>
    <w:rsid w:val="00B40758"/>
    <w:rsid w:val="00B42447"/>
    <w:rsid w:val="00B424C8"/>
    <w:rsid w:val="00B4356B"/>
    <w:rsid w:val="00B43980"/>
    <w:rsid w:val="00B51E3A"/>
    <w:rsid w:val="00B52123"/>
    <w:rsid w:val="00B5529F"/>
    <w:rsid w:val="00B55E61"/>
    <w:rsid w:val="00B566AB"/>
    <w:rsid w:val="00B568FC"/>
    <w:rsid w:val="00B60134"/>
    <w:rsid w:val="00B60B22"/>
    <w:rsid w:val="00B616DE"/>
    <w:rsid w:val="00B62B52"/>
    <w:rsid w:val="00B6756A"/>
    <w:rsid w:val="00B675F3"/>
    <w:rsid w:val="00B676DB"/>
    <w:rsid w:val="00B73B7E"/>
    <w:rsid w:val="00B73E15"/>
    <w:rsid w:val="00B7453C"/>
    <w:rsid w:val="00B74D69"/>
    <w:rsid w:val="00B74ED0"/>
    <w:rsid w:val="00B753AE"/>
    <w:rsid w:val="00B75C95"/>
    <w:rsid w:val="00B75CA9"/>
    <w:rsid w:val="00B770EA"/>
    <w:rsid w:val="00B80ACF"/>
    <w:rsid w:val="00B815E8"/>
    <w:rsid w:val="00B822A7"/>
    <w:rsid w:val="00B861BA"/>
    <w:rsid w:val="00B903DD"/>
    <w:rsid w:val="00B92FB1"/>
    <w:rsid w:val="00B93951"/>
    <w:rsid w:val="00B94736"/>
    <w:rsid w:val="00B94A19"/>
    <w:rsid w:val="00B955A1"/>
    <w:rsid w:val="00B96EE5"/>
    <w:rsid w:val="00BA1BCF"/>
    <w:rsid w:val="00BA29BA"/>
    <w:rsid w:val="00BA2F52"/>
    <w:rsid w:val="00BA56F8"/>
    <w:rsid w:val="00BB1C7B"/>
    <w:rsid w:val="00BB20F5"/>
    <w:rsid w:val="00BB2AFE"/>
    <w:rsid w:val="00BB3997"/>
    <w:rsid w:val="00BB4652"/>
    <w:rsid w:val="00BB5EAE"/>
    <w:rsid w:val="00BB682C"/>
    <w:rsid w:val="00BB7D2D"/>
    <w:rsid w:val="00BC0D91"/>
    <w:rsid w:val="00BC0EE3"/>
    <w:rsid w:val="00BC1278"/>
    <w:rsid w:val="00BC1EBD"/>
    <w:rsid w:val="00BC2F86"/>
    <w:rsid w:val="00BC40F0"/>
    <w:rsid w:val="00BC4965"/>
    <w:rsid w:val="00BC4F3D"/>
    <w:rsid w:val="00BC5096"/>
    <w:rsid w:val="00BC54D8"/>
    <w:rsid w:val="00BC5795"/>
    <w:rsid w:val="00BC70D3"/>
    <w:rsid w:val="00BD0A3D"/>
    <w:rsid w:val="00BD1641"/>
    <w:rsid w:val="00BD1F25"/>
    <w:rsid w:val="00BD2D5C"/>
    <w:rsid w:val="00BD73EB"/>
    <w:rsid w:val="00BE0CA3"/>
    <w:rsid w:val="00BE17F8"/>
    <w:rsid w:val="00BE18D9"/>
    <w:rsid w:val="00BE1DA4"/>
    <w:rsid w:val="00BE24FE"/>
    <w:rsid w:val="00BE29ED"/>
    <w:rsid w:val="00BE31A1"/>
    <w:rsid w:val="00BE3DCA"/>
    <w:rsid w:val="00BE5678"/>
    <w:rsid w:val="00BE5748"/>
    <w:rsid w:val="00BE5A21"/>
    <w:rsid w:val="00BE5D8C"/>
    <w:rsid w:val="00BE6614"/>
    <w:rsid w:val="00BE6FBC"/>
    <w:rsid w:val="00BF4454"/>
    <w:rsid w:val="00BF4E5E"/>
    <w:rsid w:val="00BF5F17"/>
    <w:rsid w:val="00C01A67"/>
    <w:rsid w:val="00C01D20"/>
    <w:rsid w:val="00C02935"/>
    <w:rsid w:val="00C041E9"/>
    <w:rsid w:val="00C04641"/>
    <w:rsid w:val="00C04F12"/>
    <w:rsid w:val="00C05164"/>
    <w:rsid w:val="00C0541F"/>
    <w:rsid w:val="00C05706"/>
    <w:rsid w:val="00C06B3C"/>
    <w:rsid w:val="00C079B2"/>
    <w:rsid w:val="00C07E1F"/>
    <w:rsid w:val="00C122B7"/>
    <w:rsid w:val="00C1715A"/>
    <w:rsid w:val="00C20718"/>
    <w:rsid w:val="00C2100C"/>
    <w:rsid w:val="00C21C89"/>
    <w:rsid w:val="00C2713B"/>
    <w:rsid w:val="00C31210"/>
    <w:rsid w:val="00C32B96"/>
    <w:rsid w:val="00C332AF"/>
    <w:rsid w:val="00C354C4"/>
    <w:rsid w:val="00C360AE"/>
    <w:rsid w:val="00C36735"/>
    <w:rsid w:val="00C37C4C"/>
    <w:rsid w:val="00C43206"/>
    <w:rsid w:val="00C43371"/>
    <w:rsid w:val="00C434BA"/>
    <w:rsid w:val="00C43FE1"/>
    <w:rsid w:val="00C45222"/>
    <w:rsid w:val="00C47A22"/>
    <w:rsid w:val="00C5068D"/>
    <w:rsid w:val="00C518F6"/>
    <w:rsid w:val="00C5697F"/>
    <w:rsid w:val="00C6056D"/>
    <w:rsid w:val="00C61DD8"/>
    <w:rsid w:val="00C63D9B"/>
    <w:rsid w:val="00C662F9"/>
    <w:rsid w:val="00C665E9"/>
    <w:rsid w:val="00C671CA"/>
    <w:rsid w:val="00C67A07"/>
    <w:rsid w:val="00C725DD"/>
    <w:rsid w:val="00C72886"/>
    <w:rsid w:val="00C7288B"/>
    <w:rsid w:val="00C73161"/>
    <w:rsid w:val="00C73502"/>
    <w:rsid w:val="00C73B96"/>
    <w:rsid w:val="00C74534"/>
    <w:rsid w:val="00C74E92"/>
    <w:rsid w:val="00C76547"/>
    <w:rsid w:val="00C77BA2"/>
    <w:rsid w:val="00C80079"/>
    <w:rsid w:val="00C8068A"/>
    <w:rsid w:val="00C8273B"/>
    <w:rsid w:val="00C82C06"/>
    <w:rsid w:val="00C866D0"/>
    <w:rsid w:val="00C869F9"/>
    <w:rsid w:val="00C87726"/>
    <w:rsid w:val="00C87C7A"/>
    <w:rsid w:val="00C9117E"/>
    <w:rsid w:val="00C93110"/>
    <w:rsid w:val="00C94E08"/>
    <w:rsid w:val="00C94E37"/>
    <w:rsid w:val="00C965DB"/>
    <w:rsid w:val="00C967FD"/>
    <w:rsid w:val="00C972A0"/>
    <w:rsid w:val="00C9758A"/>
    <w:rsid w:val="00CA0A05"/>
    <w:rsid w:val="00CA2911"/>
    <w:rsid w:val="00CA4F34"/>
    <w:rsid w:val="00CA5D4F"/>
    <w:rsid w:val="00CA60F0"/>
    <w:rsid w:val="00CA6FBB"/>
    <w:rsid w:val="00CA732F"/>
    <w:rsid w:val="00CB0888"/>
    <w:rsid w:val="00CB1835"/>
    <w:rsid w:val="00CB1EEB"/>
    <w:rsid w:val="00CC14E5"/>
    <w:rsid w:val="00CC1CCC"/>
    <w:rsid w:val="00CC2A08"/>
    <w:rsid w:val="00CC4586"/>
    <w:rsid w:val="00CC4AB1"/>
    <w:rsid w:val="00CC546A"/>
    <w:rsid w:val="00CC66E9"/>
    <w:rsid w:val="00CD28C3"/>
    <w:rsid w:val="00CD37FB"/>
    <w:rsid w:val="00CD4060"/>
    <w:rsid w:val="00CD49B7"/>
    <w:rsid w:val="00CD625D"/>
    <w:rsid w:val="00CD7BCD"/>
    <w:rsid w:val="00CE1759"/>
    <w:rsid w:val="00CE475F"/>
    <w:rsid w:val="00CE4F58"/>
    <w:rsid w:val="00CE654D"/>
    <w:rsid w:val="00CE694B"/>
    <w:rsid w:val="00CE7F48"/>
    <w:rsid w:val="00CF1776"/>
    <w:rsid w:val="00CF240F"/>
    <w:rsid w:val="00CF3861"/>
    <w:rsid w:val="00CF3C7E"/>
    <w:rsid w:val="00CF3C89"/>
    <w:rsid w:val="00CF3E0A"/>
    <w:rsid w:val="00CF3E49"/>
    <w:rsid w:val="00CF4705"/>
    <w:rsid w:val="00CF5132"/>
    <w:rsid w:val="00CF575A"/>
    <w:rsid w:val="00D00F8C"/>
    <w:rsid w:val="00D01051"/>
    <w:rsid w:val="00D04BA3"/>
    <w:rsid w:val="00D0776A"/>
    <w:rsid w:val="00D07CD2"/>
    <w:rsid w:val="00D127B2"/>
    <w:rsid w:val="00D13532"/>
    <w:rsid w:val="00D1490F"/>
    <w:rsid w:val="00D15080"/>
    <w:rsid w:val="00D2006B"/>
    <w:rsid w:val="00D20D0E"/>
    <w:rsid w:val="00D21D0D"/>
    <w:rsid w:val="00D220CE"/>
    <w:rsid w:val="00D2239A"/>
    <w:rsid w:val="00D2292A"/>
    <w:rsid w:val="00D244E5"/>
    <w:rsid w:val="00D24A53"/>
    <w:rsid w:val="00D24D7E"/>
    <w:rsid w:val="00D273F8"/>
    <w:rsid w:val="00D27FB9"/>
    <w:rsid w:val="00D31955"/>
    <w:rsid w:val="00D33777"/>
    <w:rsid w:val="00D33D37"/>
    <w:rsid w:val="00D34E19"/>
    <w:rsid w:val="00D36100"/>
    <w:rsid w:val="00D3626B"/>
    <w:rsid w:val="00D363FF"/>
    <w:rsid w:val="00D36767"/>
    <w:rsid w:val="00D402D4"/>
    <w:rsid w:val="00D42B66"/>
    <w:rsid w:val="00D43250"/>
    <w:rsid w:val="00D44B86"/>
    <w:rsid w:val="00D5001C"/>
    <w:rsid w:val="00D50635"/>
    <w:rsid w:val="00D51CE7"/>
    <w:rsid w:val="00D52C85"/>
    <w:rsid w:val="00D55940"/>
    <w:rsid w:val="00D56039"/>
    <w:rsid w:val="00D56515"/>
    <w:rsid w:val="00D56D10"/>
    <w:rsid w:val="00D618F2"/>
    <w:rsid w:val="00D63BD5"/>
    <w:rsid w:val="00D63C24"/>
    <w:rsid w:val="00D63D71"/>
    <w:rsid w:val="00D64657"/>
    <w:rsid w:val="00D64767"/>
    <w:rsid w:val="00D65232"/>
    <w:rsid w:val="00D67268"/>
    <w:rsid w:val="00D67AC6"/>
    <w:rsid w:val="00D67E8D"/>
    <w:rsid w:val="00D704FA"/>
    <w:rsid w:val="00D70573"/>
    <w:rsid w:val="00D74831"/>
    <w:rsid w:val="00D753BB"/>
    <w:rsid w:val="00D75792"/>
    <w:rsid w:val="00D76CCE"/>
    <w:rsid w:val="00D76FC7"/>
    <w:rsid w:val="00D805CC"/>
    <w:rsid w:val="00D81EFC"/>
    <w:rsid w:val="00D82DC7"/>
    <w:rsid w:val="00D84FF9"/>
    <w:rsid w:val="00D87CC2"/>
    <w:rsid w:val="00D90844"/>
    <w:rsid w:val="00D9158D"/>
    <w:rsid w:val="00D91CF3"/>
    <w:rsid w:val="00D9219F"/>
    <w:rsid w:val="00D93171"/>
    <w:rsid w:val="00D93A09"/>
    <w:rsid w:val="00D93BD8"/>
    <w:rsid w:val="00D94B85"/>
    <w:rsid w:val="00D9723B"/>
    <w:rsid w:val="00D973F0"/>
    <w:rsid w:val="00D97DE4"/>
    <w:rsid w:val="00DA12C6"/>
    <w:rsid w:val="00DA1F66"/>
    <w:rsid w:val="00DA2A5B"/>
    <w:rsid w:val="00DA3190"/>
    <w:rsid w:val="00DA5F47"/>
    <w:rsid w:val="00DA62CC"/>
    <w:rsid w:val="00DA6969"/>
    <w:rsid w:val="00DA69F3"/>
    <w:rsid w:val="00DA7EF7"/>
    <w:rsid w:val="00DB055C"/>
    <w:rsid w:val="00DB0DD9"/>
    <w:rsid w:val="00DB1B18"/>
    <w:rsid w:val="00DB2AE8"/>
    <w:rsid w:val="00DB43B3"/>
    <w:rsid w:val="00DB4FAA"/>
    <w:rsid w:val="00DB7BD9"/>
    <w:rsid w:val="00DC1EE2"/>
    <w:rsid w:val="00DC1F4A"/>
    <w:rsid w:val="00DC2761"/>
    <w:rsid w:val="00DC379E"/>
    <w:rsid w:val="00DC3CC7"/>
    <w:rsid w:val="00DC46B0"/>
    <w:rsid w:val="00DC49FC"/>
    <w:rsid w:val="00DC7656"/>
    <w:rsid w:val="00DD0AAF"/>
    <w:rsid w:val="00DD25A5"/>
    <w:rsid w:val="00DD293E"/>
    <w:rsid w:val="00DD3556"/>
    <w:rsid w:val="00DD3C85"/>
    <w:rsid w:val="00DD4AC1"/>
    <w:rsid w:val="00DD5C53"/>
    <w:rsid w:val="00DD7BCA"/>
    <w:rsid w:val="00DE02DB"/>
    <w:rsid w:val="00DE06E5"/>
    <w:rsid w:val="00DE1FBE"/>
    <w:rsid w:val="00DE3043"/>
    <w:rsid w:val="00DE7D1C"/>
    <w:rsid w:val="00DF2BA6"/>
    <w:rsid w:val="00DF2D56"/>
    <w:rsid w:val="00DF3B81"/>
    <w:rsid w:val="00DF4D2B"/>
    <w:rsid w:val="00DF5A0C"/>
    <w:rsid w:val="00DF74ED"/>
    <w:rsid w:val="00E0112E"/>
    <w:rsid w:val="00E02B32"/>
    <w:rsid w:val="00E045AE"/>
    <w:rsid w:val="00E050F4"/>
    <w:rsid w:val="00E05300"/>
    <w:rsid w:val="00E05A76"/>
    <w:rsid w:val="00E07164"/>
    <w:rsid w:val="00E1002F"/>
    <w:rsid w:val="00E11442"/>
    <w:rsid w:val="00E11C20"/>
    <w:rsid w:val="00E11D19"/>
    <w:rsid w:val="00E16E92"/>
    <w:rsid w:val="00E16FF1"/>
    <w:rsid w:val="00E173A7"/>
    <w:rsid w:val="00E208D5"/>
    <w:rsid w:val="00E238EC"/>
    <w:rsid w:val="00E2716B"/>
    <w:rsid w:val="00E27892"/>
    <w:rsid w:val="00E30099"/>
    <w:rsid w:val="00E30820"/>
    <w:rsid w:val="00E30F15"/>
    <w:rsid w:val="00E31968"/>
    <w:rsid w:val="00E319F6"/>
    <w:rsid w:val="00E34940"/>
    <w:rsid w:val="00E3707A"/>
    <w:rsid w:val="00E3769F"/>
    <w:rsid w:val="00E37E19"/>
    <w:rsid w:val="00E400C6"/>
    <w:rsid w:val="00E416D3"/>
    <w:rsid w:val="00E4241F"/>
    <w:rsid w:val="00E47C66"/>
    <w:rsid w:val="00E50CA2"/>
    <w:rsid w:val="00E522C2"/>
    <w:rsid w:val="00E523A2"/>
    <w:rsid w:val="00E52B43"/>
    <w:rsid w:val="00E56954"/>
    <w:rsid w:val="00E57A8B"/>
    <w:rsid w:val="00E60232"/>
    <w:rsid w:val="00E60B2A"/>
    <w:rsid w:val="00E62232"/>
    <w:rsid w:val="00E63158"/>
    <w:rsid w:val="00E63751"/>
    <w:rsid w:val="00E63A69"/>
    <w:rsid w:val="00E64028"/>
    <w:rsid w:val="00E65B28"/>
    <w:rsid w:val="00E65F44"/>
    <w:rsid w:val="00E66E48"/>
    <w:rsid w:val="00E70E39"/>
    <w:rsid w:val="00E70F9B"/>
    <w:rsid w:val="00E72053"/>
    <w:rsid w:val="00E72939"/>
    <w:rsid w:val="00E72A9F"/>
    <w:rsid w:val="00E73D85"/>
    <w:rsid w:val="00E7538A"/>
    <w:rsid w:val="00E756EE"/>
    <w:rsid w:val="00E77DF2"/>
    <w:rsid w:val="00E80B81"/>
    <w:rsid w:val="00E813E1"/>
    <w:rsid w:val="00E83FDA"/>
    <w:rsid w:val="00E879A5"/>
    <w:rsid w:val="00E90124"/>
    <w:rsid w:val="00E906A7"/>
    <w:rsid w:val="00E90CA4"/>
    <w:rsid w:val="00E913CE"/>
    <w:rsid w:val="00E919B7"/>
    <w:rsid w:val="00E950B2"/>
    <w:rsid w:val="00E95D17"/>
    <w:rsid w:val="00E978FD"/>
    <w:rsid w:val="00EA0764"/>
    <w:rsid w:val="00EA0CF6"/>
    <w:rsid w:val="00EA486D"/>
    <w:rsid w:val="00EA520A"/>
    <w:rsid w:val="00EB05CB"/>
    <w:rsid w:val="00EB09E7"/>
    <w:rsid w:val="00EB2FE6"/>
    <w:rsid w:val="00EB3CAD"/>
    <w:rsid w:val="00EB5FA7"/>
    <w:rsid w:val="00EB728D"/>
    <w:rsid w:val="00EC0D7F"/>
    <w:rsid w:val="00EC2C30"/>
    <w:rsid w:val="00EC3E0A"/>
    <w:rsid w:val="00EC411E"/>
    <w:rsid w:val="00EC44F9"/>
    <w:rsid w:val="00EC6774"/>
    <w:rsid w:val="00EC68DA"/>
    <w:rsid w:val="00EC7518"/>
    <w:rsid w:val="00ED0535"/>
    <w:rsid w:val="00ED1AF7"/>
    <w:rsid w:val="00ED28CD"/>
    <w:rsid w:val="00ED2C79"/>
    <w:rsid w:val="00ED451E"/>
    <w:rsid w:val="00ED6CA2"/>
    <w:rsid w:val="00EE2067"/>
    <w:rsid w:val="00EE3E5F"/>
    <w:rsid w:val="00EE4A5D"/>
    <w:rsid w:val="00EE4D19"/>
    <w:rsid w:val="00EE575E"/>
    <w:rsid w:val="00EE5B2F"/>
    <w:rsid w:val="00EE79A9"/>
    <w:rsid w:val="00EE7CD4"/>
    <w:rsid w:val="00EF077E"/>
    <w:rsid w:val="00EF0E07"/>
    <w:rsid w:val="00EF2ED9"/>
    <w:rsid w:val="00EF3761"/>
    <w:rsid w:val="00EF4136"/>
    <w:rsid w:val="00EF53D2"/>
    <w:rsid w:val="00EF5CAE"/>
    <w:rsid w:val="00EF79BA"/>
    <w:rsid w:val="00F000ED"/>
    <w:rsid w:val="00F01C2E"/>
    <w:rsid w:val="00F11576"/>
    <w:rsid w:val="00F12412"/>
    <w:rsid w:val="00F1640D"/>
    <w:rsid w:val="00F204A8"/>
    <w:rsid w:val="00F211DC"/>
    <w:rsid w:val="00F21D50"/>
    <w:rsid w:val="00F2262D"/>
    <w:rsid w:val="00F24026"/>
    <w:rsid w:val="00F24B62"/>
    <w:rsid w:val="00F256B3"/>
    <w:rsid w:val="00F2799E"/>
    <w:rsid w:val="00F31EFA"/>
    <w:rsid w:val="00F325B0"/>
    <w:rsid w:val="00F331D5"/>
    <w:rsid w:val="00F3409E"/>
    <w:rsid w:val="00F36C12"/>
    <w:rsid w:val="00F37FE8"/>
    <w:rsid w:val="00F40FA7"/>
    <w:rsid w:val="00F410A4"/>
    <w:rsid w:val="00F41772"/>
    <w:rsid w:val="00F41A2E"/>
    <w:rsid w:val="00F42441"/>
    <w:rsid w:val="00F43AAB"/>
    <w:rsid w:val="00F43C7E"/>
    <w:rsid w:val="00F443CE"/>
    <w:rsid w:val="00F45961"/>
    <w:rsid w:val="00F46328"/>
    <w:rsid w:val="00F46941"/>
    <w:rsid w:val="00F46B80"/>
    <w:rsid w:val="00F5055A"/>
    <w:rsid w:val="00F50838"/>
    <w:rsid w:val="00F52334"/>
    <w:rsid w:val="00F57013"/>
    <w:rsid w:val="00F57591"/>
    <w:rsid w:val="00F61A51"/>
    <w:rsid w:val="00F623FB"/>
    <w:rsid w:val="00F6495C"/>
    <w:rsid w:val="00F64C57"/>
    <w:rsid w:val="00F66D69"/>
    <w:rsid w:val="00F7190E"/>
    <w:rsid w:val="00F722D9"/>
    <w:rsid w:val="00F72C66"/>
    <w:rsid w:val="00F73E97"/>
    <w:rsid w:val="00F75108"/>
    <w:rsid w:val="00F76290"/>
    <w:rsid w:val="00F76899"/>
    <w:rsid w:val="00F76B14"/>
    <w:rsid w:val="00F77C5E"/>
    <w:rsid w:val="00F77F71"/>
    <w:rsid w:val="00F826BE"/>
    <w:rsid w:val="00F82DD0"/>
    <w:rsid w:val="00F83BB3"/>
    <w:rsid w:val="00F84145"/>
    <w:rsid w:val="00F843B0"/>
    <w:rsid w:val="00F8672C"/>
    <w:rsid w:val="00F906EE"/>
    <w:rsid w:val="00F91FB3"/>
    <w:rsid w:val="00F92C87"/>
    <w:rsid w:val="00F932D9"/>
    <w:rsid w:val="00F95116"/>
    <w:rsid w:val="00F95424"/>
    <w:rsid w:val="00F95D49"/>
    <w:rsid w:val="00F96D33"/>
    <w:rsid w:val="00F97053"/>
    <w:rsid w:val="00F97337"/>
    <w:rsid w:val="00F97608"/>
    <w:rsid w:val="00F976E4"/>
    <w:rsid w:val="00FA0489"/>
    <w:rsid w:val="00FA4023"/>
    <w:rsid w:val="00FA41D2"/>
    <w:rsid w:val="00FA467B"/>
    <w:rsid w:val="00FA5A07"/>
    <w:rsid w:val="00FA7659"/>
    <w:rsid w:val="00FB0187"/>
    <w:rsid w:val="00FB0EFE"/>
    <w:rsid w:val="00FB12E7"/>
    <w:rsid w:val="00FB3B21"/>
    <w:rsid w:val="00FB443A"/>
    <w:rsid w:val="00FB48E3"/>
    <w:rsid w:val="00FB5E1D"/>
    <w:rsid w:val="00FB5FF8"/>
    <w:rsid w:val="00FB65FB"/>
    <w:rsid w:val="00FB67EE"/>
    <w:rsid w:val="00FB7284"/>
    <w:rsid w:val="00FB758C"/>
    <w:rsid w:val="00FC0454"/>
    <w:rsid w:val="00FC04E9"/>
    <w:rsid w:val="00FC0B67"/>
    <w:rsid w:val="00FC36DC"/>
    <w:rsid w:val="00FC790C"/>
    <w:rsid w:val="00FD0154"/>
    <w:rsid w:val="00FD1BA3"/>
    <w:rsid w:val="00FD29DF"/>
    <w:rsid w:val="00FD2DC9"/>
    <w:rsid w:val="00FD408A"/>
    <w:rsid w:val="00FD5D39"/>
    <w:rsid w:val="00FD6C37"/>
    <w:rsid w:val="00FD7473"/>
    <w:rsid w:val="00FD787A"/>
    <w:rsid w:val="00FE25EC"/>
    <w:rsid w:val="00FE35F2"/>
    <w:rsid w:val="00FE46EF"/>
    <w:rsid w:val="00FE679C"/>
    <w:rsid w:val="00FE6CC0"/>
    <w:rsid w:val="00FE6D4A"/>
    <w:rsid w:val="00FE72A2"/>
    <w:rsid w:val="00FF3164"/>
    <w:rsid w:val="00FF437E"/>
    <w:rsid w:val="00FF45B7"/>
    <w:rsid w:val="01C8A24E"/>
    <w:rsid w:val="0246212A"/>
    <w:rsid w:val="02B175E4"/>
    <w:rsid w:val="02FA2946"/>
    <w:rsid w:val="03230CA8"/>
    <w:rsid w:val="033DF601"/>
    <w:rsid w:val="03431A2F"/>
    <w:rsid w:val="03BD7EDA"/>
    <w:rsid w:val="03BE03D5"/>
    <w:rsid w:val="03F1B9FD"/>
    <w:rsid w:val="04A3ECEA"/>
    <w:rsid w:val="04FCEB7E"/>
    <w:rsid w:val="0525A7B4"/>
    <w:rsid w:val="0594A4F5"/>
    <w:rsid w:val="06F4CA5C"/>
    <w:rsid w:val="0714238D"/>
    <w:rsid w:val="072856EA"/>
    <w:rsid w:val="07C5F70C"/>
    <w:rsid w:val="08224645"/>
    <w:rsid w:val="0854CDE5"/>
    <w:rsid w:val="085F312A"/>
    <w:rsid w:val="089CA533"/>
    <w:rsid w:val="08FFADC8"/>
    <w:rsid w:val="09997124"/>
    <w:rsid w:val="0A3FF891"/>
    <w:rsid w:val="0A7A01C9"/>
    <w:rsid w:val="0B01401D"/>
    <w:rsid w:val="0B3821B7"/>
    <w:rsid w:val="0B83F0A5"/>
    <w:rsid w:val="0BB14E63"/>
    <w:rsid w:val="0C45D516"/>
    <w:rsid w:val="0D6B2E0F"/>
    <w:rsid w:val="0DE5B8F3"/>
    <w:rsid w:val="0EFCC008"/>
    <w:rsid w:val="0F251261"/>
    <w:rsid w:val="0F7017FB"/>
    <w:rsid w:val="0F75E471"/>
    <w:rsid w:val="0FCC7A30"/>
    <w:rsid w:val="0FF815BC"/>
    <w:rsid w:val="10777C8E"/>
    <w:rsid w:val="108ADF99"/>
    <w:rsid w:val="12567CA2"/>
    <w:rsid w:val="12FB5A55"/>
    <w:rsid w:val="1422C357"/>
    <w:rsid w:val="144D838D"/>
    <w:rsid w:val="144ECAA9"/>
    <w:rsid w:val="1492DC2B"/>
    <w:rsid w:val="14C7C813"/>
    <w:rsid w:val="14DCFCB4"/>
    <w:rsid w:val="151FC70B"/>
    <w:rsid w:val="1581604D"/>
    <w:rsid w:val="15D251F0"/>
    <w:rsid w:val="169BFF65"/>
    <w:rsid w:val="17823169"/>
    <w:rsid w:val="17A7B61E"/>
    <w:rsid w:val="17DFA9C5"/>
    <w:rsid w:val="17E92067"/>
    <w:rsid w:val="1949FCE9"/>
    <w:rsid w:val="196A7F1E"/>
    <w:rsid w:val="19B32C46"/>
    <w:rsid w:val="1A3DD77F"/>
    <w:rsid w:val="1AC8707C"/>
    <w:rsid w:val="1B1C694E"/>
    <w:rsid w:val="1B626BB5"/>
    <w:rsid w:val="1B72E9CA"/>
    <w:rsid w:val="1B77398F"/>
    <w:rsid w:val="1BF9150A"/>
    <w:rsid w:val="1C0DDD54"/>
    <w:rsid w:val="1C543B38"/>
    <w:rsid w:val="1C6099AA"/>
    <w:rsid w:val="1DF12BE4"/>
    <w:rsid w:val="1DFE2ADF"/>
    <w:rsid w:val="1EABCDB4"/>
    <w:rsid w:val="1F2016AF"/>
    <w:rsid w:val="1F8C0EA9"/>
    <w:rsid w:val="1FA8387D"/>
    <w:rsid w:val="1FD3389D"/>
    <w:rsid w:val="20365470"/>
    <w:rsid w:val="20913441"/>
    <w:rsid w:val="20D730EF"/>
    <w:rsid w:val="2261512A"/>
    <w:rsid w:val="231A3AF0"/>
    <w:rsid w:val="23C3F513"/>
    <w:rsid w:val="23C9ACDC"/>
    <w:rsid w:val="23D10E7E"/>
    <w:rsid w:val="245DCBF0"/>
    <w:rsid w:val="24853234"/>
    <w:rsid w:val="258CD228"/>
    <w:rsid w:val="25D7A516"/>
    <w:rsid w:val="25ECB8D7"/>
    <w:rsid w:val="25F972A6"/>
    <w:rsid w:val="25FBFA35"/>
    <w:rsid w:val="26270E28"/>
    <w:rsid w:val="2642D921"/>
    <w:rsid w:val="2675BABF"/>
    <w:rsid w:val="2820AAA4"/>
    <w:rsid w:val="2847545A"/>
    <w:rsid w:val="2878E37B"/>
    <w:rsid w:val="28E189AD"/>
    <w:rsid w:val="29702D26"/>
    <w:rsid w:val="29CA7080"/>
    <w:rsid w:val="29CBDD7A"/>
    <w:rsid w:val="29EC4AC5"/>
    <w:rsid w:val="2A06966D"/>
    <w:rsid w:val="2B05754A"/>
    <w:rsid w:val="2BF89973"/>
    <w:rsid w:val="2C282A64"/>
    <w:rsid w:val="2C93368B"/>
    <w:rsid w:val="2CB6D14C"/>
    <w:rsid w:val="2CC8A807"/>
    <w:rsid w:val="2CEC8109"/>
    <w:rsid w:val="2CEDBF23"/>
    <w:rsid w:val="2CFEEA80"/>
    <w:rsid w:val="2D150A66"/>
    <w:rsid w:val="2D203FC4"/>
    <w:rsid w:val="2D6AB60C"/>
    <w:rsid w:val="2DFA423C"/>
    <w:rsid w:val="2E8A7E2C"/>
    <w:rsid w:val="2E92DBC4"/>
    <w:rsid w:val="2EC8648E"/>
    <w:rsid w:val="2F601779"/>
    <w:rsid w:val="2F88BB14"/>
    <w:rsid w:val="304573BC"/>
    <w:rsid w:val="3047754B"/>
    <w:rsid w:val="30C2CB61"/>
    <w:rsid w:val="31BE55BD"/>
    <w:rsid w:val="3260E4CA"/>
    <w:rsid w:val="32C41663"/>
    <w:rsid w:val="32C5A50E"/>
    <w:rsid w:val="33F5C00A"/>
    <w:rsid w:val="347F842C"/>
    <w:rsid w:val="34ACC548"/>
    <w:rsid w:val="353E8024"/>
    <w:rsid w:val="35854938"/>
    <w:rsid w:val="35BC780B"/>
    <w:rsid w:val="363C5D25"/>
    <w:rsid w:val="363D91B7"/>
    <w:rsid w:val="36B96462"/>
    <w:rsid w:val="36FA7D0E"/>
    <w:rsid w:val="370AFAFE"/>
    <w:rsid w:val="3752959A"/>
    <w:rsid w:val="3812FF2F"/>
    <w:rsid w:val="3817F1F5"/>
    <w:rsid w:val="3847A9CA"/>
    <w:rsid w:val="397FA81F"/>
    <w:rsid w:val="3A449D4A"/>
    <w:rsid w:val="3ABDF40A"/>
    <w:rsid w:val="3AD4F8B4"/>
    <w:rsid w:val="3B191263"/>
    <w:rsid w:val="3B974C9E"/>
    <w:rsid w:val="3BB5C41E"/>
    <w:rsid w:val="3BC0A228"/>
    <w:rsid w:val="3C013525"/>
    <w:rsid w:val="3C0C7F4C"/>
    <w:rsid w:val="3C2F58D4"/>
    <w:rsid w:val="3CA1180D"/>
    <w:rsid w:val="3DA2CC90"/>
    <w:rsid w:val="3F089DF3"/>
    <w:rsid w:val="3F38715D"/>
    <w:rsid w:val="3F3F74EA"/>
    <w:rsid w:val="3F4A39F0"/>
    <w:rsid w:val="3F94E8A2"/>
    <w:rsid w:val="3FCF650F"/>
    <w:rsid w:val="436BA0E5"/>
    <w:rsid w:val="43CFD781"/>
    <w:rsid w:val="4486F894"/>
    <w:rsid w:val="451BE794"/>
    <w:rsid w:val="457BDDC7"/>
    <w:rsid w:val="458FC146"/>
    <w:rsid w:val="45ABD33A"/>
    <w:rsid w:val="45B35B9E"/>
    <w:rsid w:val="462D2BDB"/>
    <w:rsid w:val="4675E1B9"/>
    <w:rsid w:val="46D360B8"/>
    <w:rsid w:val="4791E4E7"/>
    <w:rsid w:val="47ACC861"/>
    <w:rsid w:val="484498E5"/>
    <w:rsid w:val="48C28164"/>
    <w:rsid w:val="48FD587E"/>
    <w:rsid w:val="491DCE92"/>
    <w:rsid w:val="49578753"/>
    <w:rsid w:val="4988ED0A"/>
    <w:rsid w:val="498FDDB7"/>
    <w:rsid w:val="4A02CD65"/>
    <w:rsid w:val="4A35CF2D"/>
    <w:rsid w:val="4A85A816"/>
    <w:rsid w:val="4AB29A94"/>
    <w:rsid w:val="4B12DFEC"/>
    <w:rsid w:val="4B448C42"/>
    <w:rsid w:val="4B4C5658"/>
    <w:rsid w:val="4BB807E8"/>
    <w:rsid w:val="4C3EDB7C"/>
    <w:rsid w:val="4CD6B131"/>
    <w:rsid w:val="4D397506"/>
    <w:rsid w:val="4D5568ED"/>
    <w:rsid w:val="4D809D4B"/>
    <w:rsid w:val="4DC24A60"/>
    <w:rsid w:val="4DCA6612"/>
    <w:rsid w:val="4DD973DE"/>
    <w:rsid w:val="4FA9842B"/>
    <w:rsid w:val="506CD00C"/>
    <w:rsid w:val="50EC2F55"/>
    <w:rsid w:val="50F93FA7"/>
    <w:rsid w:val="51405005"/>
    <w:rsid w:val="5171BEF6"/>
    <w:rsid w:val="5269A9DA"/>
    <w:rsid w:val="529095C7"/>
    <w:rsid w:val="52CE7F04"/>
    <w:rsid w:val="54B4925B"/>
    <w:rsid w:val="5589ACDA"/>
    <w:rsid w:val="55E7AC6B"/>
    <w:rsid w:val="570079CD"/>
    <w:rsid w:val="5746ED55"/>
    <w:rsid w:val="574C5712"/>
    <w:rsid w:val="5780CC9D"/>
    <w:rsid w:val="57B1B82A"/>
    <w:rsid w:val="58576AE2"/>
    <w:rsid w:val="58D57F9D"/>
    <w:rsid w:val="5925D02B"/>
    <w:rsid w:val="5933671B"/>
    <w:rsid w:val="5941E1EC"/>
    <w:rsid w:val="5AD07395"/>
    <w:rsid w:val="5ADB7A5B"/>
    <w:rsid w:val="5B7854BA"/>
    <w:rsid w:val="5C1A9143"/>
    <w:rsid w:val="5C25B387"/>
    <w:rsid w:val="5CC6E06E"/>
    <w:rsid w:val="5D224F90"/>
    <w:rsid w:val="5E2CC444"/>
    <w:rsid w:val="5EC5E025"/>
    <w:rsid w:val="5F3D9C22"/>
    <w:rsid w:val="5F4263E4"/>
    <w:rsid w:val="5F927584"/>
    <w:rsid w:val="609B30D7"/>
    <w:rsid w:val="62176E03"/>
    <w:rsid w:val="62A5112F"/>
    <w:rsid w:val="62CBE231"/>
    <w:rsid w:val="62ED06A0"/>
    <w:rsid w:val="635F20E3"/>
    <w:rsid w:val="63AF951D"/>
    <w:rsid w:val="640D174E"/>
    <w:rsid w:val="65426FD5"/>
    <w:rsid w:val="65704B2B"/>
    <w:rsid w:val="65CE7206"/>
    <w:rsid w:val="65DC0A93"/>
    <w:rsid w:val="65DDA2C8"/>
    <w:rsid w:val="66025856"/>
    <w:rsid w:val="665ACD4C"/>
    <w:rsid w:val="66D07ECC"/>
    <w:rsid w:val="66D9CC20"/>
    <w:rsid w:val="67B20A56"/>
    <w:rsid w:val="683D47CC"/>
    <w:rsid w:val="687583FC"/>
    <w:rsid w:val="687FA060"/>
    <w:rsid w:val="68DF5CBA"/>
    <w:rsid w:val="690758BB"/>
    <w:rsid w:val="6953287F"/>
    <w:rsid w:val="6953FBFA"/>
    <w:rsid w:val="696174DA"/>
    <w:rsid w:val="69BEBDFA"/>
    <w:rsid w:val="6AFCFF65"/>
    <w:rsid w:val="6AFDB115"/>
    <w:rsid w:val="6B08FFB6"/>
    <w:rsid w:val="6B1C42FD"/>
    <w:rsid w:val="6B333B3D"/>
    <w:rsid w:val="6B492E17"/>
    <w:rsid w:val="6B60DA33"/>
    <w:rsid w:val="6BDA2A9C"/>
    <w:rsid w:val="6CAAFF02"/>
    <w:rsid w:val="6CDCA6CA"/>
    <w:rsid w:val="6D06E9D4"/>
    <w:rsid w:val="6D341177"/>
    <w:rsid w:val="6DAC45CD"/>
    <w:rsid w:val="6DD1F4B7"/>
    <w:rsid w:val="6DF41D38"/>
    <w:rsid w:val="6E66B7D6"/>
    <w:rsid w:val="6FD1F56F"/>
    <w:rsid w:val="707FC2C9"/>
    <w:rsid w:val="7086ECA0"/>
    <w:rsid w:val="71D32E27"/>
    <w:rsid w:val="71E7F639"/>
    <w:rsid w:val="72056C62"/>
    <w:rsid w:val="72EC4939"/>
    <w:rsid w:val="73F50BDD"/>
    <w:rsid w:val="741B33EE"/>
    <w:rsid w:val="74669B73"/>
    <w:rsid w:val="74A190E8"/>
    <w:rsid w:val="74D20C93"/>
    <w:rsid w:val="75965F95"/>
    <w:rsid w:val="75CBA68F"/>
    <w:rsid w:val="75FA6B5C"/>
    <w:rsid w:val="76260F6D"/>
    <w:rsid w:val="766E3FC2"/>
    <w:rsid w:val="76C55742"/>
    <w:rsid w:val="77C6A6B5"/>
    <w:rsid w:val="78458FEC"/>
    <w:rsid w:val="79631B88"/>
    <w:rsid w:val="798130BD"/>
    <w:rsid w:val="79AC1737"/>
    <w:rsid w:val="7A496FDF"/>
    <w:rsid w:val="7A7DB74E"/>
    <w:rsid w:val="7AA8688C"/>
    <w:rsid w:val="7BB50424"/>
    <w:rsid w:val="7BE0D207"/>
    <w:rsid w:val="7C30E3B2"/>
    <w:rsid w:val="7C63CE5B"/>
    <w:rsid w:val="7C853D27"/>
    <w:rsid w:val="7C8A6CDA"/>
    <w:rsid w:val="7CC47F10"/>
    <w:rsid w:val="7D66E27A"/>
    <w:rsid w:val="7D77F62E"/>
    <w:rsid w:val="7D8F3142"/>
    <w:rsid w:val="7DE55FB6"/>
    <w:rsid w:val="7E37863F"/>
    <w:rsid w:val="7E635857"/>
    <w:rsid w:val="7F20115B"/>
    <w:rsid w:val="7FF50C9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49705"/>
  <w15:docId w15:val="{9EFA2A9D-8111-4887-AD28-3ACBF17F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EC411E"/>
    <w:pPr>
      <w:spacing w:after="200" w:line="276" w:lineRule="auto"/>
    </w:pPr>
    <w:rPr>
      <w:sz w:val="22"/>
      <w:szCs w:val="22"/>
      <w:lang w:val="es-ES" w:eastAsia="en-US"/>
    </w:rPr>
  </w:style>
  <w:style w:type="paragraph" w:styleId="Ttulo1">
    <w:name w:val="heading 1"/>
    <w:basedOn w:val="Normal"/>
    <w:link w:val="Ttulo1Car"/>
    <w:uiPriority w:val="9"/>
    <w:qFormat/>
    <w:rsid w:val="000C3BFF"/>
    <w:pPr>
      <w:widowControl w:val="0"/>
      <w:autoSpaceDE w:val="0"/>
      <w:autoSpaceDN w:val="0"/>
      <w:spacing w:after="0" w:line="241" w:lineRule="exact"/>
      <w:ind w:right="8"/>
      <w:jc w:val="center"/>
      <w:outlineLvl w:val="0"/>
    </w:pPr>
    <w:rPr>
      <w:rFonts w:ascii="Arial" w:eastAsia="Arial" w:hAnsi="Arial" w:cs="Arial"/>
      <w:b/>
      <w:bCs/>
      <w:sz w:val="21"/>
      <w:szCs w:val="21"/>
    </w:rPr>
  </w:style>
  <w:style w:type="paragraph" w:styleId="Ttulo2">
    <w:name w:val="heading 2"/>
    <w:basedOn w:val="Normal"/>
    <w:next w:val="Normal"/>
    <w:link w:val="Ttulo2Car"/>
    <w:uiPriority w:val="9"/>
    <w:semiHidden/>
    <w:unhideWhenUsed/>
    <w:qFormat/>
    <w:rsid w:val="000C5179"/>
    <w:pPr>
      <w:keepNext/>
      <w:keepLines/>
      <w:spacing w:before="40" w:after="0"/>
      <w:outlineLvl w:val="1"/>
    </w:pPr>
    <w:rPr>
      <w:rFonts w:ascii="Calibri Light" w:eastAsia="Times New Roman" w:hAnsi="Calibri Light"/>
      <w:color w:val="2E74B5"/>
      <w:sz w:val="26"/>
      <w:szCs w:val="26"/>
    </w:rPr>
  </w:style>
  <w:style w:type="paragraph" w:styleId="Ttulo4">
    <w:name w:val="heading 4"/>
    <w:basedOn w:val="Normal"/>
    <w:next w:val="Normal"/>
    <w:link w:val="Ttulo4Car"/>
    <w:qFormat/>
    <w:rsid w:val="000C5179"/>
    <w:pPr>
      <w:keepNext/>
      <w:numPr>
        <w:ilvl w:val="1"/>
        <w:numId w:val="11"/>
      </w:numPr>
      <w:spacing w:after="0" w:line="240" w:lineRule="auto"/>
      <w:outlineLvl w:val="3"/>
    </w:pPr>
    <w:rPr>
      <w:rFonts w:ascii="Arial" w:eastAsia="Arial Unicode MS" w:hAnsi="Arial" w:cs="Arial"/>
      <w:b/>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1Car">
    <w:name w:val="Título 1 Car"/>
    <w:link w:val="Ttulo1"/>
    <w:uiPriority w:val="9"/>
    <w:rsid w:val="000C3BFF"/>
    <w:rPr>
      <w:rFonts w:ascii="Arial" w:eastAsia="Arial" w:hAnsi="Arial" w:cs="Arial"/>
      <w:b/>
      <w:bCs/>
      <w:sz w:val="21"/>
      <w:szCs w:val="21"/>
      <w:lang w:val="es-ES" w:eastAsia="en-US"/>
    </w:rPr>
  </w:style>
  <w:style w:type="paragraph" w:styleId="Textoindependiente">
    <w:name w:val="Body Text"/>
    <w:basedOn w:val="Normal"/>
    <w:link w:val="TextoindependienteCar"/>
    <w:uiPriority w:val="1"/>
    <w:qFormat/>
    <w:rsid w:val="000C3BFF"/>
    <w:pPr>
      <w:widowControl w:val="0"/>
      <w:autoSpaceDE w:val="0"/>
      <w:autoSpaceDN w:val="0"/>
      <w:spacing w:after="0" w:line="240" w:lineRule="auto"/>
    </w:pPr>
    <w:rPr>
      <w:rFonts w:ascii="Arial MT" w:eastAsia="Arial MT" w:hAnsi="Arial MT" w:cs="Arial MT"/>
      <w:sz w:val="21"/>
      <w:szCs w:val="21"/>
    </w:rPr>
  </w:style>
  <w:style w:type="character" w:customStyle="1" w:styleId="TextoindependienteCar">
    <w:name w:val="Texto independiente Car"/>
    <w:link w:val="Textoindependiente"/>
    <w:uiPriority w:val="1"/>
    <w:rsid w:val="000C3BFF"/>
    <w:rPr>
      <w:rFonts w:ascii="Arial MT" w:eastAsia="Arial MT" w:hAnsi="Arial MT" w:cs="Arial MT"/>
      <w:sz w:val="21"/>
      <w:szCs w:val="21"/>
      <w:lang w:val="es-ES" w:eastAsia="en-US"/>
    </w:rPr>
  </w:style>
  <w:style w:type="paragraph" w:styleId="Textonotapie">
    <w:name w:val="footnote text"/>
    <w:basedOn w:val="Normal"/>
    <w:link w:val="TextonotapieCar"/>
    <w:uiPriority w:val="99"/>
    <w:unhideWhenUsed/>
    <w:rsid w:val="000C3BFF"/>
    <w:pPr>
      <w:spacing w:after="0" w:line="240" w:lineRule="auto"/>
    </w:pPr>
    <w:rPr>
      <w:sz w:val="20"/>
      <w:szCs w:val="20"/>
    </w:rPr>
  </w:style>
  <w:style w:type="character" w:customStyle="1" w:styleId="TextonotapieCar">
    <w:name w:val="Texto nota pie Car"/>
    <w:link w:val="Textonotapie"/>
    <w:uiPriority w:val="99"/>
    <w:rsid w:val="000C3BFF"/>
    <w:rPr>
      <w:lang w:val="es-ES" w:eastAsia="en-US"/>
    </w:rPr>
  </w:style>
  <w:style w:type="character" w:styleId="Refdenotaalpie">
    <w:name w:val="footnote reference"/>
    <w:uiPriority w:val="99"/>
    <w:semiHidden/>
    <w:unhideWhenUsed/>
    <w:rsid w:val="000C3BFF"/>
    <w:rPr>
      <w:vertAlign w:val="superscript"/>
    </w:rPr>
  </w:style>
  <w:style w:type="paragraph" w:customStyle="1" w:styleId="Default">
    <w:name w:val="Default"/>
    <w:link w:val="DefaultCar"/>
    <w:rsid w:val="000C3BFF"/>
    <w:pPr>
      <w:autoSpaceDE w:val="0"/>
      <w:autoSpaceDN w:val="0"/>
      <w:adjustRightInd w:val="0"/>
    </w:pPr>
    <w:rPr>
      <w:rFonts w:ascii="Arial" w:hAnsi="Arial" w:cs="Arial"/>
      <w:color w:val="000000"/>
      <w:sz w:val="24"/>
      <w:szCs w:val="24"/>
    </w:rPr>
  </w:style>
  <w:style w:type="paragraph" w:styleId="Revisin">
    <w:name w:val="Revision"/>
    <w:hidden/>
    <w:uiPriority w:val="71"/>
    <w:unhideWhenUsed/>
    <w:rsid w:val="000403B9"/>
    <w:rPr>
      <w:sz w:val="22"/>
      <w:szCs w:val="22"/>
      <w:lang w:val="es-ES" w:eastAsia="en-US"/>
    </w:rPr>
  </w:style>
  <w:style w:type="character" w:styleId="Refdecomentario">
    <w:name w:val="annotation reference"/>
    <w:uiPriority w:val="99"/>
    <w:semiHidden/>
    <w:unhideWhenUsed/>
    <w:rsid w:val="00056CD1"/>
    <w:rPr>
      <w:sz w:val="16"/>
      <w:szCs w:val="16"/>
    </w:rPr>
  </w:style>
  <w:style w:type="paragraph" w:styleId="Textocomentario">
    <w:name w:val="annotation text"/>
    <w:basedOn w:val="Normal"/>
    <w:link w:val="TextocomentarioCar"/>
    <w:uiPriority w:val="99"/>
    <w:unhideWhenUsed/>
    <w:rsid w:val="00056CD1"/>
    <w:pPr>
      <w:spacing w:line="240" w:lineRule="auto"/>
    </w:pPr>
    <w:rPr>
      <w:sz w:val="20"/>
      <w:szCs w:val="20"/>
    </w:rPr>
  </w:style>
  <w:style w:type="character" w:customStyle="1" w:styleId="TextocomentarioCar">
    <w:name w:val="Texto comentario Car"/>
    <w:link w:val="Textocomentario"/>
    <w:uiPriority w:val="99"/>
    <w:rsid w:val="00056CD1"/>
    <w:rPr>
      <w:lang w:val="es-ES" w:eastAsia="en-US"/>
    </w:rPr>
  </w:style>
  <w:style w:type="paragraph" w:styleId="Asuntodelcomentario">
    <w:name w:val="annotation subject"/>
    <w:basedOn w:val="Textocomentario"/>
    <w:next w:val="Textocomentario"/>
    <w:link w:val="AsuntodelcomentarioCar"/>
    <w:uiPriority w:val="99"/>
    <w:semiHidden/>
    <w:unhideWhenUsed/>
    <w:rsid w:val="00056CD1"/>
    <w:rPr>
      <w:b/>
      <w:bCs/>
    </w:rPr>
  </w:style>
  <w:style w:type="character" w:customStyle="1" w:styleId="AsuntodelcomentarioCar">
    <w:name w:val="Asunto del comentario Car"/>
    <w:link w:val="Asuntodelcomentario"/>
    <w:uiPriority w:val="99"/>
    <w:semiHidden/>
    <w:rsid w:val="00056CD1"/>
    <w:rPr>
      <w:b/>
      <w:bCs/>
      <w:lang w:val="es-ES" w:eastAsia="en-US"/>
    </w:rPr>
  </w:style>
  <w:style w:type="paragraph" w:styleId="Sinespaciado">
    <w:name w:val="No Spacing"/>
    <w:link w:val="SinespaciadoCar"/>
    <w:uiPriority w:val="99"/>
    <w:qFormat/>
    <w:rsid w:val="00053AAF"/>
    <w:rPr>
      <w:kern w:val="2"/>
      <w:sz w:val="22"/>
      <w:szCs w:val="22"/>
      <w:lang w:eastAsia="en-US"/>
    </w:rPr>
  </w:style>
  <w:style w:type="character" w:customStyle="1" w:styleId="SinespaciadoCar">
    <w:name w:val="Sin espaciado Car"/>
    <w:link w:val="Sinespaciado"/>
    <w:uiPriority w:val="1"/>
    <w:rsid w:val="00053AAF"/>
    <w:rPr>
      <w:rFonts w:ascii="Calibri" w:eastAsia="Calibri" w:hAnsi="Calibri" w:cs="Times New Roman"/>
      <w:kern w:val="2"/>
      <w:sz w:val="22"/>
      <w:szCs w:val="22"/>
      <w:lang w:eastAsia="en-US"/>
    </w:rPr>
  </w:style>
  <w:style w:type="character" w:customStyle="1" w:styleId="Ttulo2Car">
    <w:name w:val="Título 2 Car"/>
    <w:link w:val="Ttulo2"/>
    <w:uiPriority w:val="9"/>
    <w:semiHidden/>
    <w:rsid w:val="000C5179"/>
    <w:rPr>
      <w:rFonts w:ascii="Calibri Light" w:eastAsia="Times New Roman" w:hAnsi="Calibri Light"/>
      <w:color w:val="2E74B5"/>
      <w:sz w:val="26"/>
      <w:szCs w:val="26"/>
      <w:lang w:val="es-ES" w:eastAsia="en-US"/>
    </w:rPr>
  </w:style>
  <w:style w:type="character" w:customStyle="1" w:styleId="Ttulo4Car">
    <w:name w:val="Título 4 Car"/>
    <w:link w:val="Ttulo4"/>
    <w:rsid w:val="000C5179"/>
    <w:rPr>
      <w:rFonts w:ascii="Arial" w:eastAsia="Arial Unicode MS" w:hAnsi="Arial" w:cs="Arial"/>
      <w:b/>
      <w:sz w:val="22"/>
      <w:szCs w:val="24"/>
      <w:lang w:val="es-ES" w:eastAsia="es-ES"/>
    </w:rPr>
  </w:style>
  <w:style w:type="paragraph" w:styleId="Prrafodelista">
    <w:name w:val="List Paragraph"/>
    <w:basedOn w:val="Normal"/>
    <w:uiPriority w:val="1"/>
    <w:qFormat/>
    <w:rsid w:val="000C5179"/>
    <w:pPr>
      <w:ind w:left="720"/>
      <w:contextualSpacing/>
    </w:pPr>
  </w:style>
  <w:style w:type="paragraph" w:styleId="Ttulo">
    <w:name w:val="Title"/>
    <w:basedOn w:val="Normal"/>
    <w:next w:val="Normal"/>
    <w:link w:val="TtuloCar"/>
    <w:uiPriority w:val="10"/>
    <w:qFormat/>
    <w:rsid w:val="000C5179"/>
    <w:pPr>
      <w:spacing w:before="240" w:after="60"/>
      <w:jc w:val="center"/>
      <w:outlineLvl w:val="0"/>
    </w:pPr>
    <w:rPr>
      <w:rFonts w:ascii="Calibri Light" w:eastAsia="Times New Roman" w:hAnsi="Calibri Light"/>
      <w:b/>
      <w:bCs/>
      <w:kern w:val="28"/>
      <w:sz w:val="32"/>
      <w:szCs w:val="32"/>
    </w:rPr>
  </w:style>
  <w:style w:type="character" w:customStyle="1" w:styleId="TtuloCar">
    <w:name w:val="Título Car"/>
    <w:link w:val="Ttulo"/>
    <w:uiPriority w:val="10"/>
    <w:rsid w:val="000C5179"/>
    <w:rPr>
      <w:rFonts w:ascii="Calibri Light" w:eastAsia="Times New Roman" w:hAnsi="Calibri Light"/>
      <w:b/>
      <w:bCs/>
      <w:kern w:val="28"/>
      <w:sz w:val="32"/>
      <w:szCs w:val="32"/>
      <w:lang w:val="es-ES" w:eastAsia="en-US"/>
    </w:rPr>
  </w:style>
  <w:style w:type="character" w:styleId="Hipervnculovisitado">
    <w:name w:val="FollowedHyperlink"/>
    <w:uiPriority w:val="99"/>
    <w:semiHidden/>
    <w:unhideWhenUsed/>
    <w:rsid w:val="000C5179"/>
    <w:rPr>
      <w:color w:val="954F72"/>
      <w:u w:val="single"/>
    </w:rPr>
  </w:style>
  <w:style w:type="character" w:styleId="Mencinsinresolver">
    <w:name w:val="Unresolved Mention"/>
    <w:uiPriority w:val="47"/>
    <w:rsid w:val="000C5179"/>
    <w:rPr>
      <w:color w:val="808080"/>
      <w:shd w:val="clear" w:color="auto" w:fill="E6E6E6"/>
    </w:rPr>
  </w:style>
  <w:style w:type="character" w:customStyle="1" w:styleId="DefaultCar">
    <w:name w:val="Default Car"/>
    <w:link w:val="Default"/>
    <w:locked/>
    <w:rsid w:val="000C5179"/>
    <w:rPr>
      <w:rFonts w:ascii="Arial" w:hAnsi="Arial" w:cs="Arial"/>
      <w:color w:val="000000"/>
      <w:sz w:val="24"/>
      <w:szCs w:val="24"/>
    </w:rPr>
  </w:style>
  <w:style w:type="paragraph" w:customStyle="1" w:styleId="msonormal0">
    <w:name w:val="msonormal"/>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02">
    <w:name w:val="xl902"/>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03">
    <w:name w:val="xl903"/>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4">
    <w:name w:val="xl904"/>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5">
    <w:name w:val="xl90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6">
    <w:name w:val="xl906"/>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7">
    <w:name w:val="xl90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8">
    <w:name w:val="xl908"/>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9">
    <w:name w:val="xl90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20"/>
      <w:szCs w:val="20"/>
      <w:lang w:val="es-CO" w:eastAsia="es-CO"/>
    </w:rPr>
  </w:style>
  <w:style w:type="paragraph" w:customStyle="1" w:styleId="xl910">
    <w:name w:val="xl910"/>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1">
    <w:name w:val="xl91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2">
    <w:name w:val="xl91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3">
    <w:name w:val="xl91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4">
    <w:name w:val="xl914"/>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5">
    <w:name w:val="xl915"/>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6">
    <w:name w:val="xl916"/>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7">
    <w:name w:val="xl91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8">
    <w:name w:val="xl918"/>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9">
    <w:name w:val="xl91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0">
    <w:name w:val="xl920"/>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1">
    <w:name w:val="xl921"/>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2">
    <w:name w:val="xl92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3">
    <w:name w:val="xl923"/>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4">
    <w:name w:val="xl924"/>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25">
    <w:name w:val="xl92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6">
    <w:name w:val="xl926"/>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styleId="NormalWeb">
    <w:name w:val="Normal (Web)"/>
    <w:basedOn w:val="Normal"/>
    <w:uiPriority w:val="99"/>
    <w:semiHidden/>
    <w:unhideWhenUsed/>
    <w:rsid w:val="000C5179"/>
    <w:pPr>
      <w:spacing w:before="100" w:beforeAutospacing="1" w:after="100" w:afterAutospacing="1" w:line="240" w:lineRule="auto"/>
    </w:pPr>
    <w:rPr>
      <w:rFonts w:ascii="Times New Roman" w:eastAsia="Times New Roman" w:hAnsi="Times New Roman"/>
      <w:sz w:val="24"/>
      <w:szCs w:val="24"/>
      <w:lang w:val="es-CO" w:eastAsia="es-ES_tradnl"/>
    </w:rPr>
  </w:style>
  <w:style w:type="character" w:styleId="Nmerodepgina">
    <w:name w:val="page number"/>
    <w:uiPriority w:val="99"/>
    <w:semiHidden/>
    <w:unhideWhenUsed/>
    <w:rsid w:val="000C5179"/>
  </w:style>
  <w:style w:type="table" w:customStyle="1" w:styleId="TableGrid0">
    <w:name w:val="Table Grid0"/>
    <w:rsid w:val="000C5179"/>
    <w:rPr>
      <w:rFonts w:eastAsia="Times New Roman"/>
      <w:sz w:val="22"/>
      <w:szCs w:val="22"/>
    </w:rPr>
    <w:tblPr>
      <w:tblCellMar>
        <w:top w:w="0" w:type="dxa"/>
        <w:left w:w="0" w:type="dxa"/>
        <w:bottom w:w="0" w:type="dxa"/>
        <w:right w:w="0" w:type="dxa"/>
      </w:tblCellMar>
    </w:tblPr>
  </w:style>
  <w:style w:type="character" w:customStyle="1" w:styleId="Mencinsinresolver1">
    <w:name w:val="Mención sin resolver1"/>
    <w:uiPriority w:val="47"/>
    <w:rsid w:val="000C5179"/>
    <w:rPr>
      <w:color w:val="808080"/>
      <w:shd w:val="clear" w:color="auto" w:fill="E6E6E6"/>
    </w:rPr>
  </w:style>
  <w:style w:type="paragraph" w:customStyle="1" w:styleId="xl67">
    <w:name w:val="xl6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68">
    <w:name w:val="xl68"/>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9">
    <w:name w:val="xl6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70">
    <w:name w:val="xl70"/>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1">
    <w:name w:val="xl71"/>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2">
    <w:name w:val="xl7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3">
    <w:name w:val="xl7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4">
    <w:name w:val="xl74"/>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5">
    <w:name w:val="xl75"/>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6">
    <w:name w:val="xl76"/>
    <w:basedOn w:val="Normal"/>
    <w:rsid w:val="000C5179"/>
    <w:pPr>
      <w:spacing w:before="100" w:beforeAutospacing="1" w:after="100" w:afterAutospacing="1" w:line="240" w:lineRule="auto"/>
    </w:pPr>
    <w:rPr>
      <w:rFonts w:ascii="Times New Roman" w:eastAsia="Times New Roman" w:hAnsi="Times New Roman"/>
      <w:color w:val="FFFFFF"/>
      <w:sz w:val="24"/>
      <w:szCs w:val="24"/>
      <w:lang w:val="es-CO" w:eastAsia="es-CO"/>
    </w:rPr>
  </w:style>
  <w:style w:type="paragraph" w:customStyle="1" w:styleId="xl77">
    <w:name w:val="xl77"/>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8">
    <w:name w:val="xl78"/>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9">
    <w:name w:val="xl79"/>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0">
    <w:name w:val="xl80"/>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1">
    <w:name w:val="xl81"/>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2">
    <w:name w:val="xl8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3">
    <w:name w:val="xl83"/>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4">
    <w:name w:val="xl84"/>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5">
    <w:name w:val="xl85"/>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6">
    <w:name w:val="xl86"/>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7">
    <w:name w:val="xl87"/>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8">
    <w:name w:val="xl88"/>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9">
    <w:name w:val="xl8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0">
    <w:name w:val="xl90"/>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1">
    <w:name w:val="xl9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2">
    <w:name w:val="xl92"/>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3">
    <w:name w:val="xl93"/>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4">
    <w:name w:val="xl94"/>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5">
    <w:name w:val="xl95"/>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6">
    <w:name w:val="xl96"/>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7">
    <w:name w:val="xl97"/>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8">
    <w:name w:val="xl98"/>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9">
    <w:name w:val="xl9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5">
    <w:name w:val="xl65"/>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6">
    <w:name w:val="xl66"/>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3">
    <w:name w:val="xl63"/>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4">
    <w:name w:val="xl64"/>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NoSpacing1">
    <w:name w:val="No Spacing1"/>
    <w:qFormat/>
    <w:rsid w:val="000C5179"/>
    <w:pPr>
      <w:suppressAutoHyphens/>
    </w:pPr>
    <w:rPr>
      <w:sz w:val="22"/>
      <w:szCs w:val="22"/>
      <w:lang w:val="es-ES" w:eastAsia="ar-SA"/>
    </w:rPr>
  </w:style>
  <w:style w:type="paragraph" w:customStyle="1" w:styleId="xl100">
    <w:name w:val="xl100"/>
    <w:basedOn w:val="Normal"/>
    <w:rsid w:val="000C5179"/>
    <w:pPr>
      <w:pBdr>
        <w:top w:val="single" w:sz="8" w:space="0" w:color="548235"/>
        <w:left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l101">
    <w:name w:val="xl101"/>
    <w:basedOn w:val="Normal"/>
    <w:rsid w:val="000C5179"/>
    <w:pPr>
      <w:pBdr>
        <w:left w:val="single" w:sz="8" w:space="0" w:color="548235"/>
        <w:bottom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msonormal">
    <w:name w:val="x_msonormal"/>
    <w:basedOn w:val="Normal"/>
    <w:rsid w:val="000C5179"/>
    <w:pPr>
      <w:spacing w:after="0" w:line="240" w:lineRule="auto"/>
    </w:pPr>
    <w:rPr>
      <w:rFonts w:cs="Calibri"/>
      <w:lang w:val="es-CO" w:eastAsia="es-CO"/>
    </w:rPr>
  </w:style>
  <w:style w:type="paragraph" w:customStyle="1" w:styleId="xmsolistparagraph">
    <w:name w:val="x_msolistparagraph"/>
    <w:basedOn w:val="Normal"/>
    <w:rsid w:val="000C5179"/>
    <w:pPr>
      <w:spacing w:before="100" w:beforeAutospacing="1" w:after="100" w:afterAutospacing="1" w:line="240" w:lineRule="auto"/>
    </w:pPr>
    <w:rPr>
      <w:rFonts w:cs="Calibri"/>
      <w:lang w:val="es-CO" w:eastAsia="es-CO"/>
    </w:rPr>
  </w:style>
  <w:style w:type="table" w:styleId="Tabladelista4-nfasis3">
    <w:name w:val="List Table 4 Accent 3"/>
    <w:basedOn w:val="Tablanormal"/>
    <w:uiPriority w:val="49"/>
    <w:rsid w:val="000C5179"/>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nt5">
    <w:name w:val="font5"/>
    <w:basedOn w:val="Normal"/>
    <w:rsid w:val="0061623F"/>
    <w:pPr>
      <w:spacing w:before="100" w:beforeAutospacing="1" w:after="100" w:afterAutospacing="1" w:line="240" w:lineRule="auto"/>
    </w:pPr>
    <w:rPr>
      <w:rFonts w:ascii="Verdana" w:eastAsia="Times New Roman" w:hAnsi="Verdana"/>
      <w:sz w:val="14"/>
      <w:szCs w:val="14"/>
      <w:lang w:val="es-CO" w:eastAsia="es-CO"/>
    </w:rPr>
  </w:style>
  <w:style w:type="paragraph" w:customStyle="1" w:styleId="font6">
    <w:name w:val="font6"/>
    <w:basedOn w:val="Normal"/>
    <w:rsid w:val="0061623F"/>
    <w:pPr>
      <w:spacing w:before="100" w:beforeAutospacing="1" w:after="100" w:afterAutospacing="1" w:line="240" w:lineRule="auto"/>
    </w:pPr>
    <w:rPr>
      <w:rFonts w:ascii="Verdana" w:eastAsia="Times New Roman" w:hAnsi="Verdana"/>
      <w:b/>
      <w:bCs/>
      <w:sz w:val="14"/>
      <w:szCs w:val="14"/>
      <w:lang w:val="es-CO" w:eastAsia="es-CO"/>
    </w:rPr>
  </w:style>
  <w:style w:type="paragraph" w:customStyle="1" w:styleId="xl102">
    <w:name w:val="xl102"/>
    <w:basedOn w:val="Normal"/>
    <w:rsid w:val="0061623F"/>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3">
    <w:name w:val="xl103"/>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sz w:val="14"/>
      <w:szCs w:val="14"/>
      <w:lang w:val="es-CO" w:eastAsia="es-CO"/>
    </w:rPr>
  </w:style>
  <w:style w:type="paragraph" w:customStyle="1" w:styleId="xl104">
    <w:name w:val="xl104"/>
    <w:basedOn w:val="Normal"/>
    <w:rsid w:val="006F17A3"/>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Verdana" w:eastAsia="Times New Roman" w:hAnsi="Verdana"/>
      <w:b/>
      <w:bCs/>
      <w:sz w:val="14"/>
      <w:szCs w:val="14"/>
      <w:lang w:val="es-CO" w:eastAsia="es-CO"/>
    </w:rPr>
  </w:style>
  <w:style w:type="paragraph" w:customStyle="1" w:styleId="xl105">
    <w:name w:val="xl105"/>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6">
    <w:name w:val="xl106"/>
    <w:basedOn w:val="Normal"/>
    <w:rsid w:val="006F17A3"/>
    <w:pPr>
      <w:spacing w:before="100" w:beforeAutospacing="1" w:after="100" w:afterAutospacing="1" w:line="240" w:lineRule="auto"/>
      <w:jc w:val="both"/>
      <w:textAlignment w:val="center"/>
    </w:pPr>
    <w:rPr>
      <w:rFonts w:ascii="Verdana" w:eastAsia="Times New Roman" w:hAnsi="Verdana"/>
      <w:sz w:val="14"/>
      <w:szCs w:val="14"/>
      <w:lang w:val="es-CO" w:eastAsia="es-CO"/>
    </w:rPr>
  </w:style>
  <w:style w:type="paragraph" w:customStyle="1" w:styleId="xl107">
    <w:name w:val="xl107"/>
    <w:basedOn w:val="Normal"/>
    <w:rsid w:val="006F17A3"/>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8">
    <w:name w:val="xl108"/>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erdana" w:eastAsia="Times New Roman" w:hAnsi="Verdana"/>
      <w:color w:val="FF0000"/>
      <w:sz w:val="14"/>
      <w:szCs w:val="14"/>
      <w:lang w:val="es-CO" w:eastAsia="es-CO"/>
    </w:rPr>
  </w:style>
  <w:style w:type="paragraph" w:customStyle="1" w:styleId="Sinespaciado1">
    <w:name w:val="Sin espaciado1"/>
    <w:qFormat/>
    <w:rsid w:val="00EF077E"/>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8635">
      <w:bodyDiv w:val="1"/>
      <w:marLeft w:val="0"/>
      <w:marRight w:val="0"/>
      <w:marTop w:val="0"/>
      <w:marBottom w:val="0"/>
      <w:divBdr>
        <w:top w:val="none" w:sz="0" w:space="0" w:color="auto"/>
        <w:left w:val="none" w:sz="0" w:space="0" w:color="auto"/>
        <w:bottom w:val="none" w:sz="0" w:space="0" w:color="auto"/>
        <w:right w:val="none" w:sz="0" w:space="0" w:color="auto"/>
      </w:divBdr>
    </w:div>
    <w:div w:id="180632463">
      <w:bodyDiv w:val="1"/>
      <w:marLeft w:val="0"/>
      <w:marRight w:val="0"/>
      <w:marTop w:val="0"/>
      <w:marBottom w:val="0"/>
      <w:divBdr>
        <w:top w:val="none" w:sz="0" w:space="0" w:color="auto"/>
        <w:left w:val="none" w:sz="0" w:space="0" w:color="auto"/>
        <w:bottom w:val="none" w:sz="0" w:space="0" w:color="auto"/>
        <w:right w:val="none" w:sz="0" w:space="0" w:color="auto"/>
      </w:divBdr>
    </w:div>
    <w:div w:id="187303810">
      <w:bodyDiv w:val="1"/>
      <w:marLeft w:val="0"/>
      <w:marRight w:val="0"/>
      <w:marTop w:val="0"/>
      <w:marBottom w:val="0"/>
      <w:divBdr>
        <w:top w:val="none" w:sz="0" w:space="0" w:color="auto"/>
        <w:left w:val="none" w:sz="0" w:space="0" w:color="auto"/>
        <w:bottom w:val="none" w:sz="0" w:space="0" w:color="auto"/>
        <w:right w:val="none" w:sz="0" w:space="0" w:color="auto"/>
      </w:divBdr>
    </w:div>
    <w:div w:id="250941512">
      <w:bodyDiv w:val="1"/>
      <w:marLeft w:val="0"/>
      <w:marRight w:val="0"/>
      <w:marTop w:val="0"/>
      <w:marBottom w:val="0"/>
      <w:divBdr>
        <w:top w:val="none" w:sz="0" w:space="0" w:color="auto"/>
        <w:left w:val="none" w:sz="0" w:space="0" w:color="auto"/>
        <w:bottom w:val="none" w:sz="0" w:space="0" w:color="auto"/>
        <w:right w:val="none" w:sz="0" w:space="0" w:color="auto"/>
      </w:divBdr>
    </w:div>
    <w:div w:id="260574937">
      <w:bodyDiv w:val="1"/>
      <w:marLeft w:val="0"/>
      <w:marRight w:val="0"/>
      <w:marTop w:val="0"/>
      <w:marBottom w:val="0"/>
      <w:divBdr>
        <w:top w:val="none" w:sz="0" w:space="0" w:color="auto"/>
        <w:left w:val="none" w:sz="0" w:space="0" w:color="auto"/>
        <w:bottom w:val="none" w:sz="0" w:space="0" w:color="auto"/>
        <w:right w:val="none" w:sz="0" w:space="0" w:color="auto"/>
      </w:divBdr>
    </w:div>
    <w:div w:id="371925312">
      <w:bodyDiv w:val="1"/>
      <w:marLeft w:val="0"/>
      <w:marRight w:val="0"/>
      <w:marTop w:val="0"/>
      <w:marBottom w:val="0"/>
      <w:divBdr>
        <w:top w:val="none" w:sz="0" w:space="0" w:color="auto"/>
        <w:left w:val="none" w:sz="0" w:space="0" w:color="auto"/>
        <w:bottom w:val="none" w:sz="0" w:space="0" w:color="auto"/>
        <w:right w:val="none" w:sz="0" w:space="0" w:color="auto"/>
      </w:divBdr>
    </w:div>
    <w:div w:id="487668353">
      <w:bodyDiv w:val="1"/>
      <w:marLeft w:val="0"/>
      <w:marRight w:val="0"/>
      <w:marTop w:val="0"/>
      <w:marBottom w:val="0"/>
      <w:divBdr>
        <w:top w:val="none" w:sz="0" w:space="0" w:color="auto"/>
        <w:left w:val="none" w:sz="0" w:space="0" w:color="auto"/>
        <w:bottom w:val="none" w:sz="0" w:space="0" w:color="auto"/>
        <w:right w:val="none" w:sz="0" w:space="0" w:color="auto"/>
      </w:divBdr>
    </w:div>
    <w:div w:id="563295045">
      <w:bodyDiv w:val="1"/>
      <w:marLeft w:val="0"/>
      <w:marRight w:val="0"/>
      <w:marTop w:val="0"/>
      <w:marBottom w:val="0"/>
      <w:divBdr>
        <w:top w:val="none" w:sz="0" w:space="0" w:color="auto"/>
        <w:left w:val="none" w:sz="0" w:space="0" w:color="auto"/>
        <w:bottom w:val="none" w:sz="0" w:space="0" w:color="auto"/>
        <w:right w:val="none" w:sz="0" w:space="0" w:color="auto"/>
      </w:divBdr>
    </w:div>
    <w:div w:id="578486277">
      <w:bodyDiv w:val="1"/>
      <w:marLeft w:val="0"/>
      <w:marRight w:val="0"/>
      <w:marTop w:val="0"/>
      <w:marBottom w:val="0"/>
      <w:divBdr>
        <w:top w:val="none" w:sz="0" w:space="0" w:color="auto"/>
        <w:left w:val="none" w:sz="0" w:space="0" w:color="auto"/>
        <w:bottom w:val="none" w:sz="0" w:space="0" w:color="auto"/>
        <w:right w:val="none" w:sz="0" w:space="0" w:color="auto"/>
      </w:divBdr>
    </w:div>
    <w:div w:id="649334544">
      <w:bodyDiv w:val="1"/>
      <w:marLeft w:val="0"/>
      <w:marRight w:val="0"/>
      <w:marTop w:val="0"/>
      <w:marBottom w:val="0"/>
      <w:divBdr>
        <w:top w:val="none" w:sz="0" w:space="0" w:color="auto"/>
        <w:left w:val="none" w:sz="0" w:space="0" w:color="auto"/>
        <w:bottom w:val="none" w:sz="0" w:space="0" w:color="auto"/>
        <w:right w:val="none" w:sz="0" w:space="0" w:color="auto"/>
      </w:divBdr>
    </w:div>
    <w:div w:id="685060125">
      <w:bodyDiv w:val="1"/>
      <w:marLeft w:val="0"/>
      <w:marRight w:val="0"/>
      <w:marTop w:val="0"/>
      <w:marBottom w:val="0"/>
      <w:divBdr>
        <w:top w:val="none" w:sz="0" w:space="0" w:color="auto"/>
        <w:left w:val="none" w:sz="0" w:space="0" w:color="auto"/>
        <w:bottom w:val="none" w:sz="0" w:space="0" w:color="auto"/>
        <w:right w:val="none" w:sz="0" w:space="0" w:color="auto"/>
      </w:divBdr>
    </w:div>
    <w:div w:id="763845627">
      <w:bodyDiv w:val="1"/>
      <w:marLeft w:val="0"/>
      <w:marRight w:val="0"/>
      <w:marTop w:val="0"/>
      <w:marBottom w:val="0"/>
      <w:divBdr>
        <w:top w:val="none" w:sz="0" w:space="0" w:color="auto"/>
        <w:left w:val="none" w:sz="0" w:space="0" w:color="auto"/>
        <w:bottom w:val="none" w:sz="0" w:space="0" w:color="auto"/>
        <w:right w:val="none" w:sz="0" w:space="0" w:color="auto"/>
      </w:divBdr>
    </w:div>
    <w:div w:id="773280746">
      <w:bodyDiv w:val="1"/>
      <w:marLeft w:val="0"/>
      <w:marRight w:val="0"/>
      <w:marTop w:val="0"/>
      <w:marBottom w:val="0"/>
      <w:divBdr>
        <w:top w:val="none" w:sz="0" w:space="0" w:color="auto"/>
        <w:left w:val="none" w:sz="0" w:space="0" w:color="auto"/>
        <w:bottom w:val="none" w:sz="0" w:space="0" w:color="auto"/>
        <w:right w:val="none" w:sz="0" w:space="0" w:color="auto"/>
      </w:divBdr>
    </w:div>
    <w:div w:id="778842155">
      <w:bodyDiv w:val="1"/>
      <w:marLeft w:val="0"/>
      <w:marRight w:val="0"/>
      <w:marTop w:val="0"/>
      <w:marBottom w:val="0"/>
      <w:divBdr>
        <w:top w:val="none" w:sz="0" w:space="0" w:color="auto"/>
        <w:left w:val="none" w:sz="0" w:space="0" w:color="auto"/>
        <w:bottom w:val="none" w:sz="0" w:space="0" w:color="auto"/>
        <w:right w:val="none" w:sz="0" w:space="0" w:color="auto"/>
      </w:divBdr>
    </w:div>
    <w:div w:id="825827907">
      <w:bodyDiv w:val="1"/>
      <w:marLeft w:val="0"/>
      <w:marRight w:val="0"/>
      <w:marTop w:val="0"/>
      <w:marBottom w:val="0"/>
      <w:divBdr>
        <w:top w:val="none" w:sz="0" w:space="0" w:color="auto"/>
        <w:left w:val="none" w:sz="0" w:space="0" w:color="auto"/>
        <w:bottom w:val="none" w:sz="0" w:space="0" w:color="auto"/>
        <w:right w:val="none" w:sz="0" w:space="0" w:color="auto"/>
      </w:divBdr>
    </w:div>
    <w:div w:id="980574515">
      <w:bodyDiv w:val="1"/>
      <w:marLeft w:val="0"/>
      <w:marRight w:val="0"/>
      <w:marTop w:val="0"/>
      <w:marBottom w:val="0"/>
      <w:divBdr>
        <w:top w:val="none" w:sz="0" w:space="0" w:color="auto"/>
        <w:left w:val="none" w:sz="0" w:space="0" w:color="auto"/>
        <w:bottom w:val="none" w:sz="0" w:space="0" w:color="auto"/>
        <w:right w:val="none" w:sz="0" w:space="0" w:color="auto"/>
      </w:divBdr>
    </w:div>
    <w:div w:id="1021081425">
      <w:bodyDiv w:val="1"/>
      <w:marLeft w:val="0"/>
      <w:marRight w:val="0"/>
      <w:marTop w:val="0"/>
      <w:marBottom w:val="0"/>
      <w:divBdr>
        <w:top w:val="none" w:sz="0" w:space="0" w:color="auto"/>
        <w:left w:val="none" w:sz="0" w:space="0" w:color="auto"/>
        <w:bottom w:val="none" w:sz="0" w:space="0" w:color="auto"/>
        <w:right w:val="none" w:sz="0" w:space="0" w:color="auto"/>
      </w:divBdr>
    </w:div>
    <w:div w:id="1152864600">
      <w:bodyDiv w:val="1"/>
      <w:marLeft w:val="0"/>
      <w:marRight w:val="0"/>
      <w:marTop w:val="0"/>
      <w:marBottom w:val="0"/>
      <w:divBdr>
        <w:top w:val="none" w:sz="0" w:space="0" w:color="auto"/>
        <w:left w:val="none" w:sz="0" w:space="0" w:color="auto"/>
        <w:bottom w:val="none" w:sz="0" w:space="0" w:color="auto"/>
        <w:right w:val="none" w:sz="0" w:space="0" w:color="auto"/>
      </w:divBdr>
    </w:div>
    <w:div w:id="1168398041">
      <w:bodyDiv w:val="1"/>
      <w:marLeft w:val="0"/>
      <w:marRight w:val="0"/>
      <w:marTop w:val="0"/>
      <w:marBottom w:val="0"/>
      <w:divBdr>
        <w:top w:val="none" w:sz="0" w:space="0" w:color="auto"/>
        <w:left w:val="none" w:sz="0" w:space="0" w:color="auto"/>
        <w:bottom w:val="none" w:sz="0" w:space="0" w:color="auto"/>
        <w:right w:val="none" w:sz="0" w:space="0" w:color="auto"/>
      </w:divBdr>
    </w:div>
    <w:div w:id="1278369075">
      <w:bodyDiv w:val="1"/>
      <w:marLeft w:val="0"/>
      <w:marRight w:val="0"/>
      <w:marTop w:val="0"/>
      <w:marBottom w:val="0"/>
      <w:divBdr>
        <w:top w:val="none" w:sz="0" w:space="0" w:color="auto"/>
        <w:left w:val="none" w:sz="0" w:space="0" w:color="auto"/>
        <w:bottom w:val="none" w:sz="0" w:space="0" w:color="auto"/>
        <w:right w:val="none" w:sz="0" w:space="0" w:color="auto"/>
      </w:divBdr>
    </w:div>
    <w:div w:id="1386685632">
      <w:bodyDiv w:val="1"/>
      <w:marLeft w:val="0"/>
      <w:marRight w:val="0"/>
      <w:marTop w:val="0"/>
      <w:marBottom w:val="0"/>
      <w:divBdr>
        <w:top w:val="none" w:sz="0" w:space="0" w:color="auto"/>
        <w:left w:val="none" w:sz="0" w:space="0" w:color="auto"/>
        <w:bottom w:val="none" w:sz="0" w:space="0" w:color="auto"/>
        <w:right w:val="none" w:sz="0" w:space="0" w:color="auto"/>
      </w:divBdr>
    </w:div>
    <w:div w:id="1401562182">
      <w:bodyDiv w:val="1"/>
      <w:marLeft w:val="0"/>
      <w:marRight w:val="0"/>
      <w:marTop w:val="0"/>
      <w:marBottom w:val="0"/>
      <w:divBdr>
        <w:top w:val="none" w:sz="0" w:space="0" w:color="auto"/>
        <w:left w:val="none" w:sz="0" w:space="0" w:color="auto"/>
        <w:bottom w:val="none" w:sz="0" w:space="0" w:color="auto"/>
        <w:right w:val="none" w:sz="0" w:space="0" w:color="auto"/>
      </w:divBdr>
    </w:div>
    <w:div w:id="1502041839">
      <w:bodyDiv w:val="1"/>
      <w:marLeft w:val="0"/>
      <w:marRight w:val="0"/>
      <w:marTop w:val="0"/>
      <w:marBottom w:val="0"/>
      <w:divBdr>
        <w:top w:val="none" w:sz="0" w:space="0" w:color="auto"/>
        <w:left w:val="none" w:sz="0" w:space="0" w:color="auto"/>
        <w:bottom w:val="none" w:sz="0" w:space="0" w:color="auto"/>
        <w:right w:val="none" w:sz="0" w:space="0" w:color="auto"/>
      </w:divBdr>
    </w:div>
    <w:div w:id="1595893378">
      <w:bodyDiv w:val="1"/>
      <w:marLeft w:val="0"/>
      <w:marRight w:val="0"/>
      <w:marTop w:val="0"/>
      <w:marBottom w:val="0"/>
      <w:divBdr>
        <w:top w:val="none" w:sz="0" w:space="0" w:color="auto"/>
        <w:left w:val="none" w:sz="0" w:space="0" w:color="auto"/>
        <w:bottom w:val="none" w:sz="0" w:space="0" w:color="auto"/>
        <w:right w:val="none" w:sz="0" w:space="0" w:color="auto"/>
      </w:divBdr>
    </w:div>
    <w:div w:id="1643269881">
      <w:bodyDiv w:val="1"/>
      <w:marLeft w:val="0"/>
      <w:marRight w:val="0"/>
      <w:marTop w:val="0"/>
      <w:marBottom w:val="0"/>
      <w:divBdr>
        <w:top w:val="none" w:sz="0" w:space="0" w:color="auto"/>
        <w:left w:val="none" w:sz="0" w:space="0" w:color="auto"/>
        <w:bottom w:val="none" w:sz="0" w:space="0" w:color="auto"/>
        <w:right w:val="none" w:sz="0" w:space="0" w:color="auto"/>
      </w:divBdr>
    </w:div>
    <w:div w:id="1645312346">
      <w:bodyDiv w:val="1"/>
      <w:marLeft w:val="0"/>
      <w:marRight w:val="0"/>
      <w:marTop w:val="0"/>
      <w:marBottom w:val="0"/>
      <w:divBdr>
        <w:top w:val="none" w:sz="0" w:space="0" w:color="auto"/>
        <w:left w:val="none" w:sz="0" w:space="0" w:color="auto"/>
        <w:bottom w:val="none" w:sz="0" w:space="0" w:color="auto"/>
        <w:right w:val="none" w:sz="0" w:space="0" w:color="auto"/>
      </w:divBdr>
    </w:div>
    <w:div w:id="1667904354">
      <w:bodyDiv w:val="1"/>
      <w:marLeft w:val="0"/>
      <w:marRight w:val="0"/>
      <w:marTop w:val="0"/>
      <w:marBottom w:val="0"/>
      <w:divBdr>
        <w:top w:val="none" w:sz="0" w:space="0" w:color="auto"/>
        <w:left w:val="none" w:sz="0" w:space="0" w:color="auto"/>
        <w:bottom w:val="none" w:sz="0" w:space="0" w:color="auto"/>
        <w:right w:val="none" w:sz="0" w:space="0" w:color="auto"/>
      </w:divBdr>
    </w:div>
    <w:div w:id="1678457446">
      <w:bodyDiv w:val="1"/>
      <w:marLeft w:val="0"/>
      <w:marRight w:val="0"/>
      <w:marTop w:val="0"/>
      <w:marBottom w:val="0"/>
      <w:divBdr>
        <w:top w:val="none" w:sz="0" w:space="0" w:color="auto"/>
        <w:left w:val="none" w:sz="0" w:space="0" w:color="auto"/>
        <w:bottom w:val="none" w:sz="0" w:space="0" w:color="auto"/>
        <w:right w:val="none" w:sz="0" w:space="0" w:color="auto"/>
      </w:divBdr>
    </w:div>
    <w:div w:id="1722554477">
      <w:bodyDiv w:val="1"/>
      <w:marLeft w:val="0"/>
      <w:marRight w:val="0"/>
      <w:marTop w:val="0"/>
      <w:marBottom w:val="0"/>
      <w:divBdr>
        <w:top w:val="none" w:sz="0" w:space="0" w:color="auto"/>
        <w:left w:val="none" w:sz="0" w:space="0" w:color="auto"/>
        <w:bottom w:val="none" w:sz="0" w:space="0" w:color="auto"/>
        <w:right w:val="none" w:sz="0" w:space="0" w:color="auto"/>
      </w:divBdr>
    </w:div>
    <w:div w:id="1807965759">
      <w:bodyDiv w:val="1"/>
      <w:marLeft w:val="0"/>
      <w:marRight w:val="0"/>
      <w:marTop w:val="0"/>
      <w:marBottom w:val="0"/>
      <w:divBdr>
        <w:top w:val="none" w:sz="0" w:space="0" w:color="auto"/>
        <w:left w:val="none" w:sz="0" w:space="0" w:color="auto"/>
        <w:bottom w:val="none" w:sz="0" w:space="0" w:color="auto"/>
        <w:right w:val="none" w:sz="0" w:space="0" w:color="auto"/>
      </w:divBdr>
    </w:div>
    <w:div w:id="1822307502">
      <w:bodyDiv w:val="1"/>
      <w:marLeft w:val="0"/>
      <w:marRight w:val="0"/>
      <w:marTop w:val="0"/>
      <w:marBottom w:val="0"/>
      <w:divBdr>
        <w:top w:val="none" w:sz="0" w:space="0" w:color="auto"/>
        <w:left w:val="none" w:sz="0" w:space="0" w:color="auto"/>
        <w:bottom w:val="none" w:sz="0" w:space="0" w:color="auto"/>
        <w:right w:val="none" w:sz="0" w:space="0" w:color="auto"/>
      </w:divBdr>
    </w:div>
    <w:div w:id="1965886407">
      <w:bodyDiv w:val="1"/>
      <w:marLeft w:val="0"/>
      <w:marRight w:val="0"/>
      <w:marTop w:val="0"/>
      <w:marBottom w:val="0"/>
      <w:divBdr>
        <w:top w:val="none" w:sz="0" w:space="0" w:color="auto"/>
        <w:left w:val="none" w:sz="0" w:space="0" w:color="auto"/>
        <w:bottom w:val="none" w:sz="0" w:space="0" w:color="auto"/>
        <w:right w:val="none" w:sz="0" w:space="0" w:color="auto"/>
      </w:divBdr>
    </w:div>
    <w:div w:id="1985162232">
      <w:bodyDiv w:val="1"/>
      <w:marLeft w:val="0"/>
      <w:marRight w:val="0"/>
      <w:marTop w:val="0"/>
      <w:marBottom w:val="0"/>
      <w:divBdr>
        <w:top w:val="none" w:sz="0" w:space="0" w:color="auto"/>
        <w:left w:val="none" w:sz="0" w:space="0" w:color="auto"/>
        <w:bottom w:val="none" w:sz="0" w:space="0" w:color="auto"/>
        <w:right w:val="none" w:sz="0" w:space="0" w:color="auto"/>
      </w:divBdr>
    </w:div>
    <w:div w:id="2014138028">
      <w:bodyDiv w:val="1"/>
      <w:marLeft w:val="0"/>
      <w:marRight w:val="0"/>
      <w:marTop w:val="0"/>
      <w:marBottom w:val="0"/>
      <w:divBdr>
        <w:top w:val="none" w:sz="0" w:space="0" w:color="auto"/>
        <w:left w:val="none" w:sz="0" w:space="0" w:color="auto"/>
        <w:bottom w:val="none" w:sz="0" w:space="0" w:color="auto"/>
        <w:right w:val="none" w:sz="0" w:space="0" w:color="auto"/>
      </w:divBdr>
    </w:div>
    <w:div w:id="2016566843">
      <w:bodyDiv w:val="1"/>
      <w:marLeft w:val="0"/>
      <w:marRight w:val="0"/>
      <w:marTop w:val="0"/>
      <w:marBottom w:val="0"/>
      <w:divBdr>
        <w:top w:val="none" w:sz="0" w:space="0" w:color="auto"/>
        <w:left w:val="none" w:sz="0" w:space="0" w:color="auto"/>
        <w:bottom w:val="none" w:sz="0" w:space="0" w:color="auto"/>
        <w:right w:val="none" w:sz="0" w:space="0" w:color="auto"/>
      </w:divBdr>
    </w:div>
    <w:div w:id="207758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9922BE1FC53E54DB42F6BFC181A8B49" ma:contentTypeVersion="6" ma:contentTypeDescription="Crear nuevo documento." ma:contentTypeScope="" ma:versionID="a5845297056a0838b7bc2d3f4f4720b7">
  <xsd:schema xmlns:xsd="http://www.w3.org/2001/XMLSchema" xmlns:xs="http://www.w3.org/2001/XMLSchema" xmlns:p="http://schemas.microsoft.com/office/2006/metadata/properties" xmlns:ns2="1fcb1f0d-1fd1-4759-8759-e6dcef9eab0c" xmlns:ns3="a0746198-a01b-4b89-9322-d7170d2f8293" targetNamespace="http://schemas.microsoft.com/office/2006/metadata/properties" ma:root="true" ma:fieldsID="a94249faccc7b6d67d2c220080d71be2" ns2:_="" ns3:_="">
    <xsd:import namespace="1fcb1f0d-1fd1-4759-8759-e6dcef9eab0c"/>
    <xsd:import namespace="a0746198-a01b-4b89-9322-d7170d2f82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b1f0d-1fd1-4759-8759-e6dcef9ea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46198-a01b-4b89-9322-d7170d2f829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61055-8915-4DA9-A69F-43EAA3F95713}">
  <ds:schemaRefs>
    <ds:schemaRef ds:uri="http://schemas.openxmlformats.org/officeDocument/2006/bibliography"/>
  </ds:schemaRefs>
</ds:datastoreItem>
</file>

<file path=customXml/itemProps2.xml><?xml version="1.0" encoding="utf-8"?>
<ds:datastoreItem xmlns:ds="http://schemas.openxmlformats.org/officeDocument/2006/customXml" ds:itemID="{4E8AE9ED-2839-4634-ADF5-3BC9953CBD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5ADCE8-50C8-4938-97C2-A632E056CF49}">
  <ds:schemaRefs>
    <ds:schemaRef ds:uri="http://schemas.microsoft.com/sharepoint/v3/contenttype/forms"/>
  </ds:schemaRefs>
</ds:datastoreItem>
</file>

<file path=customXml/itemProps4.xml><?xml version="1.0" encoding="utf-8"?>
<ds:datastoreItem xmlns:ds="http://schemas.openxmlformats.org/officeDocument/2006/customXml" ds:itemID="{44B6E65F-AEE0-4F41-AEF9-680639791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b1f0d-1fd1-4759-8759-e6dcef9eab0c"/>
    <ds:schemaRef ds:uri="a0746198-a01b-4b89-9322-d7170d2f8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2250</Words>
  <Characters>12375</Characters>
  <Application>Microsoft Office Word</Application>
  <DocSecurity>0</DocSecurity>
  <Lines>103</Lines>
  <Paragraphs>29</Paragraphs>
  <ScaleCrop>false</ScaleCrop>
  <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2024-11-08T04:51:00Z</cp:lastPrinted>
  <dcterms:created xsi:type="dcterms:W3CDTF">2026-09-14T19:48:00Z</dcterms:created>
  <dcterms:modified xsi:type="dcterms:W3CDTF">2026-09-17T19:38:00Z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0x01010099922BE1FC53E54DB42F6BFC181A8B49</vt:lpwstr>
  </property>
  <property fmtid="{D5CDD505-2E9C-101B-9397-08002B2CF9AE}" pid="3" name="_activity">
    <vt:lpwstr/>
  </property>
</Properties>
</file>