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83799" w:rsidRDefault="001B2CD6">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3817 DE 2015</w:t>
      </w:r>
    </w:p>
    <w:p w:rsidR="00283799" w:rsidRDefault="001B2CD6">
      <w:pPr>
        <w:spacing w:before="240" w:after="240"/>
        <w:rPr>
          <w:rFonts w:ascii="Verdana" w:eastAsia="Verdana" w:hAnsi="Verdana" w:cs="Verdana"/>
        </w:rPr>
      </w:pPr>
      <w:r>
        <w:rPr>
          <w:rFonts w:ascii="Verdana" w:eastAsia="Verdana" w:hAnsi="Verdana" w:cs="Verdana"/>
        </w:rPr>
        <w:t>Fecha de Expedición: 16 de junio de 2015</w:t>
      </w:r>
      <w:r>
        <w:rPr>
          <w:rFonts w:ascii="Verdana" w:eastAsia="Verdana" w:hAnsi="Verdana" w:cs="Verdana"/>
        </w:rPr>
        <w:br/>
        <w:t>Fecha de entrada en vigencia: 16 de junio de 2015</w:t>
      </w:r>
      <w:r>
        <w:rPr>
          <w:rFonts w:ascii="Verdana" w:eastAsia="Verdana" w:hAnsi="Verdana" w:cs="Verdana"/>
        </w:rPr>
        <w:br/>
        <w:t xml:space="preserve">Estado de la vigencia: </w:t>
      </w:r>
      <w:r>
        <w:rPr>
          <w:rFonts w:ascii="Verdana" w:eastAsia="Verdana" w:hAnsi="Verdana" w:cs="Verdana"/>
          <w:highlight w:val="white"/>
        </w:rPr>
        <w:t>Vigente</w:t>
      </w:r>
    </w:p>
    <w:p w:rsidR="00283799" w:rsidRDefault="001B2CD6">
      <w:pPr>
        <w:spacing w:before="240" w:after="240"/>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rsidR="00283799" w:rsidRDefault="001B2CD6">
      <w:pPr>
        <w:spacing w:before="240" w:after="240"/>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N/A</w:t>
      </w:r>
    </w:p>
    <w:p w:rsidR="00283799" w:rsidRDefault="001B2CD6">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3817 DE 2015</w:t>
      </w:r>
    </w:p>
    <w:p w:rsidR="00283799" w:rsidRDefault="001B2CD6">
      <w:pPr>
        <w:spacing w:before="240" w:after="240"/>
        <w:jc w:val="center"/>
        <w:rPr>
          <w:rFonts w:ascii="Verdana" w:eastAsia="Verdana" w:hAnsi="Verdana" w:cs="Verdana"/>
        </w:rPr>
      </w:pPr>
      <w:r>
        <w:rPr>
          <w:rFonts w:ascii="Verdana" w:eastAsia="Verdana" w:hAnsi="Verdana" w:cs="Verdana"/>
          <w:highlight w:val="white"/>
        </w:rPr>
        <w:t>(junio 16)</w:t>
      </w:r>
    </w:p>
    <w:p w:rsidR="00283799" w:rsidRDefault="001B2CD6">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rsidR="00283799" w:rsidRDefault="001B2CD6">
      <w:pPr>
        <w:spacing w:before="240" w:after="240"/>
        <w:jc w:val="center"/>
        <w:rPr>
          <w:rFonts w:ascii="Verdana" w:eastAsia="Verdana" w:hAnsi="Verdana" w:cs="Verdana"/>
        </w:rPr>
      </w:pPr>
      <w:r>
        <w:rPr>
          <w:rFonts w:ascii="Verdana" w:eastAsia="Verdana" w:hAnsi="Verdana" w:cs="Verdana"/>
          <w:highlight w:val="white"/>
        </w:rPr>
        <w:t>Por la cual se reasumen las facultades delegadas y se otorga delegación especial a la Subdirectora General del ICBF, para la ordenación del gasto y la expedición de actos administrativos y demás actos contractuales en la ejecución de las etapas contractual y poscontractual de contratos de aporte celebrados por el (la) Director(a) Regional ICBF Guajira.</w:t>
      </w:r>
    </w:p>
    <w:p w:rsidR="00283799" w:rsidRDefault="001B2CD6">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rsidR="00283799" w:rsidRDefault="001B2CD6">
      <w:pPr>
        <w:spacing w:before="240" w:after="240"/>
        <w:jc w:val="center"/>
        <w:rPr>
          <w:rFonts w:ascii="Verdana" w:eastAsia="Verdana" w:hAnsi="Verdana" w:cs="Verdana"/>
          <w:highlight w:val="white"/>
        </w:rPr>
      </w:pPr>
      <w:r>
        <w:rPr>
          <w:rFonts w:ascii="Verdana" w:eastAsia="Verdana" w:hAnsi="Verdana" w:cs="Verdana"/>
          <w:highlight w:val="white"/>
        </w:rPr>
        <w:t xml:space="preserve">En uso de sus atribuciones legales y en especial las conferidas en el numeral 9. del artículo </w:t>
      </w:r>
      <w:r>
        <w:rPr>
          <w:rFonts w:ascii="Verdana" w:eastAsia="Verdana" w:hAnsi="Verdana" w:cs="Verdana"/>
          <w:highlight w:val="white"/>
        </w:rPr>
        <w:t>21</w:t>
      </w:r>
      <w:r>
        <w:rPr>
          <w:rFonts w:ascii="Verdana" w:eastAsia="Verdana" w:hAnsi="Verdana" w:cs="Verdana"/>
          <w:highlight w:val="white"/>
        </w:rPr>
        <w:t xml:space="preserve"> de la Ley 7a de 1979, el artículo </w:t>
      </w:r>
      <w:r>
        <w:rPr>
          <w:rFonts w:ascii="Verdana" w:eastAsia="Verdana" w:hAnsi="Verdana" w:cs="Verdana"/>
          <w:highlight w:val="white"/>
        </w:rPr>
        <w:t>12</w:t>
      </w:r>
      <w:r>
        <w:rPr>
          <w:rFonts w:ascii="Verdana" w:eastAsia="Verdana" w:hAnsi="Verdana" w:cs="Verdana"/>
          <w:highlight w:val="white"/>
        </w:rPr>
        <w:t xml:space="preserve"> de la Ley 80 de 1993 -modificado por el artículo </w:t>
      </w:r>
      <w:r>
        <w:rPr>
          <w:rFonts w:ascii="Verdana" w:eastAsia="Verdana" w:hAnsi="Verdana" w:cs="Verdana"/>
          <w:highlight w:val="white"/>
        </w:rPr>
        <w:t>21</w:t>
      </w:r>
      <w:r>
        <w:rPr>
          <w:rFonts w:ascii="Verdana" w:eastAsia="Verdana" w:hAnsi="Verdana" w:cs="Verdana"/>
          <w:highlight w:val="white"/>
        </w:rPr>
        <w:t xml:space="preserve"> de la Ley 1150 de 2007-, los artículos </w:t>
      </w:r>
      <w:r>
        <w:rPr>
          <w:rFonts w:ascii="Verdana" w:eastAsia="Verdana" w:hAnsi="Verdana" w:cs="Verdana"/>
          <w:highlight w:val="white"/>
        </w:rPr>
        <w:t>9</w:t>
      </w:r>
      <w:r>
        <w:rPr>
          <w:rFonts w:ascii="Verdana" w:eastAsia="Verdana" w:hAnsi="Verdana" w:cs="Verdana"/>
          <w:highlight w:val="white"/>
        </w:rPr>
        <w:t xml:space="preserve">o, </w:t>
      </w:r>
      <w:r>
        <w:rPr>
          <w:rFonts w:ascii="Verdana" w:eastAsia="Verdana" w:hAnsi="Verdana" w:cs="Verdana"/>
          <w:highlight w:val="white"/>
        </w:rPr>
        <w:t>12</w:t>
      </w:r>
      <w:r>
        <w:rPr>
          <w:rFonts w:ascii="Verdana" w:eastAsia="Verdana" w:hAnsi="Verdana" w:cs="Verdana"/>
          <w:highlight w:val="white"/>
        </w:rPr>
        <w:t xml:space="preserve">o, y </w:t>
      </w:r>
      <w:r>
        <w:rPr>
          <w:rFonts w:ascii="Verdana" w:eastAsia="Verdana" w:hAnsi="Verdana" w:cs="Verdana"/>
          <w:highlight w:val="white"/>
        </w:rPr>
        <w:t>81</w:t>
      </w:r>
      <w:r>
        <w:rPr>
          <w:rFonts w:ascii="Verdana" w:eastAsia="Verdana" w:hAnsi="Verdana" w:cs="Verdana"/>
          <w:highlight w:val="white"/>
        </w:rPr>
        <w:t xml:space="preserve">o de la Ley 489 de 1998, los artículos </w:t>
      </w:r>
      <w:r>
        <w:rPr>
          <w:rFonts w:ascii="Verdana" w:eastAsia="Verdana" w:hAnsi="Verdana" w:cs="Verdana"/>
          <w:highlight w:val="white"/>
        </w:rPr>
        <w:t>37</w:t>
      </w:r>
      <w:r>
        <w:rPr>
          <w:rFonts w:ascii="Verdana" w:eastAsia="Verdana" w:hAnsi="Verdana" w:cs="Verdana"/>
          <w:highlight w:val="white"/>
        </w:rPr>
        <w:t xml:space="preserve"> y </w:t>
      </w:r>
      <w:r>
        <w:rPr>
          <w:rFonts w:ascii="Verdana" w:eastAsia="Verdana" w:hAnsi="Verdana" w:cs="Verdana"/>
          <w:highlight w:val="white"/>
        </w:rPr>
        <w:t>122</w:t>
      </w:r>
      <w:r>
        <w:rPr>
          <w:rFonts w:ascii="Verdana" w:eastAsia="Verdana" w:hAnsi="Verdana" w:cs="Verdana"/>
          <w:highlight w:val="white"/>
        </w:rPr>
        <w:t xml:space="preserve"> del Decreto Nacional 2150 de 1995, el artículo </w:t>
      </w:r>
      <w:r>
        <w:rPr>
          <w:rFonts w:ascii="Verdana" w:eastAsia="Verdana" w:hAnsi="Verdana" w:cs="Verdana"/>
          <w:highlight w:val="white"/>
        </w:rPr>
        <w:t>2</w:t>
      </w:r>
      <w:r>
        <w:rPr>
          <w:rFonts w:ascii="Verdana" w:eastAsia="Verdana" w:hAnsi="Verdana" w:cs="Verdana"/>
          <w:highlight w:val="white"/>
        </w:rPr>
        <w:t xml:space="preserve"> del Decreto Nacional 0987 de 2012, el Decreto Nacional </w:t>
      </w:r>
      <w:r>
        <w:rPr>
          <w:rFonts w:ascii="Verdana" w:eastAsia="Verdana" w:hAnsi="Verdana" w:cs="Verdana"/>
          <w:highlight w:val="white"/>
        </w:rPr>
        <w:t>1082</w:t>
      </w:r>
      <w:r>
        <w:rPr>
          <w:rFonts w:ascii="Verdana" w:eastAsia="Verdana" w:hAnsi="Verdana" w:cs="Verdana"/>
          <w:highlight w:val="white"/>
        </w:rPr>
        <w:t xml:space="preserve"> de 2015, los artículos </w:t>
      </w:r>
      <w:r>
        <w:rPr>
          <w:rFonts w:ascii="Verdana" w:eastAsia="Verdana" w:hAnsi="Verdana" w:cs="Verdana"/>
          <w:highlight w:val="white"/>
        </w:rPr>
        <w:t>27</w:t>
      </w:r>
      <w:r>
        <w:rPr>
          <w:rFonts w:ascii="Verdana" w:eastAsia="Verdana" w:hAnsi="Verdana" w:cs="Verdana"/>
          <w:highlight w:val="white"/>
        </w:rPr>
        <w:t>y ss del Decreto 334 de 1980, y el Manual de Contratación del ICBF vigente y,</w:t>
      </w:r>
    </w:p>
    <w:p w:rsidR="00283799" w:rsidRDefault="001B2CD6">
      <w:pPr>
        <w:pStyle w:val="Ttulo2"/>
        <w:keepNext w:val="0"/>
        <w:keepLines w:val="0"/>
        <w:spacing w:after="80"/>
        <w:jc w:val="center"/>
        <w:rPr>
          <w:rFonts w:ascii="Verdana" w:eastAsia="Verdana" w:hAnsi="Verdana" w:cs="Verdana"/>
          <w:b/>
          <w:bCs/>
          <w:sz w:val="22"/>
          <w:szCs w:val="22"/>
        </w:rPr>
      </w:pPr>
      <w:bookmarkStart w:id="3" w:name="_qw8uczd82nk1" w:colFirst="0" w:colLast="0"/>
      <w:bookmarkEnd w:id="3"/>
      <w:r>
        <w:rPr>
          <w:rFonts w:ascii="Verdana" w:eastAsia="Verdana" w:hAnsi="Verdana" w:cs="Verdana"/>
          <w:b/>
          <w:bCs/>
          <w:sz w:val="22"/>
          <w:szCs w:val="22"/>
        </w:rPr>
        <w:t>CONSIDERANDO</w:t>
      </w:r>
    </w:p>
    <w:p w:rsidR="00283799" w:rsidRDefault="001B2CD6">
      <w:pPr>
        <w:shd w:val="clear" w:color="auto" w:fill="FFFFFF"/>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u w:val="single"/>
        </w:rPr>
        <w:t>12</w:t>
      </w:r>
      <w:r>
        <w:rPr>
          <w:rFonts w:ascii="Verdana" w:eastAsia="Verdana" w:hAnsi="Verdana" w:cs="Verdana"/>
        </w:rPr>
        <w:t xml:space="preserve"> de la Ley 80 de 1993 (modificado por el artículo </w:t>
      </w:r>
      <w:r>
        <w:rPr>
          <w:rFonts w:ascii="Verdana" w:eastAsia="Verdana" w:hAnsi="Verdana" w:cs="Verdana"/>
          <w:u w:val="single"/>
        </w:rPr>
        <w:t>21</w:t>
      </w:r>
      <w:r>
        <w:rPr>
          <w:rFonts w:ascii="Verdana" w:eastAsia="Verdana" w:hAnsi="Verdana" w:cs="Verdana"/>
        </w:rPr>
        <w:t xml:space="preserve"> de la Ley 1150 de 2007) dispone que "Los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w:t>
      </w:r>
    </w:p>
    <w:p w:rsidR="00283799" w:rsidRDefault="001B2CD6">
      <w:pPr>
        <w:shd w:val="clear" w:color="auto" w:fill="FFFFFF"/>
        <w:jc w:val="both"/>
        <w:rPr>
          <w:rFonts w:ascii="Verdana" w:eastAsia="Verdana" w:hAnsi="Verdana" w:cs="Verdana"/>
          <w:i/>
          <w:iCs/>
        </w:rPr>
      </w:pPr>
      <w:r>
        <w:rPr>
          <w:rFonts w:ascii="Verdana" w:eastAsia="Verdana" w:hAnsi="Verdana" w:cs="Verdana"/>
        </w:rPr>
        <w:t xml:space="preserve">Que igualmente, el artículo </w:t>
      </w:r>
      <w:r>
        <w:rPr>
          <w:rFonts w:ascii="Verdana" w:eastAsia="Verdana" w:hAnsi="Verdana" w:cs="Verdana"/>
          <w:u w:val="single"/>
        </w:rPr>
        <w:t>21</w:t>
      </w:r>
      <w:r>
        <w:rPr>
          <w:rFonts w:ascii="Verdana" w:eastAsia="Verdana" w:hAnsi="Verdana" w:cs="Verdana"/>
        </w:rPr>
        <w:t xml:space="preserve"> de la Ley 1150 de 2007, adicionó el inciso segundo al artículo </w:t>
      </w:r>
      <w:r>
        <w:rPr>
          <w:rFonts w:ascii="Verdana" w:eastAsia="Verdana" w:hAnsi="Verdana" w:cs="Verdana"/>
          <w:u w:val="single"/>
        </w:rPr>
        <w:t>12</w:t>
      </w:r>
      <w:r>
        <w:rPr>
          <w:rFonts w:ascii="Verdana" w:eastAsia="Verdana" w:hAnsi="Verdana" w:cs="Verdana"/>
        </w:rPr>
        <w:t xml:space="preserve"> de la Ley 80 de 1993 en el cual estableció </w:t>
      </w:r>
      <w:r>
        <w:rPr>
          <w:rFonts w:ascii="Verdana" w:eastAsia="Verdana" w:hAnsi="Verdana" w:cs="Verdana"/>
          <w:i/>
          <w:iCs/>
        </w:rPr>
        <w:t>“En ningún caso, los jefes</w:t>
      </w:r>
      <w:r>
        <w:rPr>
          <w:rFonts w:ascii="Verdana" w:eastAsia="Verdana" w:hAnsi="Verdana" w:cs="Verdana"/>
        </w:rPr>
        <w:t xml:space="preserve">y </w:t>
      </w:r>
      <w:r>
        <w:rPr>
          <w:rFonts w:ascii="Verdana" w:eastAsia="Verdana" w:hAnsi="Verdana" w:cs="Verdana"/>
          <w:i/>
          <w:iCs/>
        </w:rPr>
        <w:t>representantes legales de las entidades estatales quedarán exonerados por virtud de la delegación de sus deberes de control y vigilancia de la actividad preco</w:t>
      </w:r>
      <w:r>
        <w:rPr>
          <w:rFonts w:ascii="Verdana" w:eastAsia="Verdana" w:hAnsi="Verdana" w:cs="Verdana"/>
          <w:i/>
          <w:iCs/>
        </w:rPr>
        <w:lastRenderedPageBreak/>
        <w:t>ntractual</w:t>
      </w:r>
      <w:r>
        <w:rPr>
          <w:rFonts w:ascii="Verdana" w:eastAsia="Verdana" w:hAnsi="Verdana" w:cs="Verdana"/>
        </w:rPr>
        <w:t xml:space="preserve"> y </w:t>
      </w:r>
      <w:r>
        <w:rPr>
          <w:rFonts w:ascii="Verdana" w:eastAsia="Verdana" w:hAnsi="Verdana" w:cs="Verdana"/>
          <w:i/>
          <w:iCs/>
        </w:rPr>
        <w:t>contractual.”</w:t>
      </w:r>
    </w:p>
    <w:p w:rsidR="00283799" w:rsidRDefault="001B2CD6">
      <w:pPr>
        <w:shd w:val="clear" w:color="auto" w:fill="FFFFFF"/>
        <w:jc w:val="both"/>
        <w:rPr>
          <w:rFonts w:ascii="Verdana" w:eastAsia="Verdana" w:hAnsi="Verdana" w:cs="Verdana"/>
        </w:rPr>
      </w:pPr>
      <w:r>
        <w:rPr>
          <w:rFonts w:ascii="Verdana" w:eastAsia="Verdana" w:hAnsi="Verdana" w:cs="Verdana"/>
        </w:rPr>
        <w:t xml:space="preserve">Que en este orden de ideas, y de conformidad con lo dispuesto en el artículo </w:t>
      </w:r>
      <w:r>
        <w:rPr>
          <w:rFonts w:ascii="Verdana" w:eastAsia="Verdana" w:hAnsi="Verdana" w:cs="Verdana"/>
          <w:u w:val="single"/>
        </w:rPr>
        <w:t>11</w:t>
      </w:r>
      <w:r>
        <w:rPr>
          <w:rFonts w:ascii="Verdana" w:eastAsia="Verdana" w:hAnsi="Verdana" w:cs="Verdana"/>
        </w:rPr>
        <w:t>de la Ley 80 de 1993, la competencia para dirigir los procedimientos de los recursos del ICBF y seleccionar a los contratistas, estará en cabeza del (la) Director (a) General.</w:t>
      </w:r>
    </w:p>
    <w:p w:rsidR="00283799" w:rsidRDefault="001B2CD6">
      <w:pPr>
        <w:shd w:val="clear" w:color="auto" w:fill="FFFFFF"/>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u w:val="single"/>
        </w:rPr>
        <w:t>9</w:t>
      </w:r>
      <w:r>
        <w:rPr>
          <w:rFonts w:ascii="Verdana" w:eastAsia="Verdana" w:hAnsi="Verdana" w:cs="Verdana"/>
          <w:vertAlign w:val="superscript"/>
        </w:rPr>
        <w:t>o</w:t>
      </w:r>
      <w:r>
        <w:rPr>
          <w:rFonts w:ascii="Verdana" w:eastAsia="Verdana" w:hAnsi="Verdana" w:cs="Verdana"/>
        </w:rPr>
        <w:t xml:space="preserve"> de la Ley 489 de 1998 establece que las autoridades administrativas en virtud de lo dispuesto en la Constitución Política y de conformidad con lo establecido en esa Ley, podrán mediante acto administrativo delegar el ejercicio de funciones a sus colaboradores, con el fin de lograr la optimización de los procesos administrativos y financieros, para que se ajusten al desarrollo de la Entidad.</w:t>
      </w:r>
    </w:p>
    <w:p w:rsidR="00283799" w:rsidRDefault="001B2CD6">
      <w:pPr>
        <w:shd w:val="clear" w:color="auto" w:fill="FFFFFF"/>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u w:val="single"/>
        </w:rPr>
        <w:t>12</w:t>
      </w:r>
      <w:r>
        <w:rPr>
          <w:rFonts w:ascii="Verdana" w:eastAsia="Verdana" w:hAnsi="Verdana" w:cs="Verdana"/>
        </w:rPr>
        <w:t xml:space="preserve"> de la Ley mencionada establece que la delegación exime de responsabilidad al delegante, la cual corresponderá exclusivamente al delegatario, sin perjuicio de que en virtud de lo dispuesto en el artículo </w:t>
      </w:r>
      <w:r>
        <w:rPr>
          <w:rFonts w:ascii="Verdana" w:eastAsia="Verdana" w:hAnsi="Verdana" w:cs="Verdana"/>
          <w:u w:val="single"/>
        </w:rPr>
        <w:t>211</w:t>
      </w:r>
      <w:r>
        <w:rPr>
          <w:rFonts w:ascii="Verdana" w:eastAsia="Verdana" w:hAnsi="Verdana" w:cs="Verdana"/>
        </w:rPr>
        <w:t xml:space="preserve"> de la Constitución Política, la autoridad delegante pueda en cualquier tiempo reasumir la competencia y revisar los actos expedidos por el delegatario, con sujeción a las disposiciones del Código Contencioso Administrativo.</w:t>
      </w:r>
    </w:p>
    <w:p w:rsidR="00283799" w:rsidRDefault="001B2CD6">
      <w:pPr>
        <w:shd w:val="clear" w:color="auto" w:fill="FFFFFF"/>
        <w:jc w:val="both"/>
        <w:rPr>
          <w:rFonts w:ascii="Verdana" w:eastAsia="Verdana" w:hAnsi="Verdana" w:cs="Verdana"/>
          <w:vertAlign w:val="subscript"/>
        </w:rPr>
      </w:pPr>
      <w:r>
        <w:rPr>
          <w:rFonts w:ascii="Verdana" w:eastAsia="Verdana" w:hAnsi="Verdana" w:cs="Verdana"/>
        </w:rPr>
        <w:lastRenderedPageBreak/>
        <w:t xml:space="preserve">Que en consecuencia, es necesario definir con precisión las facultades que involucra el concepto de Ordenación del Gasto, tomando como referente lo manifestado por la Corte Constitucional, en los siguientes términos: </w:t>
      </w:r>
      <w:r>
        <w:rPr>
          <w:rFonts w:ascii="Verdana" w:eastAsia="Verdana" w:hAnsi="Verdana" w:cs="Verdana"/>
          <w:i/>
          <w:iCs/>
        </w:rPr>
        <w:t>“El concepto de ordenador del gasto se refiere a la capacidad de ejecución del presupuesto. Ejecutar el gasto, significa que, a partir del programa de gastos aprobado - limitado por los recursos aprobados en la ley de presupuesto -, se decide la oportunidad de contratar, comprometer los recursos y ordenar el gasto, funciones que atañen al ordenador del gasto</w:t>
      </w:r>
      <w:r>
        <w:rPr>
          <w:rFonts w:ascii="Verdana" w:eastAsia="Verdana" w:hAnsi="Verdana" w:cs="Verdana"/>
        </w:rPr>
        <w:t xml:space="preserve"> (...)”.</w:t>
      </w:r>
      <w:r>
        <w:rPr>
          <w:rFonts w:ascii="Verdana" w:eastAsia="Verdana" w:hAnsi="Verdana" w:cs="Verdana"/>
          <w:vertAlign w:val="subscript"/>
        </w:rPr>
        <w:t>[1]</w:t>
      </w:r>
    </w:p>
    <w:p w:rsidR="00283799" w:rsidRDefault="001B2CD6">
      <w:pPr>
        <w:shd w:val="clear" w:color="auto" w:fill="FFFFFF"/>
        <w:jc w:val="both"/>
        <w:rPr>
          <w:rFonts w:ascii="Verdana" w:eastAsia="Verdana" w:hAnsi="Verdana" w:cs="Verdana"/>
          <w:i/>
          <w:iCs/>
          <w:vertAlign w:val="subscript"/>
        </w:rPr>
      </w:pPr>
      <w:r>
        <w:rPr>
          <w:rFonts w:ascii="Verdana" w:eastAsia="Verdana" w:hAnsi="Verdana" w:cs="Verdana"/>
        </w:rPr>
        <w:t xml:space="preserve">Que en el mismo sentido, esa Corporación también expresó: </w:t>
      </w:r>
      <w:r>
        <w:rPr>
          <w:rFonts w:ascii="Verdana" w:eastAsia="Verdana" w:hAnsi="Verdana" w:cs="Verdana"/>
          <w:i/>
          <w:iCs/>
        </w:rPr>
        <w:t>“(...) 5. Esta Corporación ha tenido oportunidad de definir el concepto de ordenación del gasto y los elementos que este comporta. De igual forma, ha determinado que la función de ordenación del gasto configura, junto con las atribuciones de contratación y de disposición de los recursos previamente apropiados, el núcleo esencial de la autonomía presupuestal que caracteriza a determinados órganos estatales, a los cuales la Constitución o la ley les otorga esta prerrogativa.”...</w:t>
      </w:r>
      <w:r>
        <w:rPr>
          <w:rFonts w:ascii="Verdana" w:eastAsia="Verdana" w:hAnsi="Verdana" w:cs="Verdana"/>
          <w:i/>
          <w:iCs/>
          <w:vertAlign w:val="subscript"/>
        </w:rPr>
        <w:t>[2]</w:t>
      </w:r>
    </w:p>
    <w:p w:rsidR="00283799" w:rsidRDefault="001B2CD6">
      <w:pPr>
        <w:shd w:val="clear" w:color="auto" w:fill="FFFFFF"/>
        <w:jc w:val="both"/>
        <w:rPr>
          <w:rFonts w:ascii="Verdana" w:eastAsia="Verdana" w:hAnsi="Verdana" w:cs="Verdana"/>
        </w:rPr>
      </w:pPr>
      <w:r>
        <w:rPr>
          <w:rFonts w:ascii="Verdana" w:eastAsia="Verdana" w:hAnsi="Verdana" w:cs="Verdana"/>
        </w:rPr>
        <w:t xml:space="preserve">Que en consecuencia, está plenamente acreditado que la función o competencia de ordenación del gasto y administración de los recursos del ICBF, por disposición legal está radicada en cabeza del Jefe o Representante Legal de la Entidad, así mismo, que existe soporte normativo para delegar en los términos del artículo </w:t>
      </w:r>
      <w:r>
        <w:rPr>
          <w:rFonts w:ascii="Verdana" w:eastAsia="Verdana" w:hAnsi="Verdana" w:cs="Verdana"/>
          <w:u w:val="single"/>
        </w:rPr>
        <w:t>211</w:t>
      </w:r>
      <w:r>
        <w:rPr>
          <w:rFonts w:ascii="Verdana" w:eastAsia="Verdana" w:hAnsi="Verdana" w:cs="Verdana"/>
        </w:rPr>
        <w:t xml:space="preserve"> de la Constitución Política y consecuencialmente, la posibilidad de avocar la función delegada por expreso mandato constitucional.</w:t>
      </w:r>
    </w:p>
    <w:p w:rsidR="00283799" w:rsidRDefault="001B2CD6">
      <w:pPr>
        <w:shd w:val="clear" w:color="auto" w:fill="FFFFFF"/>
        <w:jc w:val="both"/>
        <w:rPr>
          <w:rFonts w:ascii="Verdana" w:eastAsia="Verdana" w:hAnsi="Verdana" w:cs="Verdana"/>
          <w:i/>
          <w:iCs/>
        </w:rPr>
      </w:pPr>
      <w:r>
        <w:rPr>
          <w:rFonts w:ascii="Verdana" w:eastAsia="Verdana" w:hAnsi="Verdana" w:cs="Verdana"/>
        </w:rPr>
        <w:t xml:space="preserve">Que el numeral 1.3 del Manual de Contratación del ICBF vigente indica: “(...) </w:t>
      </w:r>
      <w:r>
        <w:rPr>
          <w:rFonts w:ascii="Verdana" w:eastAsia="Verdana" w:hAnsi="Verdana" w:cs="Verdana"/>
          <w:i/>
          <w:iCs/>
        </w:rPr>
        <w:t xml:space="preserve">El Director (a) General, de conformidad con lo establecido en el artículo </w:t>
      </w:r>
      <w:r>
        <w:rPr>
          <w:rFonts w:ascii="Verdana" w:eastAsia="Verdana" w:hAnsi="Verdana" w:cs="Verdana"/>
          <w:i/>
          <w:iCs/>
          <w:u w:val="single"/>
        </w:rPr>
        <w:t>9</w:t>
      </w:r>
      <w:r>
        <w:rPr>
          <w:rFonts w:ascii="Verdana" w:eastAsia="Verdana" w:hAnsi="Verdana" w:cs="Verdana"/>
          <w:i/>
          <w:iCs/>
        </w:rPr>
        <w:t xml:space="preserve"> de la Ley 489 de 1998 y el artículo </w:t>
      </w:r>
      <w:r>
        <w:rPr>
          <w:rFonts w:ascii="Verdana" w:eastAsia="Verdana" w:hAnsi="Verdana" w:cs="Verdana"/>
          <w:i/>
          <w:iCs/>
          <w:u w:val="single"/>
        </w:rPr>
        <w:t>21</w:t>
      </w:r>
      <w:r>
        <w:rPr>
          <w:rFonts w:ascii="Verdana" w:eastAsia="Verdana" w:hAnsi="Verdana" w:cs="Verdana"/>
          <w:i/>
          <w:iCs/>
        </w:rPr>
        <w:t xml:space="preserve"> de la Ley 1150 de 2007, delega las facultades en materia de ordenación del gasto, dirección de los procesos de selección y celebración de los contratos y/o convenios que se describen a continuación,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rsidR="00283799" w:rsidRDefault="001B2CD6">
      <w:pPr>
        <w:shd w:val="clear" w:color="auto" w:fill="FFFFFF"/>
        <w:jc w:val="both"/>
        <w:rPr>
          <w:rFonts w:ascii="Verdana" w:eastAsia="Verdana" w:hAnsi="Verdana" w:cs="Verdana"/>
        </w:rPr>
      </w:pPr>
      <w:r>
        <w:rPr>
          <w:rFonts w:ascii="Verdana" w:eastAsia="Verdana" w:hAnsi="Verdana" w:cs="Verdana"/>
        </w:rPr>
        <w:t xml:space="preserve">Que el numeral 1.4.4 del Manual de Contratación del ICBF vigente delega en los (as) Directores (as) Regionales, entre otras la siguiente función: </w:t>
      </w:r>
      <w:r>
        <w:rPr>
          <w:rFonts w:ascii="Verdana" w:eastAsia="Verdana" w:hAnsi="Verdana" w:cs="Verdana"/>
          <w:i/>
          <w:iCs/>
        </w:rPr>
        <w:t xml:space="preserve">“1. La ordenación del gasto y el ejercicio de la facultad para dirigir los procesos de selección y celebrar los contratos y/o convenios cuya selección se desarrolle en forma exclusiva </w:t>
      </w:r>
      <w:r>
        <w:rPr>
          <w:rFonts w:ascii="Verdana" w:eastAsia="Verdana" w:hAnsi="Verdana" w:cs="Verdana"/>
          <w:b/>
          <w:bCs/>
          <w:i/>
          <w:iCs/>
        </w:rPr>
        <w:t>en el territorio de su jurisdicción</w:t>
      </w:r>
      <w:r>
        <w:rPr>
          <w:rFonts w:ascii="Verdana" w:eastAsia="Verdana" w:hAnsi="Verdana" w:cs="Verdana"/>
          <w:i/>
          <w:iCs/>
        </w:rPr>
        <w:t xml:space="preserve">, cuya cuantía sea de hasta 1.000 SMLMV </w:t>
      </w:r>
      <w:r>
        <w:rPr>
          <w:rFonts w:ascii="Verdana" w:eastAsia="Verdana" w:hAnsi="Verdana" w:cs="Verdana"/>
        </w:rPr>
        <w:t xml:space="preserve">(Negrilla por fuera del texto original); así como la de “2. </w:t>
      </w:r>
      <w:r>
        <w:rPr>
          <w:rFonts w:ascii="Verdana" w:eastAsia="Verdana" w:hAnsi="Verdana" w:cs="Verdana"/>
          <w:i/>
          <w:iCs/>
        </w:rPr>
        <w:t>La ordenación del gasto y celebración de contratos de aporte hasta por 5.000 SMLMV, para la prestación del servicio público de bienestar familiar en su jurisdicción”.</w:t>
      </w:r>
      <w:r>
        <w:rPr>
          <w:rFonts w:ascii="Verdana" w:eastAsia="Verdana" w:hAnsi="Verdana" w:cs="Verdana"/>
        </w:rPr>
        <w:t xml:space="preserve"> (Negrilla por fuera del te</w:t>
      </w:r>
      <w:r>
        <w:rPr>
          <w:rFonts w:ascii="Verdana" w:eastAsia="Verdana" w:hAnsi="Verdana" w:cs="Verdana"/>
        </w:rPr>
        <w:t>xto original)</w:t>
      </w:r>
    </w:p>
    <w:p w:rsidR="00283799" w:rsidRDefault="001B2CD6">
      <w:pPr>
        <w:shd w:val="clear" w:color="auto" w:fill="FFFFFF"/>
        <w:spacing w:after="240"/>
        <w:jc w:val="both"/>
        <w:rPr>
          <w:rFonts w:ascii="Verdana" w:eastAsia="Verdana" w:hAnsi="Verdana" w:cs="Verdana"/>
        </w:rPr>
      </w:pPr>
      <w:r>
        <w:rPr>
          <w:rFonts w:ascii="Verdana" w:eastAsia="Verdana" w:hAnsi="Verdana" w:cs="Verdana"/>
        </w:rPr>
        <w:t>Que en ejercicio de la facultad que se otorga para que la autoridad reasuma la competencia delegada, y por necesidades del servicio público de bienestar familiar en todo el territorio nacional, este despacho en mérito de lo expuesto,</w:t>
      </w:r>
    </w:p>
    <w:p w:rsidR="00283799" w:rsidRDefault="001B2CD6">
      <w:pPr>
        <w:shd w:val="clear" w:color="auto" w:fill="FFFFFF"/>
        <w:jc w:val="center"/>
        <w:rPr>
          <w:rFonts w:ascii="Verdana" w:eastAsia="Verdana" w:hAnsi="Verdana" w:cs="Verdana"/>
          <w:b/>
          <w:bCs/>
        </w:rPr>
      </w:pPr>
      <w:r>
        <w:rPr>
          <w:rFonts w:ascii="Verdana" w:eastAsia="Verdana" w:hAnsi="Verdana" w:cs="Verdana"/>
          <w:b/>
          <w:bCs/>
        </w:rPr>
        <w:t>RESUELVE:</w:t>
      </w:r>
    </w:p>
    <w:p w:rsidR="00283799" w:rsidRDefault="001B2CD6">
      <w:pPr>
        <w:shd w:val="clear" w:color="auto" w:fill="FFFFFF"/>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Reasumir la competencia que conforme al Manual de Contratación del ICBF vigente fue otorgada al (la) Director(a) Regional ICBF Guajira para efectos de la celebración durante las vigencias 2014 y 2015, de los siguientes contratos de aporte:</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7"/>
        <w:gridCol w:w="4058"/>
        <w:gridCol w:w="721"/>
        <w:gridCol w:w="993"/>
        <w:gridCol w:w="1348"/>
        <w:gridCol w:w="1538"/>
      </w:tblGrid>
      <w:tr w:rsidR="00283799">
        <w:trPr>
          <w:trHeight w:val="810"/>
        </w:trPr>
        <w:tc>
          <w:tcPr>
            <w:tcW w:w="366" w:type="dxa"/>
            <w:tcMar>
              <w:top w:w="0" w:type="dxa"/>
              <w:left w:w="0" w:type="dxa"/>
              <w:bottom w:w="0" w:type="dxa"/>
              <w:right w:w="0" w:type="dxa"/>
            </w:tcMar>
          </w:tcPr>
          <w:p w:rsidR="00283799" w:rsidRDefault="001B2CD6">
            <w:pPr>
              <w:spacing w:line="270" w:lineRule="auto"/>
              <w:jc w:val="center"/>
              <w:rPr>
                <w:rFonts w:ascii="Verdana" w:eastAsia="Verdana" w:hAnsi="Verdana" w:cs="Verdana"/>
                <w:b/>
                <w:bCs/>
              </w:rPr>
            </w:pPr>
            <w:r>
              <w:rPr>
                <w:rFonts w:ascii="Verdana" w:eastAsia="Verdana" w:hAnsi="Verdana" w:cs="Verdana"/>
                <w:b/>
                <w:bCs/>
              </w:rPr>
              <w:t>No.</w:t>
            </w:r>
          </w:p>
        </w:tc>
        <w:tc>
          <w:tcPr>
            <w:tcW w:w="4057" w:type="dxa"/>
            <w:tcMar>
              <w:top w:w="0" w:type="dxa"/>
              <w:left w:w="0" w:type="dxa"/>
              <w:bottom w:w="0" w:type="dxa"/>
              <w:right w:w="0" w:type="dxa"/>
            </w:tcMar>
          </w:tcPr>
          <w:p w:rsidR="00283799" w:rsidRDefault="001B2CD6">
            <w:pPr>
              <w:spacing w:line="270" w:lineRule="auto"/>
              <w:jc w:val="center"/>
              <w:rPr>
                <w:rFonts w:ascii="Verdana" w:eastAsia="Verdana" w:hAnsi="Verdana" w:cs="Verdana"/>
                <w:b/>
                <w:bCs/>
              </w:rPr>
            </w:pPr>
            <w:r>
              <w:rPr>
                <w:rFonts w:ascii="Verdana" w:eastAsia="Verdana" w:hAnsi="Verdana" w:cs="Verdana"/>
                <w:b/>
                <w:bCs/>
              </w:rPr>
              <w:t>Nombre Entidad Contratista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b/>
                <w:bCs/>
              </w:rPr>
            </w:pPr>
            <w:r>
              <w:rPr>
                <w:rFonts w:ascii="Verdana" w:eastAsia="Verdana" w:hAnsi="Verdana" w:cs="Verdana"/>
                <w:b/>
                <w:bCs/>
              </w:rPr>
              <w:t>Número</w:t>
            </w:r>
            <w:r>
              <w:rPr>
                <w:rFonts w:ascii="Verdana" w:eastAsia="Verdana" w:hAnsi="Verdana" w:cs="Verdana"/>
                <w:b/>
                <w:bCs/>
              </w:rPr>
              <w:br/>
              <w:t>Contra</w:t>
            </w:r>
            <w:r>
              <w:rPr>
                <w:rFonts w:ascii="Verdana" w:eastAsia="Verdana" w:hAnsi="Verdana" w:cs="Verdana"/>
                <w:b/>
                <w:bCs/>
              </w:rPr>
              <w:br/>
              <w:t>to</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b/>
                <w:bCs/>
              </w:rPr>
            </w:pPr>
            <w:r>
              <w:rPr>
                <w:rFonts w:ascii="Verdana" w:eastAsia="Verdana" w:hAnsi="Verdana" w:cs="Verdana"/>
                <w:b/>
                <w:bCs/>
              </w:rPr>
              <w:t>Año</w:t>
            </w:r>
            <w:r>
              <w:rPr>
                <w:rFonts w:ascii="Verdana" w:eastAsia="Verdana" w:hAnsi="Verdana" w:cs="Verdana"/>
                <w:b/>
                <w:bCs/>
              </w:rPr>
              <w:br/>
              <w:t>Suscrip</w:t>
            </w:r>
            <w:r>
              <w:rPr>
                <w:rFonts w:ascii="Verdana" w:eastAsia="Verdana" w:hAnsi="Verdana" w:cs="Verdana"/>
                <w:b/>
                <w:bCs/>
              </w:rPr>
              <w:br/>
              <w:t>ción</w:t>
            </w:r>
          </w:p>
        </w:tc>
        <w:tc>
          <w:tcPr>
            <w:tcW w:w="1348" w:type="dxa"/>
            <w:tcMar>
              <w:top w:w="0" w:type="dxa"/>
              <w:left w:w="0" w:type="dxa"/>
              <w:bottom w:w="0" w:type="dxa"/>
              <w:right w:w="0" w:type="dxa"/>
            </w:tcMar>
          </w:tcPr>
          <w:p w:rsidR="00283799" w:rsidRDefault="001B2CD6">
            <w:pPr>
              <w:spacing w:line="270" w:lineRule="auto"/>
              <w:jc w:val="center"/>
              <w:rPr>
                <w:rFonts w:ascii="Verdana" w:eastAsia="Verdana" w:hAnsi="Verdana" w:cs="Verdana"/>
                <w:b/>
                <w:bCs/>
              </w:rPr>
            </w:pPr>
            <w:r>
              <w:rPr>
                <w:rFonts w:ascii="Verdana" w:eastAsia="Verdana" w:hAnsi="Verdana" w:cs="Verdana"/>
                <w:b/>
                <w:bCs/>
              </w:rPr>
              <w:t>Municipio</w:t>
            </w:r>
          </w:p>
        </w:tc>
        <w:tc>
          <w:tcPr>
            <w:tcW w:w="1537" w:type="dxa"/>
            <w:tcMar>
              <w:top w:w="0" w:type="dxa"/>
              <w:left w:w="0" w:type="dxa"/>
              <w:bottom w:w="0" w:type="dxa"/>
              <w:right w:w="0" w:type="dxa"/>
            </w:tcMar>
          </w:tcPr>
          <w:p w:rsidR="00283799" w:rsidRDefault="001B2CD6">
            <w:pPr>
              <w:spacing w:line="270" w:lineRule="auto"/>
              <w:jc w:val="center"/>
              <w:rPr>
                <w:rFonts w:ascii="Verdana" w:eastAsia="Verdana" w:hAnsi="Verdana" w:cs="Verdana"/>
                <w:b/>
                <w:bCs/>
              </w:rPr>
            </w:pPr>
            <w:r>
              <w:rPr>
                <w:rFonts w:ascii="Verdana" w:eastAsia="Verdana" w:hAnsi="Verdana" w:cs="Verdana"/>
                <w:b/>
                <w:bCs/>
              </w:rPr>
              <w:t>Aporte ICBF</w:t>
            </w:r>
          </w:p>
        </w:tc>
      </w:tr>
      <w:tr w:rsidR="00283799">
        <w:trPr>
          <w:trHeight w:val="108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ASOCIACION DE AUTORIDADES TRADICIONALES INDIGENAS WAYUU MAREYWAYUUGUAMA DE LA ZONA DEL CERRO DE LA TETA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367</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Uribia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$ 701.950.404,00</w:t>
            </w:r>
          </w:p>
        </w:tc>
      </w:tr>
      <w:tr w:rsidR="00283799">
        <w:trPr>
          <w:trHeight w:val="81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ASOCIACION DE JEFES FAMILIARES WAYUU DE LA ZONA NORTE DE LA ALTA GUAJIRA WAYUU ARAURAYU</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390</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Uribia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$ 380.903.320,00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3</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ASOCIACION DE PADRES DE FAMILIA DEL HOGAR INFANTIL GENITH LUQUE</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350</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Hatonuevo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$ 408.110.700,00</w:t>
            </w:r>
          </w:p>
        </w:tc>
      </w:tr>
      <w:tr w:rsidR="00283799">
        <w:trPr>
          <w:trHeight w:val="81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4</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ASOCIACION DE PADRES DE FAMILIA Y VECINOS DEL HOGAR INFANTIL EDAD DE ORO</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349</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San Juan Del Cesar</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$ 555.030.552,00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5</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ASOCIACION DE PADRES USUARIOS DEL HOGAR INFANTIL MARIA AUXILIADORA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356</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Barrancas</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$ 435.318.080,00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6</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ASOCIACIÓN DE PADRES Y VECINOS DEL Hl MAICAO</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364</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$ 816.221.400,00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7</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ASOCIACION DE PROYECTOS SOCIALES FRENTE AL NUEVO MILENIO</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338</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$ 2.377.446.300,00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8</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ASOCIACION SERVICIO SOCIAL PARA UN MEJOR VIVIR</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355</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$ 408.110.700,00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9</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CAJA DE COMPENSACION FAMILIAR DE LA GUAJIRA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38</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2015</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$ 326.162.071,00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10</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CENTRO DE ATENCION PARA EL DESARROLLO COMUNITARIO</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343</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$ 359.137.416,00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11</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AMIGOS PARA UN MEJOR FUTURO</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380</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San Juan Del Cesar</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$ 2.745.224.642,00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12</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AMIGOS POR LA INFANCIA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336</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$ 1.498.828.320,00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13</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AMIGOS POR LA INFANCIA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362</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$ 853.968.704,00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14</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AMIGOS POR LA INFANCIA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378</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$ 872.465.984,00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15</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BARRANCAS SIGLO XXI</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370</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Barrancas</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$ 2.804.364.764,00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16</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BARRANCAS SIGLO XXI</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384</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Barrancas</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$ 2.985.459.176,00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17</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GUAJIRA NACIENTE</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341</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$ 6.242.415.200,00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18</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ITACA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379</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Barrancas</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$ 1.005.589.820,00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19</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ITACA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335</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Barrancas</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$ 1.356.051.800,00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20</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MANOS UNIDAS CONSTRUYENDO PAIS</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398</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$ 1.142.150.708,00</w:t>
            </w:r>
          </w:p>
        </w:tc>
      </w:tr>
      <w:tr w:rsidR="00283799">
        <w:trPr>
          <w:trHeight w:val="81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21</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PARA EL BIENESTAR SOCIAL DE LA INFANCIA LA FAMILIA Y EL MEDIO AMBIENTE</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377</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$ 1.241.193.048,00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22</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PARA EL DESARROLLO SOCIAL Y COMUNITARIO</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366</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$ 1.701.351.410,00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23</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PROGUAJIRA POSITIVA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371</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San Juan Del Cesar</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$ 655.526.344,00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24</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SANTA FE</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346</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$ 3.334.038.700,00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25</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SEMILLAS COLOMBIA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368</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$ 1.313.221.500,00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26</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SEMILLAS COLOMBIA</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337</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Maicao</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$ 3.090.447.930,00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27</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SOLIDARIDAD POR LA NIÑEZ, LA JUVENTUD Y LA TERCERA EDAD</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347</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Distracción</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$ 652.977.120,00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28</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FUNDACION UN MEJOR VIVIR</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375</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Riohacha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$ 5.648.897.500,00</w:t>
            </w:r>
          </w:p>
        </w:tc>
      </w:tr>
      <w:tr w:rsidR="00283799">
        <w:trPr>
          <w:trHeight w:val="27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29</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GUAJIRA LEGAL</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376</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Fonseca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$ 1.333.161.620,00</w:t>
            </w:r>
          </w:p>
        </w:tc>
      </w:tr>
      <w:tr w:rsidR="00283799">
        <w:trPr>
          <w:trHeight w:val="540"/>
        </w:trPr>
        <w:tc>
          <w:tcPr>
            <w:tcW w:w="366"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30</w:t>
            </w:r>
          </w:p>
        </w:tc>
        <w:tc>
          <w:tcPr>
            <w:tcW w:w="4057"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ORGANIZACION NACIONAL DE SERVICIO A LA COMUNIDAD ONSECO</w:t>
            </w:r>
          </w:p>
        </w:tc>
        <w:tc>
          <w:tcPr>
            <w:tcW w:w="721"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344</w:t>
            </w:r>
          </w:p>
        </w:tc>
        <w:tc>
          <w:tcPr>
            <w:tcW w:w="993" w:type="dxa"/>
            <w:tcMar>
              <w:top w:w="0" w:type="dxa"/>
              <w:left w:w="0" w:type="dxa"/>
              <w:bottom w:w="0" w:type="dxa"/>
              <w:right w:w="0" w:type="dxa"/>
            </w:tcMar>
          </w:tcPr>
          <w:p w:rsidR="00283799" w:rsidRDefault="001B2CD6">
            <w:pPr>
              <w:spacing w:line="270" w:lineRule="auto"/>
              <w:jc w:val="center"/>
              <w:rPr>
                <w:rFonts w:ascii="Verdana" w:eastAsia="Verdana" w:hAnsi="Verdana" w:cs="Verdana"/>
              </w:rPr>
            </w:pPr>
            <w:r>
              <w:rPr>
                <w:rFonts w:ascii="Verdana" w:eastAsia="Verdana" w:hAnsi="Verdana" w:cs="Verdana"/>
              </w:rPr>
              <w:t>2014</w:t>
            </w:r>
          </w:p>
        </w:tc>
        <w:tc>
          <w:tcPr>
            <w:tcW w:w="1348" w:type="dxa"/>
            <w:tcMar>
              <w:top w:w="0" w:type="dxa"/>
              <w:left w:w="0" w:type="dxa"/>
              <w:bottom w:w="0" w:type="dxa"/>
              <w:right w:w="0" w:type="dxa"/>
            </w:tcMar>
          </w:tcPr>
          <w:p w:rsidR="00283799" w:rsidRDefault="001B2CD6">
            <w:pPr>
              <w:spacing w:line="270" w:lineRule="auto"/>
              <w:jc w:val="both"/>
              <w:rPr>
                <w:rFonts w:ascii="Verdana" w:eastAsia="Verdana" w:hAnsi="Verdana" w:cs="Verdana"/>
              </w:rPr>
            </w:pPr>
            <w:r>
              <w:rPr>
                <w:rFonts w:ascii="Verdana" w:eastAsia="Verdana" w:hAnsi="Verdana" w:cs="Verdana"/>
              </w:rPr>
              <w:t>Urumita</w:t>
            </w:r>
          </w:p>
        </w:tc>
        <w:tc>
          <w:tcPr>
            <w:tcW w:w="1537" w:type="dxa"/>
            <w:tcMar>
              <w:top w:w="0" w:type="dxa"/>
              <w:left w:w="0" w:type="dxa"/>
              <w:bottom w:w="0" w:type="dxa"/>
              <w:right w:w="0" w:type="dxa"/>
            </w:tcMar>
          </w:tcPr>
          <w:p w:rsidR="00283799" w:rsidRDefault="001B2CD6">
            <w:pPr>
              <w:spacing w:line="270" w:lineRule="auto"/>
              <w:jc w:val="right"/>
              <w:rPr>
                <w:rFonts w:ascii="Verdana" w:eastAsia="Verdana" w:hAnsi="Verdana" w:cs="Verdana"/>
              </w:rPr>
            </w:pPr>
            <w:r>
              <w:rPr>
                <w:rFonts w:ascii="Verdana" w:eastAsia="Verdana" w:hAnsi="Verdana" w:cs="Verdana"/>
              </w:rPr>
              <w:t>$ 544.147.600,00</w:t>
            </w:r>
          </w:p>
        </w:tc>
      </w:tr>
    </w:tbl>
    <w:p w:rsidR="00283799" w:rsidRDefault="001B2CD6">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Otorgar Delegación Especial al (la) Subdirector (a) General del ICBF para la ordenación del gasto y la expedición de los actos administrativos y demás actos contractuales en la ejecución de las etapas contractual y poscontractual de los contratos relacionados en el artículo primero de la presente resolución.</w:t>
      </w:r>
    </w:p>
    <w:p w:rsidR="00283799" w:rsidRDefault="001B2CD6">
      <w:pPr>
        <w:shd w:val="clear" w:color="auto" w:fill="FFFFFF"/>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 presente delegación especial no altera las delegaciones ya contenidas en el Manual de Contratación del ICBF vigente.</w:t>
      </w:r>
    </w:p>
    <w:p w:rsidR="00283799" w:rsidRDefault="001B2CD6">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Resolución rige a partir de la fecha de su expedición</w:t>
      </w:r>
    </w:p>
    <w:p w:rsidR="00283799" w:rsidRDefault="001B2CD6">
      <w:pPr>
        <w:shd w:val="clear" w:color="auto" w:fill="FFFFFF"/>
        <w:spacing w:after="240"/>
        <w:jc w:val="center"/>
        <w:rPr>
          <w:rFonts w:ascii="Verdana" w:eastAsia="Verdana" w:hAnsi="Verdana" w:cs="Verdana"/>
        </w:rPr>
      </w:pPr>
      <w:r>
        <w:rPr>
          <w:rFonts w:ascii="Verdana" w:eastAsia="Verdana" w:hAnsi="Verdana" w:cs="Verdana"/>
        </w:rPr>
        <w:t>COMUNÍQUESE Y CÚMPLASE</w:t>
      </w:r>
    </w:p>
    <w:p w:rsidR="00283799" w:rsidRDefault="001B2CD6">
      <w:pPr>
        <w:shd w:val="clear" w:color="auto" w:fill="FFFFFF"/>
        <w:spacing w:after="240"/>
        <w:jc w:val="center"/>
        <w:rPr>
          <w:rFonts w:ascii="Verdana" w:eastAsia="Verdana" w:hAnsi="Verdana" w:cs="Verdana"/>
        </w:rPr>
      </w:pPr>
      <w:r>
        <w:rPr>
          <w:rFonts w:ascii="Verdana" w:eastAsia="Verdana" w:hAnsi="Verdana" w:cs="Verdana"/>
        </w:rPr>
        <w:t>Dada en Bogotá D. C. 16 días de junio de 2015</w:t>
      </w:r>
    </w:p>
    <w:p w:rsidR="00283799" w:rsidRDefault="001B2CD6">
      <w:pPr>
        <w:shd w:val="clear" w:color="auto" w:fill="FFFFFF"/>
        <w:jc w:val="center"/>
        <w:rPr>
          <w:rFonts w:ascii="Verdana" w:eastAsia="Verdana" w:hAnsi="Verdana" w:cs="Verdana"/>
          <w:b/>
          <w:bCs/>
        </w:rPr>
      </w:pPr>
      <w:r>
        <w:rPr>
          <w:rFonts w:ascii="Verdana" w:eastAsia="Verdana" w:hAnsi="Verdana" w:cs="Verdana"/>
          <w:b/>
          <w:bCs/>
        </w:rPr>
        <w:t>CRISTINA PLAZAS MICHELSEN</w:t>
      </w:r>
    </w:p>
    <w:p w:rsidR="00283799" w:rsidRDefault="00283799">
      <w:pPr>
        <w:shd w:val="clear" w:color="auto" w:fill="FFFFFF"/>
        <w:jc w:val="center"/>
        <w:rPr>
          <w:rFonts w:ascii="Verdana" w:eastAsia="Verdana" w:hAnsi="Verdana" w:cs="Verdana"/>
          <w:b/>
          <w:bCs/>
        </w:rPr>
      </w:pPr>
    </w:p>
    <w:p w:rsidR="00283799" w:rsidRDefault="001B2CD6">
      <w:pPr>
        <w:shd w:val="clear" w:color="auto" w:fill="FFFFFF"/>
        <w:jc w:val="center"/>
        <w:rPr>
          <w:rFonts w:ascii="Verdana" w:eastAsia="Verdana" w:hAnsi="Verdana" w:cs="Verdana"/>
        </w:rPr>
      </w:pPr>
      <w:r>
        <w:rPr>
          <w:rFonts w:ascii="Verdana" w:eastAsia="Verdana" w:hAnsi="Verdana" w:cs="Verdana"/>
        </w:rPr>
        <w:t>DIRECTORA GENERAL</w:t>
      </w:r>
    </w:p>
    <w:p w:rsidR="00283799" w:rsidRDefault="001B2CD6">
      <w:pPr>
        <w:rPr>
          <w:rFonts w:ascii="Verdana" w:eastAsia="Verdana" w:hAnsi="Verdana" w:cs="Verdana"/>
        </w:rPr>
      </w:pPr>
      <w:r>
        <w:rPr>
          <w:rFonts w:ascii="Verdana" w:eastAsia="Verdana" w:hAnsi="Verdana" w:cs="Verdana"/>
        </w:rPr>
        <w:t xml:space="preserve"> </w:t>
      </w:r>
    </w:p>
    <w:p w:rsidR="00283799" w:rsidRDefault="00283799">
      <w:pPr>
        <w:rPr>
          <w:rFonts w:ascii="Verdana" w:eastAsia="Verdana" w:hAnsi="Verdana" w:cs="Verdana"/>
        </w:rPr>
      </w:pPr>
    </w:p>
    <w:sectPr w:rsidR="0028379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4ED447C-10ED-46C0-8E2D-2DB3997E84E6}"/>
    <w:embedBold r:id="rId2" w:fontKey="{5BB503F4-36BC-4E89-8DAB-D0EA46EB2914}"/>
    <w:embedItalic r:id="rId3" w:fontKey="{A584BDEB-3B5F-4CE1-A590-F2842CA8096B}"/>
    <w:embedBoldItalic r:id="rId4" w:fontKey="{A65BA699-05C5-4E76-ABAF-90850B77A9C8}"/>
  </w:font>
  <w:font w:name="Calibri">
    <w:panose1 w:val="020F0502020204030204"/>
    <w:charset w:val="00"/>
    <w:family w:val="swiss"/>
    <w:pitch w:val="variable"/>
    <w:sig w:usb0="E4002EFF" w:usb1="C200247B" w:usb2="00000009" w:usb3="00000000" w:csb0="000001FF" w:csb1="00000000"/>
    <w:embedRegular r:id="rId5" w:fontKey="{60795E3F-033C-437D-90C7-AD1D17EC0910}"/>
  </w:font>
  <w:font w:name="Cambria">
    <w:panose1 w:val="02040503050406030204"/>
    <w:charset w:val="00"/>
    <w:family w:val="roman"/>
    <w:pitch w:val="variable"/>
    <w:sig w:usb0="E00006FF" w:usb1="420024FF" w:usb2="02000000" w:usb3="00000000" w:csb0="0000019F" w:csb1="00000000"/>
    <w:embedRegular r:id="rId6" w:fontKey="{43405F2F-BF57-4FA7-ADFC-C15A0461E5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799"/>
    <w:rsid w:val="001B2CD6"/>
    <w:rsid w:val="00283799"/>
    <w:rsid w:val="00665FDA"/>
    <w:rsid w:val="007574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D9167A-25F1-409F-A178-99B696773137}"/>
</file>

<file path=customXml/itemProps2.xml><?xml version="1.0" encoding="utf-8"?>
<ds:datastoreItem xmlns:ds="http://schemas.openxmlformats.org/officeDocument/2006/customXml" ds:itemID="{1B0C592C-36BD-4796-97B9-1E5DE3660EBB}"/>
</file>

<file path=customXml/itemProps3.xml><?xml version="1.0" encoding="utf-8"?>
<ds:datastoreItem xmlns:ds="http://schemas.openxmlformats.org/officeDocument/2006/customXml" ds:itemID="{614A57E5-A567-4AF6-9C30-079E131320F1}"/>
</file>

<file path=docProps/app.xml><?xml version="1.0" encoding="utf-8"?>
<Properties xmlns="http://schemas.openxmlformats.org/officeDocument/2006/extended-properties" xmlns:vt="http://schemas.openxmlformats.org/officeDocument/2006/docPropsVTypes">
  <Template>Normal</Template>
  <TotalTime>0</TotalTime>
  <Pages>3</Pages>
  <Words>1518</Words>
  <Characters>8355</Characters>
  <Application>Microsoft Office Word</Application>
  <DocSecurity>0</DocSecurity>
  <Lines>69</Lines>
  <Paragraphs>19</Paragraphs>
  <ScaleCrop>false</ScaleCrop>
  <Company/>
  <LinksUpToDate>false</LinksUpToDate>
  <CharactersWithSpaces>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