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CA2B" w14:textId="755ADCE4" w:rsidR="00CD3B43" w:rsidRDefault="00482A79"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482A79">
        <w:rPr>
          <w:rFonts w:ascii="Verdana" w:eastAsia="Times New Roman" w:hAnsi="Verdana" w:cs="Times New Roman"/>
          <w:b/>
          <w:bCs/>
          <w:color w:val="000000" w:themeColor="text1"/>
          <w:spacing w:val="2"/>
          <w:kern w:val="0"/>
          <w:sz w:val="22"/>
          <w:szCs w:val="22"/>
          <w:lang w:eastAsia="es-ES_tradnl"/>
          <w14:ligatures w14:val="none"/>
        </w:rPr>
        <w:t>RESOLUCIÓN 2631 DE 2005</w:t>
      </w:r>
    </w:p>
    <w:p w14:paraId="67F88379" w14:textId="77777777" w:rsidR="00482A79" w:rsidRPr="009A4B1D" w:rsidRDefault="00482A79"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404C23B6" w14:textId="77777777" w:rsidR="00E60804" w:rsidRPr="00E60804" w:rsidRDefault="00E60804" w:rsidP="00E60804">
      <w:pPr>
        <w:pStyle w:val="Sinespaciado"/>
        <w:rPr>
          <w:rFonts w:ascii="Verdana" w:hAnsi="Verdana"/>
          <w:sz w:val="20"/>
          <w:szCs w:val="20"/>
          <w:lang w:eastAsia="es-ES_tradnl"/>
        </w:rPr>
      </w:pPr>
      <w:r w:rsidRPr="00E60804">
        <w:rPr>
          <w:rFonts w:ascii="Verdana" w:hAnsi="Verdana"/>
          <w:sz w:val="20"/>
          <w:szCs w:val="20"/>
          <w:lang w:eastAsia="es-ES_tradnl"/>
        </w:rPr>
        <w:t>Fecha de Expedición: 22 de diciembre de 2005.</w:t>
      </w:r>
    </w:p>
    <w:p w14:paraId="4402D7DB" w14:textId="77777777" w:rsidR="00E60804" w:rsidRPr="00E60804" w:rsidRDefault="00E60804" w:rsidP="00E60804">
      <w:pPr>
        <w:pStyle w:val="Sinespaciado"/>
        <w:rPr>
          <w:rFonts w:ascii="Verdana" w:hAnsi="Verdana"/>
          <w:sz w:val="20"/>
          <w:szCs w:val="20"/>
          <w:lang w:eastAsia="es-ES_tradnl"/>
        </w:rPr>
      </w:pPr>
      <w:r w:rsidRPr="00E60804">
        <w:rPr>
          <w:rFonts w:ascii="Verdana" w:hAnsi="Verdana"/>
          <w:sz w:val="20"/>
          <w:szCs w:val="20"/>
          <w:lang w:eastAsia="es-ES_tradnl"/>
        </w:rPr>
        <w:t>Fecha de entrada en vigencia: 22 de diciembre de 2005.</w:t>
      </w:r>
    </w:p>
    <w:p w14:paraId="3C1FC520" w14:textId="77777777" w:rsidR="00E60804" w:rsidRPr="00E60804" w:rsidRDefault="00E60804" w:rsidP="00E60804">
      <w:pPr>
        <w:pStyle w:val="Sinespaciado"/>
        <w:rPr>
          <w:rFonts w:ascii="Verdana" w:hAnsi="Verdana"/>
          <w:sz w:val="20"/>
          <w:szCs w:val="20"/>
          <w:lang w:eastAsia="es-ES_tradnl"/>
        </w:rPr>
      </w:pPr>
      <w:r w:rsidRPr="00E60804">
        <w:rPr>
          <w:rFonts w:ascii="Verdana" w:hAnsi="Verdana"/>
          <w:sz w:val="20"/>
          <w:szCs w:val="20"/>
          <w:lang w:eastAsia="es-ES_tradnl"/>
        </w:rPr>
        <w:t>Estado de la vigencia: Vigente.</w:t>
      </w:r>
    </w:p>
    <w:p w14:paraId="3F0FC66D" w14:textId="77777777" w:rsidR="00E60804" w:rsidRDefault="00E60804" w:rsidP="00E60804">
      <w:pPr>
        <w:pStyle w:val="Sinespaciado"/>
        <w:rPr>
          <w:rFonts w:ascii="Verdana" w:hAnsi="Verdana"/>
          <w:sz w:val="20"/>
          <w:szCs w:val="20"/>
          <w:lang w:eastAsia="es-ES_tradnl"/>
        </w:rPr>
      </w:pPr>
    </w:p>
    <w:p w14:paraId="29DA2AED" w14:textId="510B718B" w:rsidR="00E60804" w:rsidRPr="00E60804" w:rsidRDefault="00E60804" w:rsidP="00E60804">
      <w:pPr>
        <w:pStyle w:val="Sinespaciado"/>
        <w:rPr>
          <w:rFonts w:ascii="Verdana" w:hAnsi="Verdana"/>
          <w:sz w:val="20"/>
          <w:szCs w:val="20"/>
          <w:lang w:eastAsia="es-ES_tradnl"/>
        </w:rPr>
      </w:pPr>
      <w:r w:rsidRPr="00E60804">
        <w:rPr>
          <w:rFonts w:ascii="Verdana" w:hAnsi="Verdana"/>
          <w:sz w:val="20"/>
          <w:szCs w:val="20"/>
          <w:lang w:eastAsia="es-ES_tradnl"/>
        </w:rPr>
        <w:t>Fecha de publicación en Diario Oficial: N/A</w:t>
      </w:r>
    </w:p>
    <w:p w14:paraId="75AD14EF" w14:textId="31AD98D2" w:rsidR="00482A79" w:rsidRDefault="00E60804" w:rsidP="00E60804">
      <w:pPr>
        <w:pStyle w:val="Sinespaciado"/>
        <w:rPr>
          <w:rFonts w:ascii="Verdana" w:hAnsi="Verdana"/>
          <w:sz w:val="20"/>
          <w:szCs w:val="20"/>
          <w:lang w:eastAsia="es-ES_tradnl"/>
        </w:rPr>
      </w:pPr>
      <w:r w:rsidRPr="00E60804">
        <w:rPr>
          <w:rFonts w:ascii="Verdana" w:hAnsi="Verdana"/>
          <w:sz w:val="20"/>
          <w:szCs w:val="20"/>
          <w:lang w:eastAsia="es-ES_tradnl"/>
        </w:rPr>
        <w:t>Número del Diario Oficial: N/A</w:t>
      </w:r>
    </w:p>
    <w:p w14:paraId="1E2A04B3" w14:textId="77777777" w:rsidR="00E60804" w:rsidRPr="00E60804" w:rsidRDefault="00E60804" w:rsidP="00E60804">
      <w:pPr>
        <w:pStyle w:val="Sinespaciado"/>
        <w:rPr>
          <w:rFonts w:ascii="Verdana" w:hAnsi="Verdana"/>
          <w:sz w:val="20"/>
          <w:szCs w:val="20"/>
          <w:lang w:eastAsia="es-ES_tradnl"/>
        </w:rPr>
      </w:pPr>
    </w:p>
    <w:p w14:paraId="25474B55" w14:textId="41BFC9CA" w:rsidR="00CD3B43" w:rsidRPr="00482A79" w:rsidRDefault="00482A79" w:rsidP="00482A79">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482A79">
        <w:rPr>
          <w:rFonts w:ascii="Verdana" w:eastAsia="Times New Roman" w:hAnsi="Verdana" w:cs="Times New Roman"/>
          <w:b/>
          <w:bCs/>
          <w:color w:val="000000" w:themeColor="text1"/>
          <w:spacing w:val="2"/>
          <w:kern w:val="0"/>
          <w:sz w:val="22"/>
          <w:szCs w:val="22"/>
          <w:lang w:eastAsia="es-ES_tradnl"/>
          <w14:ligatures w14:val="none"/>
        </w:rPr>
        <w:t>RESOLUCIÓN 2631 DE 2005</w:t>
      </w:r>
    </w:p>
    <w:p w14:paraId="77EEEF8D" w14:textId="77777777" w:rsidR="00482A79" w:rsidRPr="00482A79" w:rsidRDefault="00482A79"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51F8950E" w14:textId="637A4E3E" w:rsidR="00A34D32" w:rsidRPr="00482A79" w:rsidRDefault="00482A79" w:rsidP="003E7BBF">
      <w:pPr>
        <w:pStyle w:val="centrado"/>
        <w:shd w:val="clear" w:color="auto" w:fill="FFFFFF"/>
        <w:spacing w:before="0" w:beforeAutospacing="0" w:after="0" w:afterAutospacing="0"/>
        <w:jc w:val="center"/>
        <w:rPr>
          <w:rStyle w:val="iaj"/>
          <w:rFonts w:ascii="Verdana" w:eastAsiaTheme="majorEastAsia" w:hAnsi="Verdana"/>
          <w:color w:val="000000" w:themeColor="text1"/>
          <w:spacing w:val="2"/>
          <w:sz w:val="22"/>
          <w:szCs w:val="22"/>
        </w:rPr>
      </w:pPr>
      <w:r w:rsidRPr="00482A79">
        <w:rPr>
          <w:rStyle w:val="iaj"/>
          <w:rFonts w:ascii="Verdana" w:eastAsiaTheme="majorEastAsia" w:hAnsi="Verdana"/>
          <w:color w:val="000000" w:themeColor="text1"/>
          <w:spacing w:val="2"/>
          <w:sz w:val="22"/>
          <w:szCs w:val="22"/>
        </w:rPr>
        <w:t>“Por medio de la cual se adoptan medidas para el mejoramiento institucional, con relación al manejo de los bienes dentro de las modalidades de los programas del ICBF”</w:t>
      </w:r>
    </w:p>
    <w:p w14:paraId="1093CEC0" w14:textId="77777777" w:rsidR="00482A79" w:rsidRPr="00482A79" w:rsidRDefault="00482A79"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28603356" w:rsidR="003E7BBF" w:rsidRPr="00482A79"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82A79">
        <w:rPr>
          <w:rFonts w:ascii="Verdana" w:hAnsi="Verdana"/>
          <w:color w:val="000000" w:themeColor="text1"/>
          <w:spacing w:val="2"/>
          <w:sz w:val="22"/>
          <w:szCs w:val="22"/>
        </w:rPr>
        <w:t>(</w:t>
      </w:r>
      <w:r w:rsidR="00482A79" w:rsidRPr="00482A79">
        <w:rPr>
          <w:rFonts w:ascii="Verdana" w:hAnsi="Verdana"/>
          <w:color w:val="000000" w:themeColor="text1"/>
          <w:spacing w:val="2"/>
          <w:sz w:val="22"/>
          <w:szCs w:val="22"/>
        </w:rPr>
        <w:t xml:space="preserve">Diciembre </w:t>
      </w:r>
      <w:r w:rsidR="00872BB1" w:rsidRPr="00482A79">
        <w:rPr>
          <w:rFonts w:ascii="Verdana" w:hAnsi="Verdana"/>
          <w:color w:val="000000" w:themeColor="text1"/>
          <w:spacing w:val="2"/>
          <w:sz w:val="22"/>
          <w:szCs w:val="22"/>
        </w:rPr>
        <w:t>2</w:t>
      </w:r>
      <w:r w:rsidR="00A34D32" w:rsidRPr="00482A79">
        <w:rPr>
          <w:rFonts w:ascii="Verdana" w:hAnsi="Verdana"/>
          <w:color w:val="000000" w:themeColor="text1"/>
          <w:spacing w:val="2"/>
          <w:sz w:val="22"/>
          <w:szCs w:val="22"/>
        </w:rPr>
        <w:t>2</w:t>
      </w:r>
      <w:r w:rsidRPr="00482A79">
        <w:rPr>
          <w:rFonts w:ascii="Verdana" w:hAnsi="Verdana"/>
          <w:color w:val="000000" w:themeColor="text1"/>
          <w:spacing w:val="2"/>
          <w:sz w:val="22"/>
          <w:szCs w:val="22"/>
        </w:rPr>
        <w:t>)</w:t>
      </w:r>
    </w:p>
    <w:p w14:paraId="13667C30" w14:textId="5FAF5A53" w:rsidR="00482A79" w:rsidRPr="00482A79" w:rsidRDefault="00482A79" w:rsidP="00482A79">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482A79">
        <w:rPr>
          <w:rStyle w:val="baj"/>
          <w:rFonts w:ascii="Verdana" w:eastAsiaTheme="majorEastAsia" w:hAnsi="Verdana"/>
          <w:b/>
          <w:bCs/>
          <w:color w:val="000000" w:themeColor="text1"/>
          <w:spacing w:val="2"/>
          <w:sz w:val="22"/>
          <w:szCs w:val="22"/>
        </w:rPr>
        <w:t>LA DIRECTORA GENERAL DEL INSTITUTO COLOMBIANO DE BIENESTAR</w:t>
      </w:r>
      <w:r w:rsidRPr="00482A79">
        <w:rPr>
          <w:rStyle w:val="apple-converted-space"/>
          <w:rFonts w:ascii="Verdana" w:eastAsiaTheme="majorEastAsia" w:hAnsi="Verdana"/>
          <w:b/>
          <w:bCs/>
          <w:color w:val="000000" w:themeColor="text1"/>
          <w:spacing w:val="2"/>
          <w:sz w:val="22"/>
          <w:szCs w:val="22"/>
        </w:rPr>
        <w:t> </w:t>
      </w:r>
      <w:r w:rsidRPr="00482A79">
        <w:rPr>
          <w:rStyle w:val="baj"/>
          <w:rFonts w:ascii="Verdana" w:eastAsiaTheme="majorEastAsia" w:hAnsi="Verdana"/>
          <w:b/>
          <w:bCs/>
          <w:color w:val="000000" w:themeColor="text1"/>
          <w:spacing w:val="2"/>
          <w:sz w:val="22"/>
          <w:szCs w:val="22"/>
        </w:rPr>
        <w:t>FAMILIAR,</w:t>
      </w:r>
      <w:r w:rsidRPr="00482A79">
        <w:rPr>
          <w:rStyle w:val="apple-converted-space"/>
          <w:rFonts w:ascii="Verdana" w:eastAsiaTheme="majorEastAsia" w:hAnsi="Verdana"/>
          <w:b/>
          <w:bCs/>
          <w:color w:val="000000" w:themeColor="text1"/>
          <w:spacing w:val="2"/>
          <w:sz w:val="22"/>
          <w:szCs w:val="22"/>
        </w:rPr>
        <w:t> </w:t>
      </w:r>
    </w:p>
    <w:p w14:paraId="72CAB4C0" w14:textId="77777777" w:rsidR="00482A79" w:rsidRPr="00482A79" w:rsidRDefault="00482A79"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DB705D1" w14:textId="77777777" w:rsidR="00482A79" w:rsidRPr="00482A79" w:rsidRDefault="00482A79" w:rsidP="00482A79">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82A79">
        <w:rPr>
          <w:rFonts w:ascii="Verdana" w:hAnsi="Verdana"/>
          <w:color w:val="000000" w:themeColor="text1"/>
          <w:spacing w:val="2"/>
          <w:sz w:val="22"/>
          <w:szCs w:val="22"/>
        </w:rPr>
        <w:t>En uso de sus facultades legales y estatutarias y,</w:t>
      </w:r>
    </w:p>
    <w:p w14:paraId="51670E99" w14:textId="77777777" w:rsidR="00482A79" w:rsidRPr="00482A79" w:rsidRDefault="00482A79" w:rsidP="00482A79">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482A79">
        <w:rPr>
          <w:rStyle w:val="baj"/>
          <w:rFonts w:ascii="Verdana" w:eastAsiaTheme="majorEastAsia" w:hAnsi="Verdana"/>
          <w:b/>
          <w:bCs/>
          <w:color w:val="000000" w:themeColor="text1"/>
          <w:spacing w:val="2"/>
          <w:sz w:val="22"/>
          <w:szCs w:val="22"/>
        </w:rPr>
        <w:t>CONSIDERANDO:</w:t>
      </w:r>
    </w:p>
    <w:p w14:paraId="1D0B48A4" w14:textId="77777777" w:rsidR="00482A79" w:rsidRPr="00482A79" w:rsidRDefault="00482A79"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9A7DE18" w14:textId="2919C673"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t>Que según el artículo</w:t>
      </w:r>
      <w:r w:rsidRPr="00482A79">
        <w:rPr>
          <w:rStyle w:val="apple-converted-space"/>
          <w:rFonts w:ascii="Verdana" w:eastAsiaTheme="majorEastAsia" w:hAnsi="Verdana"/>
          <w:color w:val="000000" w:themeColor="text1"/>
          <w:spacing w:val="2"/>
          <w:sz w:val="22"/>
          <w:szCs w:val="22"/>
        </w:rPr>
        <w:t> </w:t>
      </w:r>
      <w:r w:rsidRPr="00482A79">
        <w:rPr>
          <w:rFonts w:ascii="Verdana" w:eastAsiaTheme="majorEastAsia" w:hAnsi="Verdana"/>
          <w:color w:val="000000" w:themeColor="text1"/>
          <w:spacing w:val="2"/>
          <w:sz w:val="22"/>
          <w:szCs w:val="22"/>
        </w:rPr>
        <w:t>39</w:t>
      </w:r>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de la Ley 7 de 1979, el patrimonio del ICBF está constituido, entre otros, por los bienes muebles e inmuebles que se le incorporaron en virtud de la Ley</w:t>
      </w:r>
      <w:r w:rsidRPr="00482A79">
        <w:rPr>
          <w:rStyle w:val="apple-converted-space"/>
          <w:rFonts w:ascii="Verdana" w:eastAsiaTheme="majorEastAsia" w:hAnsi="Verdana"/>
          <w:color w:val="000000" w:themeColor="text1"/>
          <w:spacing w:val="2"/>
          <w:sz w:val="22"/>
          <w:szCs w:val="22"/>
        </w:rPr>
        <w:t> </w:t>
      </w:r>
      <w:r w:rsidRPr="00482A79">
        <w:rPr>
          <w:rFonts w:ascii="Verdana" w:eastAsiaTheme="majorEastAsia" w:hAnsi="Verdana"/>
          <w:color w:val="000000" w:themeColor="text1"/>
          <w:spacing w:val="2"/>
          <w:sz w:val="22"/>
          <w:szCs w:val="22"/>
        </w:rPr>
        <w:t>75</w:t>
      </w:r>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de 1968, los adquiridos en ejercicio de actividades como persona jurídica independiente, los recibidos por donación y legado y los obtenidos por efecto de las vocaciones hereditarias, bienes vacantes y mostrencos (Art.</w:t>
      </w:r>
      <w:r w:rsidRPr="00482A79">
        <w:rPr>
          <w:rStyle w:val="apple-converted-space"/>
          <w:rFonts w:ascii="Verdana" w:eastAsiaTheme="majorEastAsia" w:hAnsi="Verdana"/>
          <w:color w:val="000000" w:themeColor="text1"/>
          <w:spacing w:val="2"/>
          <w:sz w:val="22"/>
          <w:szCs w:val="22"/>
        </w:rPr>
        <w:t> </w:t>
      </w:r>
      <w:r w:rsidRPr="00482A79">
        <w:rPr>
          <w:rFonts w:ascii="Verdana" w:eastAsiaTheme="majorEastAsia" w:hAnsi="Verdana"/>
          <w:color w:val="000000" w:themeColor="text1"/>
          <w:spacing w:val="2"/>
          <w:sz w:val="22"/>
          <w:szCs w:val="22"/>
        </w:rPr>
        <w:t>66</w:t>
      </w:r>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Ley 75 de 1968).</w:t>
      </w:r>
    </w:p>
    <w:p w14:paraId="4DF8C4FB"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80028BE" w14:textId="3656459B"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t>Que las normas de saneamiento contable Ley</w:t>
      </w:r>
      <w:r w:rsidRPr="00482A79">
        <w:rPr>
          <w:rStyle w:val="apple-converted-space"/>
          <w:rFonts w:ascii="Verdana" w:eastAsiaTheme="majorEastAsia" w:hAnsi="Verdana"/>
          <w:color w:val="000000" w:themeColor="text1"/>
          <w:spacing w:val="2"/>
          <w:sz w:val="22"/>
          <w:szCs w:val="22"/>
        </w:rPr>
        <w:t> </w:t>
      </w:r>
      <w:r w:rsidRPr="00482A79">
        <w:rPr>
          <w:rFonts w:ascii="Verdana" w:eastAsiaTheme="majorEastAsia" w:hAnsi="Verdana"/>
          <w:color w:val="000000" w:themeColor="text1"/>
          <w:spacing w:val="2"/>
          <w:sz w:val="22"/>
          <w:szCs w:val="22"/>
        </w:rPr>
        <w:t>716</w:t>
      </w:r>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de 2001 y Ley 901 de 2004 regulan la obligatoriedad de los entes del sector público de adelantar las gestiones administrativas necesarias para depurar la información contable, de manera que en los estados financieros se revele en forma fidedigna la realidad económica, financiera y patrimonial de las entidades públicas.</w:t>
      </w:r>
    </w:p>
    <w:p w14:paraId="156C49DE"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927DBC2" w14:textId="77777777" w:rsidR="00482A79" w:rsidRPr="00482A79" w:rsidRDefault="00482A79" w:rsidP="00482A79">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t>Que no se deben incluir en el inventario del ICBF los bienes muebles que en desarrollo de los contratos de aporte, han sido adquiridos y son de propiedad de las entidades que administran las diferentes modalidades de los programas del ICBF.</w:t>
      </w:r>
    </w:p>
    <w:p w14:paraId="0926A069" w14:textId="254951B5"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t>Que el Manual de Contratación y la Resolución No.</w:t>
      </w:r>
      <w:r w:rsidRPr="00482A79">
        <w:rPr>
          <w:rStyle w:val="apple-converted-space"/>
          <w:rFonts w:ascii="Verdana" w:eastAsiaTheme="majorEastAsia" w:hAnsi="Verdana"/>
          <w:color w:val="000000" w:themeColor="text1"/>
          <w:spacing w:val="2"/>
          <w:sz w:val="22"/>
          <w:szCs w:val="22"/>
        </w:rPr>
        <w:t> </w:t>
      </w:r>
      <w:r w:rsidRPr="00482A79">
        <w:rPr>
          <w:rFonts w:ascii="Verdana" w:eastAsiaTheme="majorEastAsia" w:hAnsi="Verdana"/>
          <w:color w:val="000000" w:themeColor="text1"/>
          <w:spacing w:val="2"/>
          <w:sz w:val="22"/>
          <w:szCs w:val="22"/>
        </w:rPr>
        <w:t>0935</w:t>
      </w:r>
      <w:r w:rsidRPr="00482A79">
        <w:rPr>
          <w:rFonts w:ascii="Verdana" w:hAnsi="Verdana"/>
          <w:color w:val="000000" w:themeColor="text1"/>
          <w:spacing w:val="2"/>
          <w:sz w:val="22"/>
          <w:szCs w:val="22"/>
        </w:rPr>
        <w:t>del dos (2) de junio de 2005 que aprueba la Guía de Gestión de Bienes del ICBF, establecen claramente la obligación de celebrar de manera independiente a los contratos de aporte, los contratos que se requieran para entregar los bienes muebles y/o inmuebles a las entidades que administran las modalidades de los programas del ICBF.</w:t>
      </w:r>
    </w:p>
    <w:p w14:paraId="073A34EA"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9E48415" w14:textId="77777777" w:rsidR="00482A79" w:rsidRPr="00482A79" w:rsidRDefault="00482A79" w:rsidP="00482A79">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t>Que lo anterior fue ratificado en las Políticas de Comodatos aprobadas por el Comité de Gestión de Bienes de la Sede Nacional.</w:t>
      </w:r>
    </w:p>
    <w:p w14:paraId="3EABEC5A" w14:textId="77777777" w:rsidR="00482A79" w:rsidRPr="00482A79" w:rsidRDefault="00482A79" w:rsidP="00482A79">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482A79">
        <w:rPr>
          <w:rFonts w:ascii="Verdana" w:hAnsi="Verdana"/>
          <w:color w:val="000000" w:themeColor="text1"/>
          <w:spacing w:val="2"/>
          <w:sz w:val="22"/>
          <w:szCs w:val="22"/>
        </w:rPr>
        <w:lastRenderedPageBreak/>
        <w:t>Que es necesario suscribir en documento adicional y de manera simultánea con el contrato de aporte, el contrato (Comodato, Arrendamiento, etc.) para legalizar la tenencia (i) de los bienes inmuebles de propiedad del ICBF donde funcionan las modalidades de los programas del ICBF, y, (ii) de los bienes muebles de carácter devolutivo entregados por el ICBF.</w:t>
      </w:r>
    </w:p>
    <w:p w14:paraId="6497008D" w14:textId="77777777" w:rsidR="00482A79" w:rsidRDefault="00482A79" w:rsidP="00482A79">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482A79">
        <w:rPr>
          <w:rStyle w:val="baj"/>
          <w:rFonts w:ascii="Verdana" w:eastAsiaTheme="majorEastAsia" w:hAnsi="Verdana"/>
          <w:b/>
          <w:bCs/>
          <w:color w:val="000000" w:themeColor="text1"/>
          <w:spacing w:val="2"/>
          <w:sz w:val="22"/>
          <w:szCs w:val="22"/>
        </w:rPr>
        <w:t>RESUELVE:</w:t>
      </w:r>
    </w:p>
    <w:p w14:paraId="592BC7F0" w14:textId="77777777" w:rsidR="00C916F6" w:rsidRPr="00482A79" w:rsidRDefault="00C916F6"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FFD027C"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482A79">
        <w:rPr>
          <w:rFonts w:ascii="Verdana" w:hAnsi="Verdana"/>
          <w:b/>
          <w:bCs/>
          <w:color w:val="000000" w:themeColor="text1"/>
          <w:spacing w:val="2"/>
          <w:sz w:val="22"/>
          <w:szCs w:val="22"/>
        </w:rPr>
        <w:t>ARTÍCULO 1o.</w:t>
      </w:r>
      <w:bookmarkEnd w:id="0"/>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Entregar a las entidades que administran las diferentes modalidades de los programas del ICBF, a través de los contratos correspondientes (Comodato, Arrendamiento) (i) los bienes inmuebles de propiedad del ICBF, y, (ii) los bienes muebles de carácter devolutivo, para el desarrollo del objeto del contrato de aporte.</w:t>
      </w:r>
    </w:p>
    <w:p w14:paraId="04662630"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EFB6F9C" w14:textId="71079B6F"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482A79">
        <w:rPr>
          <w:rStyle w:val="baj"/>
          <w:rFonts w:ascii="Verdana" w:eastAsiaTheme="majorEastAsia" w:hAnsi="Verdana"/>
          <w:b/>
          <w:bCs/>
          <w:color w:val="000000" w:themeColor="text1"/>
          <w:spacing w:val="2"/>
          <w:sz w:val="22"/>
          <w:szCs w:val="22"/>
        </w:rPr>
        <w:t>PARÁGRAFO:</w:t>
      </w:r>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El contrato de aporte y el contrato que legaliza la tenencia de los bienes inmuebles y/o muebles, deberán coexistir, de tal manera que las fechas de inicio y terminación de uno y otro sean las mismas.</w:t>
      </w:r>
    </w:p>
    <w:p w14:paraId="46FCCB0F"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114005D" w14:textId="243C4069"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482A79">
        <w:rPr>
          <w:rFonts w:ascii="Verdana" w:hAnsi="Verdana"/>
          <w:b/>
          <w:bCs/>
          <w:color w:val="000000" w:themeColor="text1"/>
          <w:spacing w:val="2"/>
          <w:sz w:val="22"/>
          <w:szCs w:val="22"/>
        </w:rPr>
        <w:t>ARTÍCULO 2o.</w:t>
      </w:r>
      <w:bookmarkEnd w:id="1"/>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Los procedimientos para dar cumplimiento a la presente Resolución, serán los establecidos por el Comité de Gestión de Bienes de la Sede Nacional.</w:t>
      </w:r>
    </w:p>
    <w:p w14:paraId="5F49ECD9"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E2145FD" w14:textId="34E852D3"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482A79">
        <w:rPr>
          <w:rFonts w:ascii="Verdana" w:hAnsi="Verdana"/>
          <w:b/>
          <w:bCs/>
          <w:color w:val="000000" w:themeColor="text1"/>
          <w:spacing w:val="2"/>
          <w:sz w:val="22"/>
          <w:szCs w:val="22"/>
        </w:rPr>
        <w:t>ARTÍCULO 3o.</w:t>
      </w:r>
      <w:bookmarkEnd w:id="2"/>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La presente Resolución deroga todas las disposiciones que le sean contrarias.</w:t>
      </w:r>
    </w:p>
    <w:p w14:paraId="2D2379A8"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D86E54F" w14:textId="77777777" w:rsidR="00482A79" w:rsidRPr="00482A79" w:rsidRDefault="00482A79" w:rsidP="00482A79">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482A79">
        <w:rPr>
          <w:rFonts w:ascii="Verdana" w:hAnsi="Verdana"/>
          <w:b/>
          <w:bCs/>
          <w:color w:val="000000" w:themeColor="text1"/>
          <w:spacing w:val="2"/>
          <w:sz w:val="22"/>
          <w:szCs w:val="22"/>
        </w:rPr>
        <w:t>ARTÍCULO 4o.</w:t>
      </w:r>
      <w:bookmarkEnd w:id="3"/>
      <w:r w:rsidRPr="00482A79">
        <w:rPr>
          <w:rStyle w:val="apple-converted-space"/>
          <w:rFonts w:ascii="Verdana" w:eastAsiaTheme="majorEastAsia" w:hAnsi="Verdana"/>
          <w:color w:val="000000" w:themeColor="text1"/>
          <w:spacing w:val="2"/>
          <w:sz w:val="22"/>
          <w:szCs w:val="22"/>
        </w:rPr>
        <w:t> </w:t>
      </w:r>
      <w:r w:rsidRPr="00482A79">
        <w:rPr>
          <w:rFonts w:ascii="Verdana" w:hAnsi="Verdana"/>
          <w:color w:val="000000" w:themeColor="text1"/>
          <w:spacing w:val="2"/>
          <w:sz w:val="22"/>
          <w:szCs w:val="22"/>
        </w:rPr>
        <w:t>La presente Resolución rige a partir de la fecha de su comunicación.</w:t>
      </w:r>
    </w:p>
    <w:p w14:paraId="571191BD" w14:textId="77777777" w:rsidR="00482A79" w:rsidRPr="00482A79" w:rsidRDefault="00482A79" w:rsidP="00482A79">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1B17DED8" w14:textId="415AE50A" w:rsidR="00482A79" w:rsidRPr="0078159A" w:rsidRDefault="00482A79" w:rsidP="00482A79">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78159A">
        <w:rPr>
          <w:rFonts w:ascii="Verdana" w:hAnsi="Verdana"/>
          <w:b/>
          <w:bCs/>
          <w:color w:val="000000" w:themeColor="text1"/>
          <w:spacing w:val="2"/>
          <w:sz w:val="22"/>
          <w:szCs w:val="22"/>
        </w:rPr>
        <w:t>COMUNÍQUESE Y CÚMPLASE</w:t>
      </w:r>
    </w:p>
    <w:p w14:paraId="7DCCC175" w14:textId="34EE9F1D" w:rsidR="00482A79" w:rsidRPr="00482A79" w:rsidRDefault="00482A79"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82A79">
        <w:rPr>
          <w:rStyle w:val="iaj"/>
          <w:rFonts w:ascii="Verdana" w:eastAsiaTheme="majorEastAsia" w:hAnsi="Verdana"/>
          <w:color w:val="000000" w:themeColor="text1"/>
          <w:spacing w:val="2"/>
          <w:sz w:val="22"/>
          <w:szCs w:val="22"/>
        </w:rPr>
        <w:t>Dada en Bogotá, D. C. a</w:t>
      </w:r>
      <w:r w:rsidRPr="00482A79">
        <w:rPr>
          <w:rStyle w:val="apple-converted-space"/>
          <w:rFonts w:ascii="Verdana" w:eastAsiaTheme="majorEastAsia" w:hAnsi="Verdana"/>
          <w:i/>
          <w:iCs/>
          <w:color w:val="000000" w:themeColor="text1"/>
          <w:spacing w:val="2"/>
          <w:sz w:val="22"/>
          <w:szCs w:val="22"/>
        </w:rPr>
        <w:t> </w:t>
      </w:r>
      <w:r w:rsidRPr="00482A79">
        <w:rPr>
          <w:rFonts w:ascii="Verdana" w:hAnsi="Verdana"/>
          <w:color w:val="000000" w:themeColor="text1"/>
          <w:spacing w:val="2"/>
          <w:sz w:val="22"/>
          <w:szCs w:val="22"/>
        </w:rPr>
        <w:t>los 22 días del mes de diciembre de 2005</w:t>
      </w:r>
    </w:p>
    <w:p w14:paraId="2BAC24B2" w14:textId="77777777" w:rsidR="00482A79" w:rsidRPr="00482A79" w:rsidRDefault="00482A79"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326A02A" w14:textId="77777777" w:rsidR="00482A79" w:rsidRPr="00482A79" w:rsidRDefault="00482A79"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482A79">
        <w:rPr>
          <w:rStyle w:val="baj"/>
          <w:rFonts w:ascii="Verdana" w:eastAsiaTheme="majorEastAsia" w:hAnsi="Verdana"/>
          <w:b/>
          <w:bCs/>
          <w:color w:val="000000" w:themeColor="text1"/>
          <w:spacing w:val="2"/>
          <w:sz w:val="22"/>
          <w:szCs w:val="22"/>
        </w:rPr>
        <w:t>BEATRÍZ LONDOÑO SOTO</w:t>
      </w:r>
    </w:p>
    <w:p w14:paraId="6BDB2C12" w14:textId="77777777" w:rsidR="00482A79" w:rsidRPr="00482A79" w:rsidRDefault="00482A79" w:rsidP="00482A79">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482A79">
        <w:rPr>
          <w:rFonts w:ascii="Verdana" w:hAnsi="Verdana"/>
          <w:color w:val="000000" w:themeColor="text1"/>
          <w:spacing w:val="2"/>
          <w:sz w:val="22"/>
          <w:szCs w:val="22"/>
        </w:rPr>
        <w:t>Directora General</w:t>
      </w:r>
    </w:p>
    <w:p w14:paraId="2613005F" w14:textId="485AE1F1" w:rsidR="00605C4E" w:rsidRPr="00D36E00" w:rsidRDefault="00605C4E" w:rsidP="00482A79">
      <w:pPr>
        <w:pStyle w:val="centrado"/>
        <w:shd w:val="clear" w:color="auto" w:fill="FFFFFF"/>
        <w:spacing w:before="0" w:beforeAutospacing="0" w:after="0" w:afterAutospacing="0"/>
        <w:jc w:val="center"/>
        <w:rPr>
          <w:rFonts w:ascii="Verdana" w:hAnsi="Verdana"/>
          <w:color w:val="000000" w:themeColor="text1"/>
          <w:spacing w:val="2"/>
          <w:sz w:val="22"/>
          <w:szCs w:val="22"/>
        </w:rPr>
      </w:pPr>
    </w:p>
    <w:sectPr w:rsidR="00605C4E" w:rsidRPr="00D36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4"/>
  </w:num>
  <w:num w:numId="3" w16cid:durableId="1545364374">
    <w:abstractNumId w:val="3"/>
  </w:num>
  <w:num w:numId="4" w16cid:durableId="292371856">
    <w:abstractNumId w:val="1"/>
  </w:num>
  <w:num w:numId="5" w16cid:durableId="1198472011">
    <w:abstractNumId w:val="2"/>
  </w:num>
  <w:num w:numId="6" w16cid:durableId="8560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C0BE8"/>
    <w:rsid w:val="001070C5"/>
    <w:rsid w:val="001A3485"/>
    <w:rsid w:val="00296903"/>
    <w:rsid w:val="002A3EE6"/>
    <w:rsid w:val="002D49F3"/>
    <w:rsid w:val="003072E2"/>
    <w:rsid w:val="003E7BBF"/>
    <w:rsid w:val="00452985"/>
    <w:rsid w:val="0045464C"/>
    <w:rsid w:val="00482A79"/>
    <w:rsid w:val="004844CF"/>
    <w:rsid w:val="005D49B7"/>
    <w:rsid w:val="00605C4E"/>
    <w:rsid w:val="006255A6"/>
    <w:rsid w:val="006F61DC"/>
    <w:rsid w:val="00714079"/>
    <w:rsid w:val="007205CC"/>
    <w:rsid w:val="0078159A"/>
    <w:rsid w:val="00794FA2"/>
    <w:rsid w:val="00815350"/>
    <w:rsid w:val="00872BB1"/>
    <w:rsid w:val="009874F7"/>
    <w:rsid w:val="009A4B1D"/>
    <w:rsid w:val="009F54F9"/>
    <w:rsid w:val="00A34D32"/>
    <w:rsid w:val="00AD6596"/>
    <w:rsid w:val="00B27A18"/>
    <w:rsid w:val="00B60782"/>
    <w:rsid w:val="00BA5832"/>
    <w:rsid w:val="00BD6908"/>
    <w:rsid w:val="00C916F6"/>
    <w:rsid w:val="00CC4BBF"/>
    <w:rsid w:val="00CD3B43"/>
    <w:rsid w:val="00CF5E26"/>
    <w:rsid w:val="00D36E00"/>
    <w:rsid w:val="00DB5583"/>
    <w:rsid w:val="00E60804"/>
    <w:rsid w:val="00E96235"/>
    <w:rsid w:val="00EC3373"/>
    <w:rsid w:val="00F0387E"/>
    <w:rsid w:val="00FC0BF2"/>
    <w:rsid w:val="00FF1D40"/>
    <w:rsid w:val="00FF61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character" w:styleId="Hipervnculovisitado">
    <w:name w:val="FollowedHyperlink"/>
    <w:basedOn w:val="Fuentedeprrafopredeter"/>
    <w:uiPriority w:val="99"/>
    <w:semiHidden/>
    <w:unhideWhenUsed/>
    <w:rsid w:val="00FF6111"/>
    <w:rPr>
      <w:color w:val="96607D" w:themeColor="followedHyperlink"/>
      <w:u w:val="single"/>
    </w:rPr>
  </w:style>
  <w:style w:type="paragraph" w:styleId="Sinespaciado">
    <w:name w:val="No Spacing"/>
    <w:uiPriority w:val="1"/>
    <w:qFormat/>
    <w:rsid w:val="00E60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643507606">
      <w:bodyDiv w:val="1"/>
      <w:marLeft w:val="0"/>
      <w:marRight w:val="0"/>
      <w:marTop w:val="0"/>
      <w:marBottom w:val="0"/>
      <w:divBdr>
        <w:top w:val="none" w:sz="0" w:space="0" w:color="auto"/>
        <w:left w:val="none" w:sz="0" w:space="0" w:color="auto"/>
        <w:bottom w:val="none" w:sz="0" w:space="0" w:color="auto"/>
        <w:right w:val="none" w:sz="0" w:space="0" w:color="auto"/>
      </w:divBdr>
    </w:div>
    <w:div w:id="888569054">
      <w:bodyDiv w:val="1"/>
      <w:marLeft w:val="0"/>
      <w:marRight w:val="0"/>
      <w:marTop w:val="0"/>
      <w:marBottom w:val="0"/>
      <w:divBdr>
        <w:top w:val="none" w:sz="0" w:space="0" w:color="auto"/>
        <w:left w:val="none" w:sz="0" w:space="0" w:color="auto"/>
        <w:bottom w:val="none" w:sz="0" w:space="0" w:color="auto"/>
        <w:right w:val="none" w:sz="0" w:space="0" w:color="auto"/>
      </w:divBdr>
    </w:div>
    <w:div w:id="1099832136">
      <w:bodyDiv w:val="1"/>
      <w:marLeft w:val="0"/>
      <w:marRight w:val="0"/>
      <w:marTop w:val="0"/>
      <w:marBottom w:val="0"/>
      <w:divBdr>
        <w:top w:val="none" w:sz="0" w:space="0" w:color="auto"/>
        <w:left w:val="none" w:sz="0" w:space="0" w:color="auto"/>
        <w:bottom w:val="none" w:sz="0" w:space="0" w:color="auto"/>
        <w:right w:val="none" w:sz="0" w:space="0" w:color="auto"/>
      </w:divBdr>
    </w:div>
    <w:div w:id="1252158565">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 w:id="19870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F64F6-B826-4929-9BD8-1EA4CDA8777B}"/>
</file>

<file path=customXml/itemProps2.xml><?xml version="1.0" encoding="utf-8"?>
<ds:datastoreItem xmlns:ds="http://schemas.openxmlformats.org/officeDocument/2006/customXml" ds:itemID="{015E73C9-BA56-459C-9BE0-C3B782765209}"/>
</file>

<file path=customXml/itemProps3.xml><?xml version="1.0" encoding="utf-8"?>
<ds:datastoreItem xmlns:ds="http://schemas.openxmlformats.org/officeDocument/2006/customXml" ds:itemID="{F1F58DDA-42DA-45BF-988F-FB0D6C2FF2C0}"/>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2916</Characters>
  <Application>Microsoft Office Word</Application>
  <DocSecurity>0</DocSecurity>
  <Lines>81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2025-12-13T15:34:00Z</dcterms:created>
  <dcterms:modified xsi:type="dcterms:W3CDTF">2026-01-21T18:40:00Z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