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03CA" w:rsidRDefault="00F157D9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207 DE 2017</w:t>
      </w:r>
    </w:p>
    <w:p w14:paraId="00000002" w14:textId="77777777" w:rsidR="009D03CA" w:rsidRDefault="00F157D9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18 de enero de 2017</w:t>
      </w:r>
    </w:p>
    <w:p w14:paraId="00000003" w14:textId="77777777" w:rsidR="009D03CA" w:rsidRDefault="00F157D9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28 de enero de 2017</w:t>
      </w:r>
    </w:p>
    <w:p w14:paraId="00000004" w14:textId="7FC5A5DB" w:rsidR="009D03CA" w:rsidRDefault="00F157D9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Derogada por el artículo </w:t>
      </w:r>
      <w:r w:rsidR="009D03C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1972 de 2021</w:t>
      </w:r>
    </w:p>
    <w:p w14:paraId="00000005" w14:textId="77777777" w:rsidR="009D03CA" w:rsidRDefault="009D03CA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9D03CA" w:rsidRDefault="00F157D9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28 de enero de 2017</w:t>
      </w:r>
    </w:p>
    <w:p w14:paraId="00000007" w14:textId="77777777" w:rsidR="009D03CA" w:rsidRDefault="00F157D9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50.130 </w:t>
      </w:r>
    </w:p>
    <w:p w14:paraId="00000008" w14:textId="77777777" w:rsidR="009D03CA" w:rsidRDefault="009D03CA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207 DE 2017</w:t>
      </w:r>
    </w:p>
    <w:p w14:paraId="0000000A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18)</w:t>
      </w:r>
    </w:p>
    <w:p w14:paraId="0000000B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0000000D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0000000E" w14:textId="5F6A4DA9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deroga la Resolución número </w:t>
      </w:r>
      <w:r w:rsidR="009D03CA">
        <w:rPr>
          <w:rFonts w:ascii="Verdana" w:eastAsia="Verdana" w:hAnsi="Verdana" w:cs="Verdana"/>
        </w:rPr>
        <w:t>3621</w:t>
      </w:r>
      <w:r>
        <w:rPr>
          <w:rFonts w:ascii="Verdana" w:eastAsia="Verdana" w:hAnsi="Verdana" w:cs="Verdana"/>
        </w:rPr>
        <w:t xml:space="preserve"> de 2007, “por la cual se aprueban los lineamientos técnicos de hogares amigos y plan padrino” y se adoptan otras disposiciones.</w:t>
      </w:r>
    </w:p>
    <w:p w14:paraId="0000000F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LA SUBDIRECTORA GENERAL ENCARGADA DE LAS FUNCIONES DE DIRECTORA GENERAL DEL INSTITUTO COLOMBIANO DE BIENESTAR FAMILIAR CECILIA DE LA FUENTE DE LLERAS, </w:t>
      </w:r>
    </w:p>
    <w:p w14:paraId="00000010" w14:textId="2469AE32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literal b) del artículo </w:t>
      </w:r>
      <w:r w:rsidR="009D03CA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7ª de 1979, el artículo </w:t>
      </w:r>
      <w:r w:rsidR="009D03CA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en ejercicio del encargo realizado mediante Resolución 00026 del 11 de enero de 2017 del Departamento Administrativo para la Prosperidad Social, y</w:t>
      </w:r>
    </w:p>
    <w:p w14:paraId="00000011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2" w14:textId="1E2F7778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9D03CA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de la Constitución Política establece como derechos fundamentales de los niños: la vida, la integridad física, la salud y la seguridad social, la alimentación equilibrada, su nombre y nacionalidad, tener una familia y no ser separados de ella, el cuidado y amor, la educación y la cultura, la recreación y la libre expresión de su opinión. Igualmente dispone su protección contra toda forma de abandono, </w:t>
      </w:r>
      <w:r>
        <w:rPr>
          <w:rFonts w:ascii="Verdana" w:eastAsia="Verdana" w:hAnsi="Verdana" w:cs="Verdana"/>
        </w:rPr>
        <w:lastRenderedPageBreak/>
        <w:t>violencia física o moral, secuestro, venta, abuso sexual, explotación laboral o económica y trabajos riesgo</w:t>
      </w:r>
      <w:r>
        <w:rPr>
          <w:rFonts w:ascii="Verdana" w:eastAsia="Verdana" w:hAnsi="Verdana" w:cs="Verdana"/>
        </w:rPr>
        <w:t>sos, así como el goce de los demás derechos consagrados en la Constitución, en las leyes y en los tratados internacionales ratificados por Colombia.</w:t>
      </w:r>
    </w:p>
    <w:p w14:paraId="00000013" w14:textId="7E83A775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9D03CA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9D03CA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ª de 1979, las actividades que realicen las entidades pertenecientes al Sistema Nacional de Bienestar Familiar, “</w:t>
      </w:r>
      <w:r>
        <w:rPr>
          <w:rFonts w:ascii="Verdana" w:eastAsia="Verdana" w:hAnsi="Verdana" w:cs="Verdana"/>
          <w:i/>
          <w:iCs/>
        </w:rPr>
        <w:t>deberán cumplirse con estricta sujeción a las normas del servicio y a los reglamentos dictados por el ICBF</w:t>
      </w:r>
      <w:r>
        <w:rPr>
          <w:rFonts w:ascii="Verdana" w:eastAsia="Verdana" w:hAnsi="Verdana" w:cs="Verdana"/>
        </w:rPr>
        <w:t>”.</w:t>
      </w:r>
    </w:p>
    <w:p w14:paraId="00000014" w14:textId="2FCFEEC6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9D03CA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tiene como objeto “</w:t>
      </w:r>
      <w:r>
        <w:rPr>
          <w:rFonts w:ascii="Verdana" w:eastAsia="Verdana" w:hAnsi="Verdana" w:cs="Verdana"/>
          <w:i/>
          <w:iCs/>
        </w:rPr>
        <w:t>establecer normas sustantivas y procesales para la protección integral de los niños, las niñas y los adolescentes, para garantizar el ejercicio de sus derechos y libertades consagrados en los instrumentos internacionales de Derechos Humanos, en la Constitución Política y en las leyes, así como su restablecimiento (…)</w:t>
      </w:r>
      <w:r>
        <w:rPr>
          <w:rFonts w:ascii="Verdana" w:eastAsia="Verdana" w:hAnsi="Verdana" w:cs="Verdana"/>
        </w:rPr>
        <w:t>” y su finalidad es la de “</w:t>
      </w:r>
      <w:r>
        <w:rPr>
          <w:rFonts w:ascii="Verdana" w:eastAsia="Verdana" w:hAnsi="Verdana" w:cs="Verdana"/>
          <w:i/>
          <w:iCs/>
        </w:rPr>
        <w:t>garantizar a los niños, a las niñas y a los adolescentes su pleno y armonioso desarrollo para que crezcan en el seno de la familia y de la</w:t>
      </w:r>
      <w:r>
        <w:rPr>
          <w:rFonts w:ascii="Verdana" w:eastAsia="Verdana" w:hAnsi="Verdana" w:cs="Verdana"/>
          <w:i/>
          <w:iCs/>
        </w:rPr>
        <w:t xml:space="preserve"> comunidad, en un ambiente de felicidad, amor y comprensión (…)</w:t>
      </w:r>
      <w:r>
        <w:rPr>
          <w:rFonts w:ascii="Verdana" w:eastAsia="Verdana" w:hAnsi="Verdana" w:cs="Verdana"/>
        </w:rPr>
        <w:t>”.</w:t>
      </w:r>
    </w:p>
    <w:p w14:paraId="00000015" w14:textId="66DFE529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9D03CA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del Código de la Infancia y la Adolescencia, faculta al ICBF para definir los Lineamientos Técnicos que las autoridades y las entidades deben cumplir para garantizar los derechos de los niños, niñas y adolescentes, y para asegurar su restablecimiento.</w:t>
      </w:r>
    </w:p>
    <w:p w14:paraId="00000016" w14:textId="79E32102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9D03CA">
        <w:rPr>
          <w:rFonts w:ascii="Verdana" w:eastAsia="Verdana" w:hAnsi="Verdana" w:cs="Verdana"/>
        </w:rPr>
        <w:t>38</w:t>
      </w:r>
      <w:r>
        <w:rPr>
          <w:rFonts w:ascii="Verdana" w:eastAsia="Verdana" w:hAnsi="Verdana" w:cs="Verdana"/>
        </w:rPr>
        <w:t xml:space="preserve"> del Decreto 987 de 2012 establece como funciones de la Dirección de Protección, la de “</w:t>
      </w:r>
      <w:r>
        <w:rPr>
          <w:rFonts w:ascii="Verdana" w:eastAsia="Verdana" w:hAnsi="Verdana" w:cs="Verdana"/>
          <w:i/>
          <w:iCs/>
        </w:rPr>
        <w:t>Definir los lineamientos generales en materia de protección que deben ser tenidos en cuenta en todos los procesos relacionados con el reconocimiento de derechos a los niños, niñas y adolescentes</w:t>
      </w:r>
      <w:r>
        <w:rPr>
          <w:rFonts w:ascii="Verdana" w:eastAsia="Verdana" w:hAnsi="Verdana" w:cs="Verdana"/>
        </w:rPr>
        <w:t>” así como “</w:t>
      </w:r>
      <w:r>
        <w:rPr>
          <w:rFonts w:ascii="Verdana" w:eastAsia="Verdana" w:hAnsi="Verdana" w:cs="Verdana"/>
          <w:i/>
          <w:iCs/>
        </w:rPr>
        <w:t>Diseñar servicios, actualizar y validar los lineamientos técnicos existentes cumpliendo con la misión del instituto</w:t>
      </w:r>
      <w:r>
        <w:rPr>
          <w:rFonts w:ascii="Verdana" w:eastAsia="Verdana" w:hAnsi="Verdana" w:cs="Verdana"/>
        </w:rPr>
        <w:t>”.</w:t>
      </w:r>
    </w:p>
    <w:p w14:paraId="00000017" w14:textId="042D50BD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9D03CA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del Decreto 987 de 2012 establece como funciones de la Subdirección de Restablecimiento de Derechos, entre otras, “</w:t>
      </w:r>
      <w:r>
        <w:rPr>
          <w:rFonts w:ascii="Verdana" w:eastAsia="Verdana" w:hAnsi="Verdana" w:cs="Verdana"/>
          <w:i/>
          <w:iCs/>
        </w:rPr>
        <w:t xml:space="preserve">Definir los lineamientos específicos para el Proceso Administrativo de Restablecimiento de Derechos que deben ser tenidos en cuenta en todos los centros zonales, regionales y sede de la Dirección </w:t>
      </w:r>
      <w:r>
        <w:rPr>
          <w:rFonts w:ascii="Verdana" w:eastAsia="Verdana" w:hAnsi="Verdana" w:cs="Verdana"/>
          <w:i/>
          <w:iCs/>
        </w:rPr>
        <w:lastRenderedPageBreak/>
        <w:t>General</w:t>
      </w:r>
      <w:r>
        <w:rPr>
          <w:rFonts w:ascii="Verdana" w:eastAsia="Verdana" w:hAnsi="Verdana" w:cs="Verdana"/>
        </w:rPr>
        <w:t>” y “</w:t>
      </w:r>
      <w:r>
        <w:rPr>
          <w:rFonts w:ascii="Verdana" w:eastAsia="Verdana" w:hAnsi="Verdana" w:cs="Verdana"/>
          <w:i/>
          <w:iCs/>
        </w:rPr>
        <w:t xml:space="preserve">Diseñar y mantener actualizados los lineamientos técnicos, los protocolos y los estándares de calidad para la atención de niños, niñas y adolescentes en situación de vulneración; así como </w:t>
      </w:r>
      <w:r>
        <w:rPr>
          <w:rFonts w:ascii="Verdana" w:eastAsia="Verdana" w:hAnsi="Verdana" w:cs="Verdana"/>
          <w:i/>
          <w:iCs/>
        </w:rPr>
        <w:t>para aquellos que son víctimas de la violencia generada por los grupos armados al margen de la ley, y la población infantil, jóvenes y familias en situación de desplazamiento forzado o víctima de desastres</w:t>
      </w:r>
      <w:r>
        <w:rPr>
          <w:rFonts w:ascii="Verdana" w:eastAsia="Verdana" w:hAnsi="Verdana" w:cs="Verdana"/>
        </w:rPr>
        <w:t>”.</w:t>
      </w:r>
    </w:p>
    <w:p w14:paraId="00000018" w14:textId="18BEE99B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número </w:t>
      </w:r>
      <w:r w:rsidR="009D03CA">
        <w:rPr>
          <w:rFonts w:ascii="Verdana" w:eastAsia="Verdana" w:hAnsi="Verdana" w:cs="Verdana"/>
        </w:rPr>
        <w:t>3621</w:t>
      </w:r>
      <w:r>
        <w:rPr>
          <w:rFonts w:ascii="Verdana" w:eastAsia="Verdana" w:hAnsi="Verdana" w:cs="Verdana"/>
        </w:rPr>
        <w:t xml:space="preserve"> del 14 de diciembre de 2007, se aprobaron los lineamientos técnicos de Hogares Amigos y Plan Padrino, definiendo el Hogar Amigo como una modalidad de atención, pese a no contar con asignación presupuestal ni operador.</w:t>
      </w:r>
    </w:p>
    <w:p w14:paraId="00000019" w14:textId="495D7F11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Hogar Amigo está concebido como una medida de restablecimiento de derechos de “</w:t>
      </w:r>
      <w:r>
        <w:rPr>
          <w:rFonts w:ascii="Verdana" w:eastAsia="Verdana" w:hAnsi="Verdana" w:cs="Verdana"/>
          <w:i/>
          <w:iCs/>
        </w:rPr>
        <w:t>Ubicación inmediata en medio familiar</w:t>
      </w:r>
      <w:r>
        <w:rPr>
          <w:rFonts w:ascii="Verdana" w:eastAsia="Verdana" w:hAnsi="Verdana" w:cs="Verdana"/>
        </w:rPr>
        <w:t xml:space="preserve">” de acuerdo con lo establecido en el numeral 3 del artículo </w:t>
      </w:r>
      <w:r w:rsidR="009D03CA">
        <w:rPr>
          <w:rFonts w:ascii="Verdana" w:eastAsia="Verdana" w:hAnsi="Verdana" w:cs="Verdana"/>
        </w:rPr>
        <w:t>53</w:t>
      </w:r>
      <w:r>
        <w:rPr>
          <w:rFonts w:ascii="Verdana" w:eastAsia="Verdana" w:hAnsi="Verdana" w:cs="Verdana"/>
        </w:rPr>
        <w:t xml:space="preserve"> de la Ley 1098 de 2006, que consiste en que una familia se compromete a brindarle a un niño, niña o adolescente, el cuidado y atención necesarios para su desarrollo integral en sustitución de la familia de origen, asumiendo con recursos propios la totalidad de los gastos para su cuidado y atención, así como la garantía de sus derechos.</w:t>
      </w:r>
    </w:p>
    <w:p w14:paraId="0000001A" w14:textId="0AA46FC4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9D03CA">
        <w:rPr>
          <w:rFonts w:ascii="Verdana" w:eastAsia="Verdana" w:hAnsi="Verdana" w:cs="Verdana"/>
        </w:rPr>
        <w:t>67</w:t>
      </w:r>
      <w:r>
        <w:rPr>
          <w:rFonts w:ascii="Verdana" w:eastAsia="Verdana" w:hAnsi="Verdana" w:cs="Verdana"/>
        </w:rPr>
        <w:t xml:space="preserve"> de la misma ley, desarrolla el concepto de solidaridad familiar así: “</w:t>
      </w:r>
      <w:r>
        <w:rPr>
          <w:rFonts w:ascii="Verdana" w:eastAsia="Verdana" w:hAnsi="Verdana" w:cs="Verdana"/>
          <w:i/>
          <w:iCs/>
        </w:rPr>
        <w:t>El Estado reconocerá el cumplimiento del deber de solidaridad que ejerce la familia diferente a la de origen, que asume la protección de manera permanente de un niño, niña o adolescente y le ofrece condiciones adecuadas para el desarrollo armónico e integral de sus derechos. En tal caso no se modifica el parentesco</w:t>
      </w:r>
      <w:r>
        <w:rPr>
          <w:rFonts w:ascii="Verdana" w:eastAsia="Verdana" w:hAnsi="Verdana" w:cs="Verdana"/>
        </w:rPr>
        <w:t>”.</w:t>
      </w:r>
    </w:p>
    <w:p w14:paraId="0000001B" w14:textId="7777777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el marco de la revisión y actualización de los lineamientos técnicos y protocolos que regulan el proceso de atención para niños, niñas y adolescentes con sus derechos inobservados, amenazados o vulnerados, se establece que la ubicación en Hogar Amigo es una medida de restablecimiento de derechos que se adopta por la Autoridad Administrativa en desarrollo de la corresponsabilidad social y especialmente en el marco de la solidaridad familiar, sin que constituya una modalidad de atención del ICBF.</w:t>
      </w:r>
    </w:p>
    <w:p w14:paraId="0000001C" w14:textId="1C23EC1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el Lineamiento Técnico de Modalidades para la Atención de niños, niñas y adolescentes con derechos inobservados, amenazados o vulnerados, aprobado mediante Resolución </w:t>
      </w:r>
      <w:r w:rsidR="009D03CA">
        <w:rPr>
          <w:rFonts w:ascii="Verdana" w:eastAsia="Verdana" w:hAnsi="Verdana" w:cs="Verdana"/>
        </w:rPr>
        <w:t>1520</w:t>
      </w:r>
      <w:r>
        <w:rPr>
          <w:rFonts w:ascii="Verdana" w:eastAsia="Verdana" w:hAnsi="Verdana" w:cs="Verdana"/>
        </w:rPr>
        <w:t xml:space="preserve"> del 23 de febrero de 2016, se definen las modalidades de atención para los niños, niñas y adolescentes con sus derechos inobservados, amenazados o vulnerados.</w:t>
      </w:r>
    </w:p>
    <w:p w14:paraId="0000001D" w14:textId="7777777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E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F" w14:textId="7777777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Aclarar que la ubicación en Hogar Amigo es una medida de restablecimiento de derechos para niños, niñas y adolescentes con sus derechos inobservados, amenazados o vulnerados, adoptada por la Autoridad Administrativa en el marco de la solidaridad familiar. </w:t>
      </w:r>
    </w:p>
    <w:p w14:paraId="00000020" w14:textId="78362123" w:rsidR="009D03CA" w:rsidRDefault="00F157D9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Establecer que a partir de la fecha no se podrá adoptar el Hogar Amigo como una modalidad de atención del ICBF, razón por la cual, cuando la Autoridad Administrativa, luego de las valoraciones y medios probatorios correspondientes, determine que el niño, niña o adolescente puede ubicarse con redes de apoyo diferentes a su medio familiar biológico, podrá sustentar dicha ubicación en la solidaridad familiar conforme lo establece el artículo </w:t>
      </w:r>
      <w:r w:rsidR="009D03CA">
        <w:rPr>
          <w:rFonts w:ascii="Verdana" w:eastAsia="Verdana" w:hAnsi="Verdana" w:cs="Verdana"/>
        </w:rPr>
        <w:t>67</w:t>
      </w:r>
      <w:r>
        <w:rPr>
          <w:rFonts w:ascii="Verdana" w:eastAsia="Verdana" w:hAnsi="Verdana" w:cs="Verdana"/>
        </w:rPr>
        <w:t>de la Ley 1098 de 2006.</w:t>
      </w:r>
    </w:p>
    <w:p w14:paraId="00000021" w14:textId="7777777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Establecer que a partir de la fecha, las ubicaciones que se hayan realizado bajo “</w:t>
      </w:r>
      <w:r>
        <w:rPr>
          <w:rFonts w:ascii="Verdana" w:eastAsia="Verdana" w:hAnsi="Verdana" w:cs="Verdana"/>
          <w:i/>
          <w:iCs/>
        </w:rPr>
        <w:t>la modalidad</w:t>
      </w:r>
      <w:r>
        <w:rPr>
          <w:rFonts w:ascii="Verdana" w:eastAsia="Verdana" w:hAnsi="Verdana" w:cs="Verdana"/>
        </w:rPr>
        <w:t>” de Hogar Amigo, se entenderán como Ubicación en Solidaridad Familiar, sin que se afecte el Proceso Administrativo de Restablecimiento de Derechos en curso.</w:t>
      </w:r>
    </w:p>
    <w:p w14:paraId="00000022" w14:textId="7777777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La ubicación en solidaridad familiar, consiste en que una familia se compromete a brindarle a un niño, niña o adolescente, el cuidado y atención necesarios para su desarrollo integral en sustitución de la familia de origen, asumiendo con sus propios recursos la totalidad de los gastos para su cuidado y atención, sin que se establezca por este hecho, ninguna vinculación administrativa o contractual entre la familia que acoge al niño, niña o adolescente y el ICBF.</w:t>
      </w:r>
    </w:p>
    <w:p w14:paraId="00000023" w14:textId="77777777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>Los Directores Regionales, Coordinadores de Protección, Coordinadores de Asistencia Técnica y Coordinadores de Centros Zonales, serán responsables de la socialización y divulgación de la presente resolución.</w:t>
      </w:r>
    </w:p>
    <w:p w14:paraId="00000024" w14:textId="7C8BD334" w:rsidR="009D03CA" w:rsidRDefault="00F157D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QUINTO. </w:t>
      </w:r>
      <w:r>
        <w:rPr>
          <w:rFonts w:ascii="Verdana" w:eastAsia="Verdana" w:hAnsi="Verdana" w:cs="Verdana"/>
        </w:rPr>
        <w:t xml:space="preserve">VIGENCIA Y DEROGATORIAS. La presente resolución rige a partir de su publicación y deroga la Resolución número </w:t>
      </w:r>
      <w:r w:rsidR="009D03CA">
        <w:rPr>
          <w:rFonts w:ascii="Verdana" w:eastAsia="Verdana" w:hAnsi="Verdana" w:cs="Verdana"/>
        </w:rPr>
        <w:t>3621</w:t>
      </w:r>
      <w:r>
        <w:rPr>
          <w:rFonts w:ascii="Verdana" w:eastAsia="Verdana" w:hAnsi="Verdana" w:cs="Verdana"/>
        </w:rPr>
        <w:t xml:space="preserve"> del 14 de diciembre de 2007 en los términos aquí establecidos.</w:t>
      </w:r>
    </w:p>
    <w:p w14:paraId="00000025" w14:textId="77777777" w:rsidR="009D03CA" w:rsidRPr="00B414ED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B414ED">
        <w:rPr>
          <w:rFonts w:ascii="Verdana" w:eastAsia="Verdana" w:hAnsi="Verdana" w:cs="Verdana"/>
          <w:b/>
          <w:bCs/>
        </w:rPr>
        <w:t>PUBLÍQUESE Y CÚMPLASE.</w:t>
      </w:r>
    </w:p>
    <w:p w14:paraId="00000026" w14:textId="77777777" w:rsidR="009D03CA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18 días de enero de 2017.</w:t>
      </w:r>
    </w:p>
    <w:p w14:paraId="00000027" w14:textId="77777777" w:rsidR="009D03CA" w:rsidRPr="00B414ED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B414ED">
        <w:rPr>
          <w:rFonts w:ascii="Verdana" w:eastAsia="Verdana" w:hAnsi="Verdana" w:cs="Verdana"/>
          <w:b/>
          <w:bCs/>
        </w:rPr>
        <w:t>MARGARITA BARRAQUER SOURDIS.</w:t>
      </w:r>
    </w:p>
    <w:p w14:paraId="00000028" w14:textId="77777777" w:rsidR="009D03CA" w:rsidRPr="00B414ED" w:rsidRDefault="00F157D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B414ED">
        <w:rPr>
          <w:rFonts w:ascii="Verdana" w:eastAsia="Verdana" w:hAnsi="Verdana" w:cs="Verdana"/>
          <w:b/>
          <w:bCs/>
        </w:rPr>
        <w:t>LA SUBDIRECTORA GENERAL ENCARGADA DE LAS FUNCIONES DE LA DIRECTORA GENERAL</w:t>
      </w:r>
    </w:p>
    <w:p w14:paraId="00000029" w14:textId="77777777" w:rsidR="009D03CA" w:rsidRDefault="009D03C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</w:p>
    <w:p w14:paraId="0000002A" w14:textId="77777777" w:rsidR="009D03CA" w:rsidRDefault="009D03CA">
      <w:pPr>
        <w:rPr>
          <w:rFonts w:ascii="Verdana" w:eastAsia="Verdana" w:hAnsi="Verdana" w:cs="Verdana"/>
        </w:rPr>
      </w:pPr>
    </w:p>
    <w:p w14:paraId="0000002B" w14:textId="77777777" w:rsidR="009D03CA" w:rsidRDefault="009D03CA">
      <w:pPr>
        <w:rPr>
          <w:rFonts w:ascii="Verdana" w:eastAsia="Verdana" w:hAnsi="Verdana" w:cs="Verdana"/>
        </w:rPr>
      </w:pPr>
    </w:p>
    <w:p w14:paraId="0000002C" w14:textId="77777777" w:rsidR="009D03CA" w:rsidRDefault="009D03CA">
      <w:pPr>
        <w:rPr>
          <w:rFonts w:ascii="Verdana" w:eastAsia="Verdana" w:hAnsi="Verdana" w:cs="Verdana"/>
        </w:rPr>
      </w:pPr>
    </w:p>
    <w:sectPr w:rsidR="009D03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94B224D-DBCD-4196-99C5-C1AD771DB13A}"/>
    <w:embedBold r:id="rId2" w:fontKey="{39E71533-0D8B-4B2A-B979-95B5F834268D}"/>
    <w:embedItalic r:id="rId3" w:fontKey="{865C76FE-D706-46AA-B4EB-BF5D568B18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C85A2A-F03A-427F-8591-F102820C8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798174-E5C2-4E11-B640-19F9019F91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3CA"/>
    <w:rsid w:val="00455DAF"/>
    <w:rsid w:val="00665FDA"/>
    <w:rsid w:val="009D03CA"/>
    <w:rsid w:val="00B414ED"/>
    <w:rsid w:val="00B85524"/>
    <w:rsid w:val="00F1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6ED78C-37D3-4F84-8D0B-25517095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A922BD-BCAA-4F36-8E55-F097E4011E62}"/>
</file>

<file path=customXml/itemProps2.xml><?xml version="1.0" encoding="utf-8"?>
<ds:datastoreItem xmlns:ds="http://schemas.openxmlformats.org/officeDocument/2006/customXml" ds:itemID="{3D42930F-1489-4DD3-BB48-0305B35B0EED}"/>
</file>

<file path=customXml/itemProps3.xml><?xml version="1.0" encoding="utf-8"?>
<ds:datastoreItem xmlns:ds="http://schemas.openxmlformats.org/officeDocument/2006/customXml" ds:itemID="{FF58D01A-2E4C-4984-A70B-6D2B1E9290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1277</Words>
  <Characters>7024</Characters>
  <Application>Microsoft Office Word</Application>
  <DocSecurity>0</DocSecurity>
  <Lines>58</Lines>
  <Paragraphs>16</Paragraphs>
  <ScaleCrop>false</ScaleCrop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2026-02-20T19:41:00Z</dcterms:created>
  <dcterms:modified xsi:type="dcterms:W3CDTF">2026-04-16T19:38:00Z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