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93DC5" w:rsidRDefault="00EC531E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206 DE 2017</w:t>
      </w:r>
    </w:p>
    <w:p w14:paraId="00000002" w14:textId="77777777" w:rsidR="00293DC5" w:rsidRDefault="00EC531E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18 de enero de 2017</w:t>
      </w:r>
    </w:p>
    <w:p w14:paraId="00000003" w14:textId="77777777" w:rsidR="00293DC5" w:rsidRDefault="00EC531E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28 de enero de 2017</w:t>
      </w:r>
    </w:p>
    <w:p w14:paraId="00000004" w14:textId="70200624" w:rsidR="00293DC5" w:rsidRDefault="00EC531E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Derogada por el artículo </w:t>
      </w:r>
      <w:r w:rsidR="00293DC5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1972 de 2021</w:t>
      </w:r>
    </w:p>
    <w:p w14:paraId="00000005" w14:textId="77777777" w:rsidR="00293DC5" w:rsidRDefault="00293DC5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293DC5" w:rsidRDefault="00EC531E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28 de enero de 2017</w:t>
      </w:r>
    </w:p>
    <w:p w14:paraId="00000007" w14:textId="77777777" w:rsidR="00293DC5" w:rsidRDefault="00EC531E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50.130 </w:t>
      </w:r>
    </w:p>
    <w:p w14:paraId="00000008" w14:textId="77777777" w:rsidR="00293DC5" w:rsidRDefault="00293DC5">
      <w:pPr>
        <w:rPr>
          <w:rFonts w:ascii="Verdana" w:eastAsia="Verdana" w:hAnsi="Verdana" w:cs="Verdana"/>
        </w:rPr>
      </w:pPr>
    </w:p>
    <w:p w14:paraId="00000009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206 DE 2017</w:t>
      </w:r>
    </w:p>
    <w:p w14:paraId="0000000A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18)</w:t>
      </w:r>
    </w:p>
    <w:p w14:paraId="0000000B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CECILIA DE LA FUENTE DE LLERAS</w:t>
      </w:r>
    </w:p>
    <w:p w14:paraId="0000000D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DIRECCIÓN GENERAL</w:t>
      </w:r>
    </w:p>
    <w:p w14:paraId="0000000E" w14:textId="28C856C9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modifica la Resolución número </w:t>
      </w:r>
      <w:r w:rsidR="00293DC5">
        <w:rPr>
          <w:rFonts w:ascii="Verdana" w:eastAsia="Verdana" w:hAnsi="Verdana" w:cs="Verdana"/>
        </w:rPr>
        <w:t>3566</w:t>
      </w:r>
      <w:r>
        <w:rPr>
          <w:rFonts w:ascii="Verdana" w:eastAsia="Verdana" w:hAnsi="Verdana" w:cs="Verdana"/>
        </w:rPr>
        <w:t xml:space="preserve"> del 26 de agosto de 2010 y se deroga la Resolución </w:t>
      </w:r>
      <w:r w:rsidR="00293DC5">
        <w:rPr>
          <w:rFonts w:ascii="Verdana" w:eastAsia="Verdana" w:hAnsi="Verdana" w:cs="Verdana"/>
        </w:rPr>
        <w:t>0748</w:t>
      </w:r>
      <w:r>
        <w:rPr>
          <w:rFonts w:ascii="Verdana" w:eastAsia="Verdana" w:hAnsi="Verdana" w:cs="Verdana"/>
        </w:rPr>
        <w:t xml:space="preserve"> del 20 de febrero de 2015.</w:t>
      </w:r>
    </w:p>
    <w:p w14:paraId="0000000F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LA SUBDIRECTORA GENERAL ENCARGADA DE LAS FUNCIONES DE DIRECTORA GENERAL DEL INSTITUTO COLOMBIANO DE BIENESTAR FAMILIAR CECILIA DE LA FUENTE DE LLERAS, </w:t>
      </w:r>
    </w:p>
    <w:p w14:paraId="00000010" w14:textId="2E5D7BDE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consagradas en los artículos </w:t>
      </w:r>
      <w:r w:rsidR="00293DC5"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</w:rPr>
        <w:t xml:space="preserve">o, </w:t>
      </w:r>
      <w:r w:rsidR="00293DC5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y </w:t>
      </w:r>
      <w:r w:rsidR="00293DC5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artículo </w:t>
      </w:r>
      <w:r w:rsidR="00293DC5">
        <w:rPr>
          <w:rFonts w:ascii="Verdana" w:eastAsia="Verdana" w:hAnsi="Verdana" w:cs="Verdana"/>
        </w:rPr>
        <w:t>21</w:t>
      </w:r>
      <w:r>
        <w:rPr>
          <w:rFonts w:ascii="Verdana" w:eastAsia="Verdana" w:hAnsi="Verdana" w:cs="Verdana"/>
        </w:rPr>
        <w:t xml:space="preserve"> de la Ley 7ª de 1979, los artículos </w:t>
      </w:r>
      <w:r w:rsidR="00293DC5">
        <w:rPr>
          <w:rFonts w:ascii="Verdana" w:eastAsia="Verdana" w:hAnsi="Verdana" w:cs="Verdana"/>
        </w:rPr>
        <w:t>58</w:t>
      </w:r>
      <w:r>
        <w:rPr>
          <w:rFonts w:ascii="Verdana" w:eastAsia="Verdana" w:hAnsi="Verdana" w:cs="Verdana"/>
        </w:rPr>
        <w:t xml:space="preserve"> y </w:t>
      </w:r>
      <w:r w:rsidR="00293DC5">
        <w:rPr>
          <w:rFonts w:ascii="Verdana" w:eastAsia="Verdana" w:hAnsi="Verdana" w:cs="Verdana"/>
        </w:rPr>
        <w:t>81</w:t>
      </w:r>
      <w:r>
        <w:rPr>
          <w:rFonts w:ascii="Verdana" w:eastAsia="Verdana" w:hAnsi="Verdana" w:cs="Verdana"/>
        </w:rPr>
        <w:t xml:space="preserve"> del Decreto 2388 de 1979, los artículos </w:t>
      </w:r>
      <w:r w:rsidR="00293DC5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lastRenderedPageBreak/>
        <w:t>16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t>62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t>72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t>73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t>74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, </w:t>
      </w:r>
      <w:r w:rsidR="00293DC5">
        <w:rPr>
          <w:rFonts w:ascii="Verdana" w:eastAsia="Verdana" w:hAnsi="Verdana" w:cs="Verdana"/>
        </w:rPr>
        <w:t>76</w:t>
      </w:r>
      <w:r>
        <w:rPr>
          <w:rFonts w:ascii="Verdana" w:eastAsia="Verdana" w:hAnsi="Verdana" w:cs="Verdana"/>
        </w:rPr>
        <w:t xml:space="preserve">, y </w:t>
      </w:r>
      <w:r w:rsidR="00293DC5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1098 de 2006, en ejercicio del encargo realizado mediante Resolución 00026 del 11 de enero de 2017 del Departamento Administrativo para la Prosperidad Social, y</w:t>
      </w:r>
    </w:p>
    <w:p w14:paraId="00000011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2" w14:textId="24E21279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Colombia ratificó la Convención sobre los Derechos del Niño adoptada por la Asamblea General de las Naciones Unidas en 1989, mediante la Ley </w:t>
      </w:r>
      <w:r w:rsidR="00293DC5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 1991.</w:t>
      </w:r>
    </w:p>
    <w:p w14:paraId="00000013" w14:textId="02B4D0F6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Ley </w:t>
      </w:r>
      <w:r w:rsidR="00293DC5">
        <w:rPr>
          <w:rFonts w:ascii="Verdana" w:eastAsia="Verdana" w:hAnsi="Verdana" w:cs="Verdana"/>
        </w:rPr>
        <w:t>265</w:t>
      </w:r>
      <w:r>
        <w:rPr>
          <w:rFonts w:ascii="Verdana" w:eastAsia="Verdana" w:hAnsi="Verdana" w:cs="Verdana"/>
        </w:rPr>
        <w:t xml:space="preserve"> de 1996, Colombia aprobó el Convenio relativo a la Protección del niño y a la Cooperación en materia de adopción internacional, suscrito en La Haya el 29 de mayo de 1993, incorporándolo a la legislación nacional en virtud del bloque de constitucionalidad.</w:t>
      </w:r>
    </w:p>
    <w:p w14:paraId="00000014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citado convenio tiene por objeto establecer garantías para que las adopciones internacionales tengan lugar en consideración al interés superior del niño y al respeto a los derechos fundamentales que le reconoce el derecho internacional.</w:t>
      </w:r>
    </w:p>
    <w:p w14:paraId="00000015" w14:textId="3F2C3E33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293DC5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ª de 1979 y el Decreto </w:t>
      </w:r>
      <w:r w:rsidR="00293DC5">
        <w:rPr>
          <w:rFonts w:ascii="Verdana" w:eastAsia="Verdana" w:hAnsi="Verdana" w:cs="Verdana"/>
        </w:rPr>
        <w:t>1137</w:t>
      </w:r>
      <w:r>
        <w:rPr>
          <w:rFonts w:ascii="Verdana" w:eastAsia="Verdana" w:hAnsi="Verdana" w:cs="Verdana"/>
        </w:rPr>
        <w:t xml:space="preserve"> de 1999 establecieron las normas para la protección de la niñez y el fortalecimiento de la familia, crearon y organizaron el Sistema Administrativo Nacional de Bienestar Familiar, reorganizaron y reestructuraron el ICBF y </w:t>
      </w:r>
      <w:r>
        <w:rPr>
          <w:rFonts w:ascii="Verdana" w:eastAsia="Verdana" w:hAnsi="Verdana" w:cs="Verdana"/>
        </w:rPr>
        <w:lastRenderedPageBreak/>
        <w:t>establecieron que el Bienestar Familiar es un servicio público a cargo del Estado, que se prestará por medio del Sistema Nacional de Bienestar Familiar.</w:t>
      </w:r>
    </w:p>
    <w:p w14:paraId="00000016" w14:textId="32A3925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Código de la Infancia y la Adolescencia – Ley </w:t>
      </w:r>
      <w:r w:rsidR="00293DC5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dispone que el Instituto Colombiano de Bienestar Familiar es la Autoridad Central en materia de adopción en Colombia y le corresponde desarrollar el Programa de Adopción nacional e internacional, con fundamento en los tratados y convenios internacionales que el Estado colombiano ha ratificado en esta materia.</w:t>
      </w:r>
    </w:p>
    <w:p w14:paraId="00000017" w14:textId="7ECF2190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293DC5">
        <w:rPr>
          <w:rFonts w:ascii="Verdana" w:eastAsia="Verdana" w:hAnsi="Verdana" w:cs="Verdana"/>
        </w:rPr>
        <w:t>13368</w:t>
      </w:r>
      <w:r>
        <w:rPr>
          <w:rFonts w:ascii="Verdana" w:eastAsia="Verdana" w:hAnsi="Verdana" w:cs="Verdana"/>
        </w:rPr>
        <w:t xml:space="preserve"> de 2016, se aprueba la modificación del Lineamiento Técnico Administrativo de Programa de Adopción aprobado mediante Resolución </w:t>
      </w:r>
      <w:r w:rsidR="00293DC5">
        <w:rPr>
          <w:rFonts w:ascii="Verdana" w:eastAsia="Verdana" w:hAnsi="Verdana" w:cs="Verdana"/>
        </w:rPr>
        <w:t>2551</w:t>
      </w:r>
      <w:r>
        <w:rPr>
          <w:rFonts w:ascii="Verdana" w:eastAsia="Verdana" w:hAnsi="Verdana" w:cs="Verdana"/>
        </w:rPr>
        <w:t xml:space="preserve"> de 2016, aclarada por la Resolución </w:t>
      </w:r>
      <w:r w:rsidR="00293DC5">
        <w:rPr>
          <w:rFonts w:ascii="Verdana" w:eastAsia="Verdana" w:hAnsi="Verdana" w:cs="Verdana"/>
        </w:rPr>
        <w:t>2696</w:t>
      </w:r>
      <w:r>
        <w:rPr>
          <w:rFonts w:ascii="Verdana" w:eastAsia="Verdana" w:hAnsi="Verdana" w:cs="Verdana"/>
        </w:rPr>
        <w:t xml:space="preserve"> de 2016.</w:t>
      </w:r>
    </w:p>
    <w:p w14:paraId="00000018" w14:textId="2576AAEF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293DC5">
        <w:rPr>
          <w:rFonts w:ascii="Verdana" w:eastAsia="Verdana" w:hAnsi="Verdana" w:cs="Verdana"/>
        </w:rPr>
        <w:t>3899</w:t>
      </w:r>
      <w:r>
        <w:rPr>
          <w:rFonts w:ascii="Verdana" w:eastAsia="Verdana" w:hAnsi="Verdana" w:cs="Verdana"/>
        </w:rPr>
        <w:t xml:space="preserve"> del 8 de septiembre de 2010 del ICBF, modificada y adicionada parcialmente por las Resoluciones números </w:t>
      </w:r>
      <w:r w:rsidR="00293DC5">
        <w:rPr>
          <w:rFonts w:ascii="Verdana" w:eastAsia="Verdana" w:hAnsi="Verdana" w:cs="Verdana"/>
        </w:rPr>
        <w:t>2918</w:t>
      </w:r>
      <w:r>
        <w:rPr>
          <w:rFonts w:ascii="Verdana" w:eastAsia="Verdana" w:hAnsi="Verdana" w:cs="Verdana"/>
        </w:rPr>
        <w:t xml:space="preserve"> de 2013, </w:t>
      </w:r>
      <w:r w:rsidR="00293DC5">
        <w:rPr>
          <w:rFonts w:ascii="Verdana" w:eastAsia="Verdana" w:hAnsi="Verdana" w:cs="Verdana"/>
        </w:rPr>
        <w:t>6190</w:t>
      </w:r>
      <w:r>
        <w:rPr>
          <w:rFonts w:ascii="Verdana" w:eastAsia="Verdana" w:hAnsi="Verdana" w:cs="Verdana"/>
        </w:rPr>
        <w:t xml:space="preserve"> de 2015, </w:t>
      </w:r>
      <w:r w:rsidR="00293DC5">
        <w:rPr>
          <w:rFonts w:ascii="Verdana" w:eastAsia="Verdana" w:hAnsi="Verdana" w:cs="Verdana"/>
        </w:rPr>
        <w:t>3435</w:t>
      </w:r>
      <w:r>
        <w:rPr>
          <w:rFonts w:ascii="Verdana" w:eastAsia="Verdana" w:hAnsi="Verdana" w:cs="Verdana"/>
        </w:rPr>
        <w:t xml:space="preserve"> y </w:t>
      </w:r>
      <w:r w:rsidR="00293DC5">
        <w:rPr>
          <w:rFonts w:ascii="Verdana" w:eastAsia="Verdana" w:hAnsi="Verdana" w:cs="Verdana"/>
        </w:rPr>
        <w:t>9555</w:t>
      </w:r>
      <w:r>
        <w:rPr>
          <w:rFonts w:ascii="Verdana" w:eastAsia="Verdana" w:hAnsi="Verdana" w:cs="Verdana"/>
        </w:rPr>
        <w:t xml:space="preserve"> de 2016, se estableció el régimen especial para otorgar, reconocer, suspender, renovar y cancelar las personerías jurídicas y licencias de funcionamiento a las instituciones del Sistema Nacional de Bienestar Familiar, que prestan servicios de protección integral, y para autorizar a los organismos acreditados para desarrollar el programa de adopción internacional.</w:t>
      </w:r>
    </w:p>
    <w:p w14:paraId="00000019" w14:textId="3FA1AC26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</w:t>
      </w:r>
      <w:r w:rsidR="00293DC5">
        <w:rPr>
          <w:rFonts w:ascii="Verdana" w:eastAsia="Verdana" w:hAnsi="Verdana" w:cs="Verdana"/>
        </w:rPr>
        <w:t>1138</w:t>
      </w:r>
      <w:r>
        <w:rPr>
          <w:rFonts w:ascii="Verdana" w:eastAsia="Verdana" w:hAnsi="Verdana" w:cs="Verdana"/>
        </w:rPr>
        <w:t xml:space="preserve"> de 1999 en el artículo </w:t>
      </w:r>
      <w:r w:rsidR="00293DC5">
        <w:rPr>
          <w:rFonts w:ascii="Verdana" w:eastAsia="Verdana" w:hAnsi="Verdana" w:cs="Verdana"/>
        </w:rPr>
        <w:t>27</w:t>
      </w:r>
      <w:r>
        <w:rPr>
          <w:rFonts w:ascii="Verdana" w:eastAsia="Verdana" w:hAnsi="Verdana" w:cs="Verdana"/>
        </w:rPr>
        <w:t xml:space="preserve"> establece que la Dirección General del ICBF está facultada para crear los comités que considere necesarios para la adecuada atención de los asuntos del ICBF y para el efecto determinará sus funciones.</w:t>
      </w:r>
    </w:p>
    <w:p w14:paraId="0000001A" w14:textId="220848C0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293DC5">
        <w:rPr>
          <w:rFonts w:ascii="Verdana" w:eastAsia="Verdana" w:hAnsi="Verdana" w:cs="Verdana"/>
        </w:rPr>
        <w:t>2660</w:t>
      </w:r>
      <w:r>
        <w:rPr>
          <w:rFonts w:ascii="Verdana" w:eastAsia="Verdana" w:hAnsi="Verdana" w:cs="Verdana"/>
        </w:rPr>
        <w:t xml:space="preserve"> del 3 de julio de 2009 se creó el Comité Técnico de Autorización encargado de conceptuar sobre el otorgamiento, renovación, suspensión y cancelación de la Autorización de los Organismos acreditados y agencias internacionales que prestan servicios de adopción en Colombia.</w:t>
      </w:r>
    </w:p>
    <w:p w14:paraId="0000001B" w14:textId="5E49D37E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dicho Comité fue estructurado por la Resolución número </w:t>
      </w:r>
      <w:r w:rsidR="00293DC5">
        <w:rPr>
          <w:rFonts w:ascii="Verdana" w:eastAsia="Verdana" w:hAnsi="Verdana" w:cs="Verdana"/>
        </w:rPr>
        <w:t>1547</w:t>
      </w:r>
      <w:r>
        <w:rPr>
          <w:rFonts w:ascii="Verdana" w:eastAsia="Verdana" w:hAnsi="Verdana" w:cs="Verdana"/>
        </w:rPr>
        <w:t xml:space="preserve"> del 9 de abril de 2010, la cual fue derogada mediante Resolución número </w:t>
      </w:r>
      <w:r w:rsidR="00293DC5">
        <w:rPr>
          <w:rFonts w:ascii="Verdana" w:eastAsia="Verdana" w:hAnsi="Verdana" w:cs="Verdana"/>
        </w:rPr>
        <w:t>3566</w:t>
      </w:r>
      <w:r>
        <w:rPr>
          <w:rFonts w:ascii="Verdana" w:eastAsia="Verdana" w:hAnsi="Verdana" w:cs="Verdana"/>
        </w:rPr>
        <w:t xml:space="preserve"> del 26 de agosto de 2010 y, posteriormente, su integración modificada a través de la Resolución número </w:t>
      </w:r>
      <w:r w:rsidR="00293DC5">
        <w:rPr>
          <w:rFonts w:ascii="Verdana" w:eastAsia="Verdana" w:hAnsi="Verdana" w:cs="Verdana"/>
        </w:rPr>
        <w:t>0748</w:t>
      </w:r>
      <w:r>
        <w:rPr>
          <w:rFonts w:ascii="Verdana" w:eastAsia="Verdana" w:hAnsi="Verdana" w:cs="Verdana"/>
        </w:rPr>
        <w:t xml:space="preserve"> del 20 de febrero de 2015.</w:t>
      </w:r>
    </w:p>
    <w:p w14:paraId="0000001C" w14:textId="305C119B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se hace necesario modificar la Resolución número </w:t>
      </w:r>
      <w:r w:rsidR="00293DC5">
        <w:rPr>
          <w:rFonts w:ascii="Verdana" w:eastAsia="Verdana" w:hAnsi="Verdana" w:cs="Verdana"/>
        </w:rPr>
        <w:t>3566</w:t>
      </w:r>
      <w:r>
        <w:rPr>
          <w:rFonts w:ascii="Verdana" w:eastAsia="Verdana" w:hAnsi="Verdana" w:cs="Verdana"/>
        </w:rPr>
        <w:t xml:space="preserve"> de 2010, “</w:t>
      </w:r>
      <w:r>
        <w:rPr>
          <w:rFonts w:ascii="Verdana" w:eastAsia="Verdana" w:hAnsi="Verdana" w:cs="Verdana"/>
          <w:i/>
          <w:iCs/>
        </w:rPr>
        <w:t>por la cual se reorganiza el Comité Técnico de Autorización del Instituto Colombiano de Bienestar Familiar – Cecilia de la Fuente de Lleras y se deroga una resolución</w:t>
      </w:r>
      <w:r>
        <w:rPr>
          <w:rFonts w:ascii="Verdana" w:eastAsia="Verdana" w:hAnsi="Verdana" w:cs="Verdana"/>
        </w:rPr>
        <w:t>”.</w:t>
      </w:r>
    </w:p>
    <w:p w14:paraId="0000001D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0000001E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F" w14:textId="34BD8C88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Modificar el artículo </w:t>
      </w:r>
      <w:r w:rsidR="00293DC5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 la Resolución número 3566 del 26 de agosto de 2010, relativo a la Integración del Comité Técnico de Autorización el cual quedará así: </w:t>
      </w:r>
    </w:p>
    <w:p w14:paraId="00000020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b/>
          <w:bCs/>
        </w:rPr>
        <w:t xml:space="preserve">Artículo 2o. </w:t>
      </w:r>
      <w:r>
        <w:rPr>
          <w:rFonts w:ascii="Verdana" w:eastAsia="Verdana" w:hAnsi="Verdana" w:cs="Verdana"/>
          <w:b/>
          <w:bCs/>
          <w:i/>
          <w:iCs/>
        </w:rPr>
        <w:t>Integración del Comité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i/>
          <w:iCs/>
        </w:rPr>
        <w:t>El Comité Técnico de Autorización estará integrado así:</w:t>
      </w:r>
    </w:p>
    <w:p w14:paraId="00000021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- </w:t>
      </w:r>
      <w:r>
        <w:rPr>
          <w:rFonts w:ascii="Verdana" w:eastAsia="Verdana" w:hAnsi="Verdana" w:cs="Verdana"/>
          <w:i/>
          <w:iCs/>
        </w:rPr>
        <w:t>El/la Subdirector(a) General.</w:t>
      </w:r>
    </w:p>
    <w:p w14:paraId="00000022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El/la Director(a) de Protección, quien lo presidirá</w:t>
      </w:r>
    </w:p>
    <w:p w14:paraId="00000023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El/la Jefe de la Oficina de Aseguramiento a la Calidad.</w:t>
      </w:r>
    </w:p>
    <w:p w14:paraId="00000024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El/la Director(a) Financiero(a).</w:t>
      </w:r>
    </w:p>
    <w:p w14:paraId="00000025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El/la Jefe de la Oficina Asesora Jurídica.</w:t>
      </w:r>
    </w:p>
    <w:p w14:paraId="00000026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El/la Jefe de la Oficina de Cooperación y Convenios.</w:t>
      </w:r>
    </w:p>
    <w:p w14:paraId="00000027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- El/la Subdirector(a) de Adopciones.</w:t>
      </w:r>
    </w:p>
    <w:p w14:paraId="00000028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b/>
          <w:bCs/>
        </w:rPr>
        <w:t>PARÁGRAFO.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i/>
          <w:iCs/>
        </w:rPr>
        <w:t>Concurrirán con voz pero sin voto los servidores públicos o colaboradores que por su condición de jerarquía y funcional deban asistir según el caso concreto.</w:t>
      </w:r>
    </w:p>
    <w:p w14:paraId="00000029" w14:textId="36DFB668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Modificar el artículo </w:t>
      </w:r>
      <w:r w:rsidR="00293DC5"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</w:rPr>
        <w:t>o de la Resolución número 3566 del 26 de agosto de 2010, relativo a las reuniones del Comité Técnico de Autorización, el cual quedará así:</w:t>
      </w:r>
    </w:p>
    <w:p w14:paraId="0000002A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3o. </w:t>
      </w:r>
      <w:r>
        <w:rPr>
          <w:rFonts w:ascii="Verdana" w:eastAsia="Verdana" w:hAnsi="Verdana" w:cs="Verdana"/>
          <w:b/>
          <w:bCs/>
          <w:i/>
          <w:iCs/>
        </w:rPr>
        <w:t>Reuniones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i/>
          <w:iCs/>
        </w:rPr>
        <w:t>El Comité se reunirá previa convocatoria de la Secretaría Técnica, cada vez que lo estime necesario</w:t>
      </w:r>
      <w:r>
        <w:rPr>
          <w:rFonts w:ascii="Verdana" w:eastAsia="Verdana" w:hAnsi="Verdana" w:cs="Verdana"/>
        </w:rPr>
        <w:t>.</w:t>
      </w:r>
    </w:p>
    <w:p w14:paraId="0000002B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Las reuniones y deliberaciones del Comité podrán realizarse en forma presencial o virtual, según lo determine el presidente del Comité.</w:t>
      </w:r>
    </w:p>
    <w:p w14:paraId="0000002C" w14:textId="7A436C86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Modificar el artículo </w:t>
      </w:r>
      <w:r w:rsidR="00293DC5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>o de la Resolución número 3566 del 26 de agosto de 2010, relativo al quórum deliberatorio y decisorio, el cual quedará así:</w:t>
      </w:r>
    </w:p>
    <w:p w14:paraId="0000002D" w14:textId="7777777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i/>
          <w:iCs/>
        </w:rPr>
        <w:t>Quórum deliberatorio y decisorio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i/>
          <w:iCs/>
        </w:rPr>
        <w:t>Se constituirá quórum deliberatorio con la participación de por lo menos cuatro (4) de sus integrantes y las decisiones se adoptarán por mayoría simple.</w:t>
      </w:r>
    </w:p>
    <w:p w14:paraId="0000002E" w14:textId="6B9AABC2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 xml:space="preserve">Las demás disposiciones establecidas por la Resolución número </w:t>
      </w:r>
      <w:r w:rsidR="00293DC5">
        <w:rPr>
          <w:rFonts w:ascii="Verdana" w:eastAsia="Verdana" w:hAnsi="Verdana" w:cs="Verdana"/>
        </w:rPr>
        <w:t>3566</w:t>
      </w:r>
      <w:r>
        <w:rPr>
          <w:rFonts w:ascii="Verdana" w:eastAsia="Verdana" w:hAnsi="Verdana" w:cs="Verdana"/>
        </w:rPr>
        <w:t xml:space="preserve"> del 26 de agosto de 2010, no sufren modificación alguna y continúan vigentes.</w:t>
      </w:r>
    </w:p>
    <w:p w14:paraId="0000002F" w14:textId="4BC7B947" w:rsidR="00293DC5" w:rsidRDefault="00EC531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QUINTO. </w:t>
      </w:r>
      <w:r w:rsidRPr="00302353">
        <w:rPr>
          <w:rFonts w:ascii="Verdana" w:eastAsia="Verdana" w:hAnsi="Verdana" w:cs="Verdana"/>
          <w:b/>
          <w:bCs/>
        </w:rPr>
        <w:t>VIGENCIA Y DEROGATORIAS.</w:t>
      </w:r>
      <w:r>
        <w:rPr>
          <w:rFonts w:ascii="Verdana" w:eastAsia="Verdana" w:hAnsi="Verdana" w:cs="Verdana"/>
        </w:rPr>
        <w:t xml:space="preserve"> La presente resolución rige a partir de su publicación y deroga la Resolución número </w:t>
      </w:r>
      <w:r w:rsidR="00293DC5">
        <w:rPr>
          <w:rFonts w:ascii="Verdana" w:eastAsia="Verdana" w:hAnsi="Verdana" w:cs="Verdana"/>
        </w:rPr>
        <w:t>0748</w:t>
      </w:r>
      <w:r>
        <w:rPr>
          <w:rFonts w:ascii="Verdana" w:eastAsia="Verdana" w:hAnsi="Verdana" w:cs="Verdana"/>
        </w:rPr>
        <w:t xml:space="preserve"> del 20 de febrero de 2015 en los términos aquí establecidos.</w:t>
      </w:r>
    </w:p>
    <w:p w14:paraId="00000030" w14:textId="77777777" w:rsidR="00293DC5" w:rsidRPr="00302353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302353">
        <w:rPr>
          <w:rFonts w:ascii="Verdana" w:eastAsia="Verdana" w:hAnsi="Verdana" w:cs="Verdana"/>
          <w:b/>
          <w:bCs/>
        </w:rPr>
        <w:t>PUBLÍQUESE Y CÚMPLASE.</w:t>
      </w:r>
    </w:p>
    <w:p w14:paraId="00000031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18 días  de enero de 2017.</w:t>
      </w:r>
    </w:p>
    <w:p w14:paraId="00000032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MARGARITA BARRAQUER SOURDIS.</w:t>
      </w:r>
    </w:p>
    <w:p w14:paraId="00000033" w14:textId="77777777" w:rsidR="00293DC5" w:rsidRDefault="00EC531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SUBDIRECTORA GENERAL ENCARGADA DE LAS FUNCIONES DE LA DIRECTORA GENERAL</w:t>
      </w:r>
    </w:p>
    <w:p w14:paraId="00000034" w14:textId="77777777" w:rsidR="00293DC5" w:rsidRDefault="00293DC5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</w:p>
    <w:p w14:paraId="00000035" w14:textId="77777777" w:rsidR="00293DC5" w:rsidRDefault="00293DC5">
      <w:pPr>
        <w:rPr>
          <w:rFonts w:ascii="Verdana" w:eastAsia="Verdana" w:hAnsi="Verdana" w:cs="Verdana"/>
        </w:rPr>
      </w:pPr>
    </w:p>
    <w:sectPr w:rsidR="00293D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0AC430E-0318-457C-9323-F4ACBB69A2FD}"/>
    <w:embedBold r:id="rId2" w:fontKey="{D932CBF8-F48E-4FF3-A069-FC0263B75950}"/>
    <w:embedItalic r:id="rId3" w:fontKey="{EBB924BF-D08B-4073-90AE-7EA935F9308C}"/>
    <w:embedBoldItalic r:id="rId4" w:fontKey="{65C8FB65-255E-4D96-A9B5-0E84C6A7BF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149716-3E0D-4874-B0E4-C32FD17716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D7F809-89B1-4654-83C6-175D31A11F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DC5"/>
    <w:rsid w:val="000F2785"/>
    <w:rsid w:val="00293DC5"/>
    <w:rsid w:val="002E7514"/>
    <w:rsid w:val="00302353"/>
    <w:rsid w:val="00665FDA"/>
    <w:rsid w:val="00E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487739-027C-4D4E-A1E6-AC4F0676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CE2F9B-00FC-4C0F-9041-08C2494E4729}"/>
</file>

<file path=customXml/itemProps2.xml><?xml version="1.0" encoding="utf-8"?>
<ds:datastoreItem xmlns:ds="http://schemas.openxmlformats.org/officeDocument/2006/customXml" ds:itemID="{9B1414CD-B5A9-4719-8354-E95028F14251}"/>
</file>

<file path=customXml/itemProps3.xml><?xml version="1.0" encoding="utf-8"?>
<ds:datastoreItem xmlns:ds="http://schemas.openxmlformats.org/officeDocument/2006/customXml" ds:itemID="{5840DC55-E0F4-42D0-95BD-60760B6E0A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1017</Words>
  <Characters>5598</Characters>
  <Application>Microsoft Office Word</Application>
  <DocSecurity>0</DocSecurity>
  <Lines>46</Lines>
  <Paragraphs>13</Paragraphs>
  <ScaleCrop>false</ScaleCrop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2026-02-20T19:40:00Z</dcterms:created>
  <dcterms:modified xsi:type="dcterms:W3CDTF">2026-04-16T19:38:00Z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