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060BC" w:rsidRDefault="00083C3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204 DE 2017</w:t>
      </w:r>
    </w:p>
    <w:p w14:paraId="00000002" w14:textId="77777777" w:rsidR="005060BC" w:rsidRDefault="00083C3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18 de enero de 2017</w:t>
      </w:r>
    </w:p>
    <w:p w14:paraId="00000003" w14:textId="77777777" w:rsidR="005060BC" w:rsidRDefault="00083C3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28 de enero de 2017</w:t>
      </w:r>
    </w:p>
    <w:p w14:paraId="00000004" w14:textId="38790A97" w:rsidR="005060BC" w:rsidRDefault="00083C30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Derogada por el artículo </w:t>
      </w:r>
      <w:r w:rsidR="005060BC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1972 de 2021</w:t>
      </w:r>
    </w:p>
    <w:p w14:paraId="00000005" w14:textId="77777777" w:rsidR="005060BC" w:rsidRDefault="005060BC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5060BC" w:rsidRDefault="00083C3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28 de enero de 2017</w:t>
      </w:r>
    </w:p>
    <w:p w14:paraId="00000007" w14:textId="77777777" w:rsidR="005060BC" w:rsidRDefault="00083C3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50.130 </w:t>
      </w:r>
    </w:p>
    <w:p w14:paraId="00000008" w14:textId="77777777" w:rsidR="005060BC" w:rsidRDefault="005060BC">
      <w:pPr>
        <w:rPr>
          <w:rFonts w:ascii="Verdana" w:eastAsia="Verdana" w:hAnsi="Verdana" w:cs="Verdana"/>
        </w:rPr>
      </w:pPr>
    </w:p>
    <w:p w14:paraId="00000009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204 DE 2017</w:t>
      </w:r>
    </w:p>
    <w:p w14:paraId="0000000A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18)</w:t>
      </w:r>
    </w:p>
    <w:p w14:paraId="0000000B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CECILIA DE LA FUENTE DE LLERAS</w:t>
      </w:r>
    </w:p>
    <w:p w14:paraId="0000000D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0000000E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adopta el Lineamiento Técnico Administrativo y el Manual Operativo de la Modalidad Territorios Étnicos con Bienestar.</w:t>
      </w:r>
    </w:p>
    <w:p w14:paraId="0000000F" w14:textId="77777777" w:rsidR="005060BC" w:rsidRPr="00FD20D8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FD20D8">
        <w:rPr>
          <w:rFonts w:ascii="Verdana" w:eastAsia="Verdana" w:hAnsi="Verdana" w:cs="Verdana"/>
          <w:b/>
          <w:bCs/>
        </w:rPr>
        <w:t xml:space="preserve">LA SUBDIRECTORA GENERAL ENCARGADA DE LAS FUNCIONES DE DIRECTORA GENERAL DEL INSTITUTO COLOMBIANO DE BIENESTAR FAMILIAR CECILIA DE LA FUENTE DE LLERAS, </w:t>
      </w:r>
    </w:p>
    <w:p w14:paraId="00000010" w14:textId="0E2B30E2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en el artículo </w:t>
      </w:r>
      <w:r w:rsidR="005060BC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7ª de 1979, el artículo </w:t>
      </w:r>
      <w:r w:rsidR="005060BC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parágrafo del artículo </w:t>
      </w:r>
      <w:r w:rsidR="005060BC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2006, en ejercicio del encargo realizado mediante Resolución número 0026 del 11 de enero de 2017 del Departamento Administrativo para la Prosperidad Social, y</w:t>
      </w:r>
    </w:p>
    <w:p w14:paraId="00000011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2" w14:textId="709444B8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Constitución Política de Colombia en su artículo </w:t>
      </w:r>
      <w:r w:rsidR="005060BC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señala como derechos fundamentales de los niños, la vida, la integridad física, la salud y la seguridad social, la alimentación equilibrada, su nombre y nacionalidad, tener una familia y no ser separados de ella, el cuidado, el amor, la educación y la cultura, la recreación y la libre expresión de su opinión, así como los demás derechos consagrados en la Constitución, en las leyes y en los tratados </w:t>
      </w:r>
      <w:r>
        <w:rPr>
          <w:rFonts w:ascii="Verdana" w:eastAsia="Verdana" w:hAnsi="Verdana" w:cs="Verdana"/>
        </w:rPr>
        <w:lastRenderedPageBreak/>
        <w:t>internacionales ratificados por Colombia, resaltando el reconocimiento y protección de la diversidad étnica y</w:t>
      </w:r>
      <w:r>
        <w:rPr>
          <w:rFonts w:ascii="Verdana" w:eastAsia="Verdana" w:hAnsi="Verdana" w:cs="Verdana"/>
        </w:rPr>
        <w:t xml:space="preserve"> cultural, se generó un marco normativo y de políticas públicas dirigido a la atención de los grupos étnicos, tanto para la protección de sus derechos como para la garantía del respeto a su integridad.</w:t>
      </w:r>
    </w:p>
    <w:p w14:paraId="00000013" w14:textId="1E5CF204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5060BC"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de 1991 aprobó el Convenio número 169 sobre pueblos indígenas y tribales en países independientes, adoptado por la 76ª reunión de la Conferencia General de la OIT, mediante el cual se garantiza el derecho a mantener y fortalecer sus culturas, formas de vida e instituciones propias, y su derecho a participar de manera efectiva en las decisiones que les afectan.</w:t>
      </w:r>
    </w:p>
    <w:p w14:paraId="00000014" w14:textId="1D23EFE2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la Sentencia T-</w:t>
      </w:r>
      <w:r w:rsidR="005060BC">
        <w:rPr>
          <w:rFonts w:ascii="Verdana" w:eastAsia="Verdana" w:hAnsi="Verdana" w:cs="Verdana"/>
        </w:rPr>
        <w:t>025</w:t>
      </w:r>
      <w:r>
        <w:rPr>
          <w:rFonts w:ascii="Verdana" w:eastAsia="Verdana" w:hAnsi="Verdana" w:cs="Verdana"/>
        </w:rPr>
        <w:t xml:space="preserve"> de 2004, la Corte Constitucional Declaró la existencia de un estado de cosas inconstitucional en la situación de la población desplazada, debido a la falta de concordancia entre la gravedad de la afectación de los derechos reconocidos constitucionalmente y desarrollados por la ley, el volumen de recursos efectivamente destinado a asegurar el goce efectivo de tales derechos y la capacidad institucional para implementar los correspondientes mandatos constitucionales y legales.</w:t>
      </w:r>
    </w:p>
    <w:p w14:paraId="00000015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virtud de la mencionada Sentencia, la Corte Constitucional emitió entre otros, los Autos de seguimiento números 004, 005 y 007 del 29 de enero de 2009, que abarcan aspectos específicos y orientan a las instituciones en la formulación e implementación de políticas públicas con carácter diferencial e integral para grupos étnicos. Estos autos cubren un amplio catálogo de derechos que el juez constitucional afirma están siendo vulnerados al interior del país, por un evidente “</w:t>
      </w:r>
      <w:r>
        <w:rPr>
          <w:rFonts w:ascii="Verdana" w:eastAsia="Verdana" w:hAnsi="Verdana" w:cs="Verdana"/>
          <w:i/>
          <w:iCs/>
        </w:rPr>
        <w:t>estado de cosas inconstitucional</w:t>
      </w:r>
      <w:r>
        <w:rPr>
          <w:rFonts w:ascii="Verdana" w:eastAsia="Verdana" w:hAnsi="Verdana" w:cs="Verdana"/>
        </w:rPr>
        <w:t>”. Afirma la Corte que el respeto y garantía de los derechos y su desarrollo progresivo no son facultad del Estado, sino una obligación que se materializa en el deber de acatar las normas establecidas, para garantizar la igualdad material y la protección efectiva de los derechos.</w:t>
      </w:r>
    </w:p>
    <w:p w14:paraId="00000016" w14:textId="09727225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5060BC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</w:rPr>
        <w:t xml:space="preserve"> de la Ley 1098 de 2006 dispone que el principio de “</w:t>
      </w:r>
      <w:r>
        <w:rPr>
          <w:rFonts w:ascii="Verdana" w:eastAsia="Verdana" w:hAnsi="Verdana" w:cs="Verdana"/>
          <w:i/>
          <w:iCs/>
        </w:rPr>
        <w:t>Corresponsabilidad</w:t>
      </w:r>
      <w:r>
        <w:rPr>
          <w:rFonts w:ascii="Verdana" w:eastAsia="Verdana" w:hAnsi="Verdana" w:cs="Verdana"/>
        </w:rPr>
        <w:t>”, implica la “</w:t>
      </w:r>
      <w:r>
        <w:rPr>
          <w:rFonts w:ascii="Verdana" w:eastAsia="Verdana" w:hAnsi="Verdana" w:cs="Verdana"/>
          <w:i/>
          <w:iCs/>
        </w:rPr>
        <w:t>Concurrencia de actores y acciones conducentes a garantizar el ejercicio de los derechos de los niños, las niñas y los adolescentes. La familia, la sociedad y el Estado son corresponsables en su atención, cuidado y protección</w:t>
      </w:r>
      <w:r>
        <w:rPr>
          <w:rFonts w:ascii="Verdana" w:eastAsia="Verdana" w:hAnsi="Verdana" w:cs="Verdana"/>
        </w:rPr>
        <w:t>”.</w:t>
      </w:r>
    </w:p>
    <w:p w14:paraId="00000017" w14:textId="39AAACE3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5060BC">
        <w:rPr>
          <w:rFonts w:ascii="Verdana" w:eastAsia="Verdana" w:hAnsi="Verdana" w:cs="Verdana"/>
        </w:rPr>
        <w:t>2.4.1.5</w:t>
      </w:r>
      <w:r>
        <w:rPr>
          <w:rFonts w:ascii="Verdana" w:eastAsia="Verdana" w:hAnsi="Verdana" w:cs="Verdana"/>
        </w:rPr>
        <w:t xml:space="preserve"> del Decreto 1084 de 2015 reglamentario de la Ley </w:t>
      </w:r>
      <w:r w:rsidR="005060BC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1979, las actividades que realicen las entidades del Sistema Nacional de </w:t>
      </w:r>
      <w:r>
        <w:rPr>
          <w:rFonts w:ascii="Verdana" w:eastAsia="Verdana" w:hAnsi="Verdana" w:cs="Verdana"/>
        </w:rPr>
        <w:lastRenderedPageBreak/>
        <w:t>Bienestar Familiar con el fin de prestar el Servicio Público de Bienestar Familiar, deberán cumplirse con estricta sujeción a las normas del servicio y a los reglamentos dictados por el ICBF, para la atención a las familias y comunidades de grupos étnicos.</w:t>
      </w:r>
    </w:p>
    <w:p w14:paraId="00000018" w14:textId="23F0A5CF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5060BC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establece que “</w:t>
      </w:r>
      <w:r>
        <w:rPr>
          <w:rFonts w:ascii="Verdana" w:eastAsia="Verdana" w:hAnsi="Verdana" w:cs="Verdana"/>
          <w:i/>
          <w:iCs/>
        </w:rPr>
        <w:t xml:space="preserve">el Instituto Colombiano de Bienestar Familiar, como ente coordinador del Sistema Nacional de Bienestar Familiar, mantendrá todas las funciones que hoy tiene (Ley </w:t>
      </w:r>
      <w:r w:rsidR="005060BC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5060BC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ª/79) y definirá los lineamientos técnicos que las entidades deben cumplir para garantizar los derechos de los niños, las niñas y los adolescentes, y para asegurar su restablecimiento</w:t>
      </w:r>
      <w:r>
        <w:rPr>
          <w:rFonts w:ascii="Verdana" w:eastAsia="Verdana" w:hAnsi="Verdana" w:cs="Verdana"/>
        </w:rPr>
        <w:t xml:space="preserve">”. </w:t>
      </w:r>
    </w:p>
    <w:p w14:paraId="00000019" w14:textId="7747E96D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número </w:t>
      </w:r>
      <w:r w:rsidR="005060BC">
        <w:rPr>
          <w:rFonts w:ascii="Verdana" w:eastAsia="Verdana" w:hAnsi="Verdana" w:cs="Verdana"/>
        </w:rPr>
        <w:t>987</w:t>
      </w:r>
      <w:r>
        <w:rPr>
          <w:rFonts w:ascii="Verdana" w:eastAsia="Verdana" w:hAnsi="Verdana" w:cs="Verdana"/>
        </w:rPr>
        <w:t xml:space="preserve"> de 2012, “</w:t>
      </w:r>
      <w:r>
        <w:rPr>
          <w:rFonts w:ascii="Verdana" w:eastAsia="Verdana" w:hAnsi="Verdana" w:cs="Verdana"/>
          <w:i/>
          <w:iCs/>
        </w:rPr>
        <w:t>por el cual se modifica la estructura del Instituto Colombiano de Bienestar Familiar “Cecilia de la Fuente de Lleras” y se determinan las funciones de sus dependencias</w:t>
      </w:r>
      <w:r>
        <w:rPr>
          <w:rFonts w:ascii="Verdana" w:eastAsia="Verdana" w:hAnsi="Verdana" w:cs="Verdana"/>
        </w:rPr>
        <w:t xml:space="preserve">”, en los numerales 1 y 7 del artículo </w:t>
      </w:r>
      <w:r w:rsidR="005060BC">
        <w:rPr>
          <w:rFonts w:ascii="Verdana" w:eastAsia="Verdana" w:hAnsi="Verdana" w:cs="Verdana"/>
        </w:rPr>
        <w:t>34</w:t>
      </w:r>
      <w:r>
        <w:rPr>
          <w:rFonts w:ascii="Verdana" w:eastAsia="Verdana" w:hAnsi="Verdana" w:cs="Verdana"/>
        </w:rPr>
        <w:t xml:space="preserve"> dispone que la Dirección de Familias y Comunidades, tiene dentro de sus competencias liderar la implementación de las políticas, planes, programas y proyectos relativos a las familias y a las comunidades.</w:t>
      </w:r>
    </w:p>
    <w:p w14:paraId="0000001A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ICBF a través de la Dirección de Familias y Comunidades definió los lineamientos para la implementación de la Modalidad Territorios Étnicos con Bienestar en lo que tiene que ver con su composición y requisitos jurídicos y técnicos, por lo tanto se hace necesario adoptarlos para brindar la atención diferencial a las familias y comunidades de los grupos étnicos en el territorio nacional.</w:t>
      </w:r>
    </w:p>
    <w:p w14:paraId="0000001B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C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D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>Adoptar el Lineamiento Técnico Administrativo y el Manual Operativo de la Modalidad Territorios Étnicos con Bienestar de conformidad con lo expuesto en la parte motiva, el cual hace parte integral del presente acto administrativo.</w:t>
      </w:r>
    </w:p>
    <w:p w14:paraId="0000001E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>El lineamiento y el manual operativo adoptados mediante la presente resolución son de obligatorio cumplimiento, para las regionales y áreas del ICBF, servidores públicos, y demás colaboradores que presten, asesoren u orienten el servicio público de Bienestar Familiar.</w:t>
      </w:r>
    </w:p>
    <w:p w14:paraId="0000001F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Ordenar a la Dirección de Familias y Comunidades, la adopción de las medidas necesarias para la socialización y aplicación de los documentos aprobados en el presente acto administrativo.</w:t>
      </w:r>
    </w:p>
    <w:p w14:paraId="00000020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 </w:t>
      </w:r>
      <w:r>
        <w:rPr>
          <w:rFonts w:ascii="Verdana" w:eastAsia="Verdana" w:hAnsi="Verdana" w:cs="Verdana"/>
        </w:rPr>
        <w:t>La actualización, modificación y adición del Lineamiento Técnico Administrativo de la Modalidad Territorios Étnicos con Bienestar se realizará de conformidad con el procedimiento de “</w:t>
      </w:r>
      <w:r>
        <w:rPr>
          <w:rFonts w:ascii="Verdana" w:eastAsia="Verdana" w:hAnsi="Verdana" w:cs="Verdana"/>
          <w:i/>
          <w:iCs/>
        </w:rPr>
        <w:t>Diseño de Lineamientos Técnicos misionales y Manuales Operativos</w:t>
      </w:r>
      <w:r>
        <w:rPr>
          <w:rFonts w:ascii="Verdana" w:eastAsia="Verdana" w:hAnsi="Verdana" w:cs="Verdana"/>
        </w:rPr>
        <w:t>” establecido por la Subdirección de Mejoramiento Organizacional.</w:t>
      </w:r>
    </w:p>
    <w:p w14:paraId="00000021" w14:textId="77777777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El lineamiento y los manuales operativos adoptados mediante la presente resolución serán publicados en la página web del ICBF.</w:t>
      </w:r>
    </w:p>
    <w:p w14:paraId="00000022" w14:textId="2B3A1F54" w:rsidR="005060BC" w:rsidRDefault="00083C3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SEXTO. </w:t>
      </w:r>
      <w:r>
        <w:rPr>
          <w:rFonts w:ascii="Verdana" w:eastAsia="Verdana" w:hAnsi="Verdana" w:cs="Verdana"/>
        </w:rPr>
        <w:t xml:space="preserve">[Resolución derogada por el artículo </w:t>
      </w:r>
      <w:r w:rsidR="005060BC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1972 de 2021] La presente resolución rige a partir de su publicación y deroga todas las disposiciones que le sean contrarias.</w:t>
      </w:r>
    </w:p>
    <w:p w14:paraId="00000026" w14:textId="3DB205F8" w:rsidR="005060BC" w:rsidRPr="00FD20D8" w:rsidRDefault="00FD20D8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FD20D8">
        <w:rPr>
          <w:rFonts w:ascii="Verdana" w:eastAsia="Verdana" w:hAnsi="Verdana" w:cs="Verdana"/>
          <w:b/>
          <w:bCs/>
        </w:rPr>
        <w:t>PUBLÍQUESE, COMUNÍQUESE Y CÚMPLASE.</w:t>
      </w:r>
    </w:p>
    <w:p w14:paraId="00000027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18 días de enero de 2017.</w:t>
      </w:r>
    </w:p>
    <w:p w14:paraId="00000028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MARGARITA BARRAQUER SOURDIS.</w:t>
      </w:r>
    </w:p>
    <w:p w14:paraId="00000029" w14:textId="77777777" w:rsidR="005060BC" w:rsidRDefault="00083C3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SUBDIRECTORA GENERAL ENCARGADA DE LAS FUNCIONES DE DIRECTORA GENERAL</w:t>
      </w:r>
    </w:p>
    <w:p w14:paraId="0000002A" w14:textId="77777777" w:rsidR="005060BC" w:rsidRDefault="005060BC">
      <w:pPr>
        <w:rPr>
          <w:rFonts w:ascii="Verdana" w:eastAsia="Verdana" w:hAnsi="Verdana" w:cs="Verdana"/>
        </w:rPr>
      </w:pPr>
    </w:p>
    <w:p w14:paraId="0000002B" w14:textId="77777777" w:rsidR="005060BC" w:rsidRDefault="005060BC">
      <w:pPr>
        <w:rPr>
          <w:rFonts w:ascii="Verdana" w:eastAsia="Verdana" w:hAnsi="Verdana" w:cs="Verdana"/>
        </w:rPr>
      </w:pPr>
    </w:p>
    <w:sectPr w:rsidR="005060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15604BA-E5AE-4207-9CDC-63C4046B9F94}"/>
    <w:embedBold r:id="rId2" w:fontKey="{FED873A5-933F-4DBD-83CA-AF29E6C929CE}"/>
    <w:embedItalic r:id="rId3" w:fontKey="{CEA741A6-A8F8-4801-9FCF-14D0914012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C4D84DA-E5A5-4AE8-8AF8-85A31EC4C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7652C7-8A8E-4AD1-8258-A1ED3205A6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0BC"/>
    <w:rsid w:val="00083C30"/>
    <w:rsid w:val="00386D3E"/>
    <w:rsid w:val="005060BC"/>
    <w:rsid w:val="00665FDA"/>
    <w:rsid w:val="00C16530"/>
    <w:rsid w:val="00FD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6221A8"/>
  <w15:docId w15:val="{0CF5E52D-DCEC-4811-A667-85FDC105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CDF84A-8130-43AA-8467-FE50B3DAD849}"/>
</file>

<file path=customXml/itemProps2.xml><?xml version="1.0" encoding="utf-8"?>
<ds:datastoreItem xmlns:ds="http://schemas.openxmlformats.org/officeDocument/2006/customXml" ds:itemID="{7702C679-7281-45A7-8295-79D47E5C2633}"/>
</file>

<file path=customXml/itemProps3.xml><?xml version="1.0" encoding="utf-8"?>
<ds:datastoreItem xmlns:ds="http://schemas.openxmlformats.org/officeDocument/2006/customXml" ds:itemID="{1FBD0EDD-052B-4DF4-9B1F-5480883C15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1112</Words>
  <Characters>6119</Characters>
  <Application>Microsoft Office Word</Application>
  <DocSecurity>0</DocSecurity>
  <Lines>50</Lines>
  <Paragraphs>14</Paragraphs>
  <ScaleCrop>false</ScaleCrop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2026-02-20T19:40:00Z</dcterms:created>
  <dcterms:modified xsi:type="dcterms:W3CDTF">2026-04-16T19:38:00Z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