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D2170" w:rsidRDefault="00DD4077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2000 DE 2015</w:t>
      </w:r>
    </w:p>
    <w:p w14:paraId="00000002" w14:textId="77777777" w:rsidR="008D2170" w:rsidRDefault="00DD4077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Expedición: 23 de abril de 2015</w:t>
      </w:r>
    </w:p>
    <w:p w14:paraId="00000003" w14:textId="77777777" w:rsidR="008D2170" w:rsidRDefault="00DD4077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Fecha de entrada en vigencia: </w:t>
      </w:r>
      <w:r>
        <w:rPr>
          <w:rFonts w:ascii="Verdana" w:eastAsia="Verdana" w:hAnsi="Verdana" w:cs="Verdana"/>
          <w:highlight w:val="white"/>
        </w:rPr>
        <w:t>5 de mayo de 2015</w:t>
      </w:r>
    </w:p>
    <w:p w14:paraId="00000004" w14:textId="47D9833B" w:rsidR="008D2170" w:rsidRDefault="00DD4077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Estado de la vigencia: </w:t>
      </w:r>
      <w:r>
        <w:rPr>
          <w:rFonts w:ascii="Verdana" w:eastAsia="Verdana" w:hAnsi="Verdana" w:cs="Verdana"/>
          <w:highlight w:val="white"/>
        </w:rPr>
        <w:t xml:space="preserve">derogada por el artículo </w:t>
      </w:r>
      <w:r w:rsidR="008D2170"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  <w:highlight w:val="white"/>
        </w:rPr>
        <w:t xml:space="preserve"> de la Resolución 4586 de 2018</w:t>
      </w:r>
    </w:p>
    <w:p w14:paraId="00000005" w14:textId="77777777" w:rsidR="008D2170" w:rsidRDefault="008D2170">
      <w:pPr>
        <w:spacing w:line="240" w:lineRule="auto"/>
        <w:rPr>
          <w:rFonts w:ascii="Verdana" w:eastAsia="Verdana" w:hAnsi="Verdana" w:cs="Verdana"/>
        </w:rPr>
      </w:pPr>
    </w:p>
    <w:p w14:paraId="00000006" w14:textId="77777777" w:rsidR="008D2170" w:rsidRDefault="00DD4077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 xml:space="preserve">Fecha de publicación en Diario Oficial: </w:t>
      </w:r>
      <w:r>
        <w:rPr>
          <w:rFonts w:ascii="Verdana" w:eastAsia="Verdana" w:hAnsi="Verdana" w:cs="Verdana"/>
          <w:highlight w:val="white"/>
        </w:rPr>
        <w:t xml:space="preserve">49.502 </w:t>
      </w:r>
    </w:p>
    <w:p w14:paraId="00000007" w14:textId="77777777" w:rsidR="008D2170" w:rsidRDefault="00DD4077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>Número del Diario Oficial:</w:t>
      </w:r>
      <w:r>
        <w:rPr>
          <w:rFonts w:ascii="Verdana" w:eastAsia="Verdana" w:hAnsi="Verdana" w:cs="Verdana"/>
          <w:highlight w:val="white"/>
        </w:rPr>
        <w:t xml:space="preserve"> 5 de mayo de 2015</w:t>
      </w:r>
    </w:p>
    <w:p w14:paraId="00000008" w14:textId="77777777" w:rsidR="008D2170" w:rsidRDefault="008D2170">
      <w:pPr>
        <w:spacing w:line="240" w:lineRule="auto"/>
        <w:rPr>
          <w:rFonts w:ascii="Verdana" w:eastAsia="Verdana" w:hAnsi="Verdana" w:cs="Verdana"/>
          <w:highlight w:val="white"/>
        </w:rPr>
      </w:pPr>
    </w:p>
    <w:p w14:paraId="00000009" w14:textId="77777777" w:rsidR="008D2170" w:rsidRDefault="008D2170">
      <w:pPr>
        <w:spacing w:line="240" w:lineRule="auto"/>
        <w:rPr>
          <w:rFonts w:ascii="Verdana" w:eastAsia="Verdana" w:hAnsi="Verdana" w:cs="Verdana"/>
        </w:rPr>
      </w:pPr>
    </w:p>
    <w:p w14:paraId="0000000A" w14:textId="77777777" w:rsidR="008D2170" w:rsidRDefault="00DD4077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2000 DE 2015</w:t>
      </w:r>
    </w:p>
    <w:p w14:paraId="0000000B" w14:textId="77777777" w:rsidR="008D2170" w:rsidRDefault="00DD4077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highlight w:val="white"/>
        </w:rPr>
        <w:t>(abril 23)</w:t>
      </w:r>
    </w:p>
    <w:p w14:paraId="0000000C" w14:textId="77777777" w:rsidR="008D2170" w:rsidRDefault="00DD4077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</w:t>
      </w:r>
    </w:p>
    <w:p w14:paraId="0000000D" w14:textId="77777777" w:rsidR="008D2170" w:rsidRDefault="00DD4077">
      <w:pPr>
        <w:shd w:val="clear" w:color="auto" w:fill="FFFFFF"/>
        <w:spacing w:after="240"/>
        <w:jc w:val="center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highlight w:val="white"/>
        </w:rPr>
        <w:t>Por la cual se aprueba La Guía Técnica del Componente de Alimentación y Nutrición para los programas y proyectos misionales del ICBF.</w:t>
      </w:r>
    </w:p>
    <w:p w14:paraId="0000000E" w14:textId="77777777" w:rsidR="008D2170" w:rsidRDefault="00DD4077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 CECILIA DE LA FUENTE DE LLERAS,</w:t>
      </w:r>
    </w:p>
    <w:p w14:paraId="0000000F" w14:textId="73329820" w:rsidR="008D2170" w:rsidRDefault="00DD4077">
      <w:pPr>
        <w:shd w:val="clear" w:color="auto" w:fill="FFFFFF"/>
        <w:spacing w:after="240"/>
        <w:jc w:val="center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highlight w:val="white"/>
        </w:rPr>
        <w:t xml:space="preserve">en uso de sus facultades legales y estatutarias establecidas en el literal a) del artículo </w:t>
      </w:r>
      <w:r w:rsidR="008D2170">
        <w:rPr>
          <w:rFonts w:ascii="Verdana" w:eastAsia="Verdana" w:hAnsi="Verdana" w:cs="Verdana"/>
          <w:highlight w:val="white"/>
        </w:rPr>
        <w:t>28</w:t>
      </w:r>
      <w:r>
        <w:rPr>
          <w:rFonts w:ascii="Verdana" w:eastAsia="Verdana" w:hAnsi="Verdana" w:cs="Verdana"/>
          <w:highlight w:val="white"/>
        </w:rPr>
        <w:t xml:space="preserve"> del Decreto número 334 de 1980, en el artículo </w:t>
      </w:r>
      <w:r w:rsidR="008D2170">
        <w:rPr>
          <w:rFonts w:ascii="Verdana" w:eastAsia="Verdana" w:hAnsi="Verdana" w:cs="Verdana"/>
          <w:highlight w:val="white"/>
        </w:rPr>
        <w:t>78</w:t>
      </w:r>
      <w:r>
        <w:rPr>
          <w:rFonts w:ascii="Verdana" w:eastAsia="Verdana" w:hAnsi="Verdana" w:cs="Verdana"/>
          <w:highlight w:val="white"/>
        </w:rPr>
        <w:t xml:space="preserve"> de la Ley 489 de 1998 y demás normas concordantes y complementarias, y</w:t>
      </w:r>
    </w:p>
    <w:p w14:paraId="00000010" w14:textId="77777777" w:rsidR="008D2170" w:rsidRDefault="00DD4077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00000011" w14:textId="099B7B92" w:rsidR="008D2170" w:rsidRDefault="00DD4077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artículo </w:t>
      </w:r>
      <w:r w:rsidR="008D2170">
        <w:rPr>
          <w:rFonts w:ascii="Verdana" w:eastAsia="Verdana" w:hAnsi="Verdana" w:cs="Verdana"/>
        </w:rPr>
        <w:t>44</w:t>
      </w:r>
      <w:r>
        <w:rPr>
          <w:rFonts w:ascii="Verdana" w:eastAsia="Verdana" w:hAnsi="Verdana" w:cs="Verdana"/>
        </w:rPr>
        <w:t xml:space="preserve"> de la Constitución Política señala como derechos fundamentales de los niños, la vida, la integridad física, la salud y la seguridad social, la alimentación equilibrada, su nombre y nacionalidad, tener una familia y no ser separados de ella, el cuidado, el amor, la educación y la cultura, la recreación y la libre expresión de su opinión, así como los demás derechos consagrados en la Constitución, en las leyes y en los tratados internacionales ratificados por Colombia.</w:t>
      </w:r>
    </w:p>
    <w:p w14:paraId="00000012" w14:textId="1B527B31" w:rsidR="008D2170" w:rsidRDefault="00DD4077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de acuerdo con lo establecido en el artículo </w:t>
      </w:r>
      <w:r w:rsidR="008D2170">
        <w:rPr>
          <w:rFonts w:ascii="Verdana" w:eastAsia="Verdana" w:hAnsi="Verdana" w:cs="Verdana"/>
        </w:rPr>
        <w:t>12</w:t>
      </w:r>
      <w:r>
        <w:rPr>
          <w:rFonts w:ascii="Verdana" w:eastAsia="Verdana" w:hAnsi="Verdana" w:cs="Verdana"/>
        </w:rPr>
        <w:t xml:space="preserve"> del Decreto número 2388 de 1979, reglamentario de la Ley </w:t>
      </w:r>
      <w:r w:rsidR="008D2170"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</w:rPr>
        <w:t xml:space="preserve">ª de 1979, las actividades que realicen las entidades del Sistema Nacional de Bienestar Familiar, con el fin de prestar el servicio público de Bienestar Familiar, </w:t>
      </w:r>
      <w:r>
        <w:rPr>
          <w:rFonts w:ascii="Verdana" w:eastAsia="Verdana" w:hAnsi="Verdana" w:cs="Verdana"/>
        </w:rPr>
        <w:lastRenderedPageBreak/>
        <w:t>deberán cumplirse con estricta sujeción a las normas del servicio y a los reglamentos dictados por el ICBF.</w:t>
      </w:r>
    </w:p>
    <w:p w14:paraId="00000013" w14:textId="603D5C59" w:rsidR="008D2170" w:rsidRDefault="00DD4077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Código de Infancia y la Adolescencia, Ley 1098 de 2006, establece en su artículo </w:t>
      </w:r>
      <w:r w:rsidR="008D2170">
        <w:rPr>
          <w:rFonts w:ascii="Verdana" w:eastAsia="Verdana" w:hAnsi="Verdana" w:cs="Verdana"/>
        </w:rPr>
        <w:t>11</w:t>
      </w:r>
      <w:r>
        <w:rPr>
          <w:rFonts w:ascii="Verdana" w:eastAsia="Verdana" w:hAnsi="Verdana" w:cs="Verdana"/>
        </w:rPr>
        <w:t xml:space="preserve">, parágrafo único, que el instituto Colombiano de Bienestar Familiar, como ente rector del Sistema Nacional de Bienestar Familiar, mantendrá todas las funciones que hoy tiene (Ley </w:t>
      </w:r>
      <w:r w:rsidR="008D2170">
        <w:rPr>
          <w:rFonts w:ascii="Verdana" w:eastAsia="Verdana" w:hAnsi="Verdana" w:cs="Verdana"/>
        </w:rPr>
        <w:t>75</w:t>
      </w:r>
      <w:r>
        <w:rPr>
          <w:rFonts w:ascii="Verdana" w:eastAsia="Verdana" w:hAnsi="Verdana" w:cs="Verdana"/>
        </w:rPr>
        <w:t xml:space="preserve"> de 1968 y Ley </w:t>
      </w:r>
      <w:r w:rsidR="008D2170"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</w:rPr>
        <w:t>ª de 1979) y definirá los lineamientos técnicos que las entidades deben cumplir para garantizar los derechos de los niños, niñas y adolescentes y para asegurar su restablecimiento.</w:t>
      </w:r>
    </w:p>
    <w:p w14:paraId="00000014" w14:textId="1AAC414B" w:rsidR="008D2170" w:rsidRDefault="00DD4077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de acuerdo con el numeral 8 del artículo </w:t>
      </w:r>
      <w:r w:rsidR="008D2170">
        <w:rPr>
          <w:rFonts w:ascii="Verdana" w:eastAsia="Verdana" w:hAnsi="Verdana" w:cs="Verdana"/>
        </w:rPr>
        <w:t>37</w:t>
      </w:r>
      <w:r>
        <w:rPr>
          <w:rFonts w:ascii="Verdana" w:eastAsia="Verdana" w:hAnsi="Verdana" w:cs="Verdana"/>
        </w:rPr>
        <w:t xml:space="preserve"> del Decreto número 987 de 2012, la Dirección de Nutrición debe definir los Lineamientos y Estándares técnicos de ejecución de los programas y proyectos de nutrición, que deberán aplicarse de acuerdo con el tipo de atención de su competencia, para cada una de las Direcciones de Primera Infancia, Niñez, Adolescencia, Familia y Comunidades y Protección.</w:t>
      </w:r>
    </w:p>
    <w:p w14:paraId="00000015" w14:textId="073CDDEB" w:rsidR="008D2170" w:rsidRDefault="00DD4077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mediante la Resolución número </w:t>
      </w:r>
      <w:r w:rsidR="008D2170">
        <w:rPr>
          <w:rFonts w:ascii="Verdana" w:eastAsia="Verdana" w:hAnsi="Verdana" w:cs="Verdana"/>
        </w:rPr>
        <w:t>2000</w:t>
      </w:r>
      <w:r>
        <w:rPr>
          <w:rFonts w:ascii="Verdana" w:eastAsia="Verdana" w:hAnsi="Verdana" w:cs="Verdana"/>
        </w:rPr>
        <w:t xml:space="preserve"> de 2014, el Director General del ICBF ordenó la aplicación del enfoque diferencial en todos sus Programas Misionales y estableció que el Instituto en su misión reconoce la diversidad en la atención de su población beneficiaria, en su contexto etario, social, familiar, cultural, de género y por la situación de vulnerabilidad en la que se encuentren y que demanden protección especial.</w:t>
      </w:r>
    </w:p>
    <w:p w14:paraId="00000016" w14:textId="77777777" w:rsidR="008D2170" w:rsidRDefault="00DD4077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en la actualidad se requiere la adopción de la Guía Técnica del componente de alimentación y nutrición, con el fin de orientar el proceso de atención en alimentación y nutrición para los niños, niñas menores de 5 años, adolescentes, mujeres gestantes y madres lactantes de las modalidades del ICBF.</w:t>
      </w:r>
    </w:p>
    <w:p w14:paraId="00000017" w14:textId="77777777" w:rsidR="008D2170" w:rsidRDefault="00DD4077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las modalidades de atención del ICBF se encuentran reglamentadas a través de Lineamientos y Manuales Operativos, a los cuales se entenderá incorporada la presente Guía Técnica para lo pertinente.</w:t>
      </w:r>
    </w:p>
    <w:p w14:paraId="00000018" w14:textId="77777777" w:rsidR="008D2170" w:rsidRDefault="00DD4077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por lo anterior, resulta necesario aprobar la Guía Técnica del componente de alimentación y nutrición para los programas y proyectos misionales del ICBF, con el propósito de que sea incorporada a los lineamientos y manuales de los proyectos.</w:t>
      </w:r>
    </w:p>
    <w:p w14:paraId="00000019" w14:textId="77777777" w:rsidR="008D2170" w:rsidRDefault="00DD4077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en mérito de lo expuesto, </w:t>
      </w:r>
    </w:p>
    <w:p w14:paraId="0000001A" w14:textId="77777777" w:rsidR="008D2170" w:rsidRDefault="00DD4077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lastRenderedPageBreak/>
        <w:t>RESUELVE:</w:t>
      </w:r>
    </w:p>
    <w:p w14:paraId="0000001B" w14:textId="77777777" w:rsidR="008D2170" w:rsidRDefault="00DD4077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PRIMERO.</w:t>
      </w:r>
      <w:r>
        <w:rPr>
          <w:rFonts w:ascii="Verdana" w:eastAsia="Verdana" w:hAnsi="Verdana" w:cs="Verdana"/>
        </w:rPr>
        <w:t xml:space="preserve"> Aprobar la Guía Técnica del componente de alimentación y nutrición para los programas y proyectos misionales del ICBF, de acuerdo con lo expuesto en la parte motiva. </w:t>
      </w:r>
    </w:p>
    <w:p w14:paraId="0000001C" w14:textId="77777777" w:rsidR="008D2170" w:rsidRDefault="00DD4077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SEGUNDO.</w:t>
      </w:r>
      <w:r>
        <w:rPr>
          <w:rFonts w:ascii="Verdana" w:eastAsia="Verdana" w:hAnsi="Verdana" w:cs="Verdana"/>
        </w:rPr>
        <w:t xml:space="preserve"> La Guía Técnica del componente de alimentación y nutrición se entenderá incorporada a los lineamientos y manuales para los programas y proyectos misionales del ICBF en lo pertinente.</w:t>
      </w:r>
    </w:p>
    <w:p w14:paraId="0000001D" w14:textId="77777777" w:rsidR="008D2170" w:rsidRDefault="00DD4077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TERCERO.</w:t>
      </w:r>
      <w:r>
        <w:rPr>
          <w:rFonts w:ascii="Verdana" w:eastAsia="Verdana" w:hAnsi="Verdana" w:cs="Verdana"/>
        </w:rPr>
        <w:t xml:space="preserve"> El documento aprobado mediante la presente resolución, es de obligatorio cumplimiento por las áreas, servidores públicos, colaboradores y entidades contratistas que prestan, asesoran y orientan el Servicio Público de Bienestar Familiar.</w:t>
      </w:r>
    </w:p>
    <w:p w14:paraId="0000001E" w14:textId="0528E3A1" w:rsidR="008D2170" w:rsidRDefault="00DD4077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CUARTO. </w:t>
      </w:r>
      <w:r>
        <w:rPr>
          <w:rFonts w:ascii="Verdana" w:eastAsia="Verdana" w:hAnsi="Verdana" w:cs="Verdana"/>
        </w:rPr>
        <w:t xml:space="preserve">[Resolución derogada por el artículo </w:t>
      </w:r>
      <w:r w:rsidR="008D2170"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</w:rPr>
        <w:t xml:space="preserve"> de la Resolución 4586 de 2018] La Guía Técnica del componente de alimentación y nutrición para los programas y proyectos misionales del ICBF, que se aprueba con la presente Resolución, será publicada en la página web del ICBF, a través de la siguiente ruta: Normatividad y Contratación – Trasparencia – Lineamientos.</w:t>
      </w:r>
    </w:p>
    <w:p w14:paraId="0000001F" w14:textId="77777777" w:rsidR="008D2170" w:rsidRDefault="00DD4077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QUINTO.</w:t>
      </w:r>
      <w:r>
        <w:rPr>
          <w:rFonts w:ascii="Verdana" w:eastAsia="Verdana" w:hAnsi="Verdana" w:cs="Verdana"/>
        </w:rPr>
        <w:t xml:space="preserve"> La presente resolución rige a partir de su publicación y deroga las demás disposiciones que le sean contrarias.</w:t>
      </w:r>
    </w:p>
    <w:p w14:paraId="00000020" w14:textId="77777777" w:rsidR="008D2170" w:rsidRPr="001011AA" w:rsidRDefault="00DD4077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 w:rsidRPr="001011AA">
        <w:rPr>
          <w:rFonts w:ascii="Verdana" w:eastAsia="Verdana" w:hAnsi="Verdana" w:cs="Verdana"/>
          <w:b/>
          <w:bCs/>
        </w:rPr>
        <w:t>PUBLÍQUESE Y CÚMPLASE</w:t>
      </w:r>
    </w:p>
    <w:p w14:paraId="00000021" w14:textId="77777777" w:rsidR="008D2170" w:rsidRDefault="00DD4077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 C., a los 23 días de abril de 2015.</w:t>
      </w:r>
    </w:p>
    <w:p w14:paraId="00000022" w14:textId="77777777" w:rsidR="008D2170" w:rsidRDefault="00DD4077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CRISTINA PLAZAS MICHELSEN.</w:t>
      </w:r>
    </w:p>
    <w:p w14:paraId="00000023" w14:textId="77777777" w:rsidR="008D2170" w:rsidRDefault="00DD4077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DIRECTORA GENERAL</w:t>
      </w:r>
    </w:p>
    <w:sectPr w:rsidR="008D217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9DE237D-0C77-46BB-A07D-965E945EF069}"/>
    <w:embedBold r:id="rId2" w:fontKey="{FE56A498-0D2D-4423-8E7D-5EDE49FE3AE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DD8B271-BA84-4E26-90A3-9AB3FA9F0C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7ECE233-6714-4EC3-8CF0-B0930E1253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170"/>
    <w:rsid w:val="001011AA"/>
    <w:rsid w:val="004F5202"/>
    <w:rsid w:val="00665FDA"/>
    <w:rsid w:val="008D2170"/>
    <w:rsid w:val="00B55892"/>
    <w:rsid w:val="00DD4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7B8106E-E981-4056-9E9F-A8D5A7B33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DF2C9C9-0B88-4807-8D43-7FEC9921737A}"/>
</file>

<file path=customXml/itemProps2.xml><?xml version="1.0" encoding="utf-8"?>
<ds:datastoreItem xmlns:ds="http://schemas.openxmlformats.org/officeDocument/2006/customXml" ds:itemID="{A84AC90C-8064-4F00-AAE1-AFFEEF796407}"/>
</file>

<file path=customXml/itemProps3.xml><?xml version="1.0" encoding="utf-8"?>
<ds:datastoreItem xmlns:ds="http://schemas.openxmlformats.org/officeDocument/2006/customXml" ds:itemID="{818A9A5B-47A5-44B1-A632-66CE82E9CF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777</Words>
  <Characters>4275</Characters>
  <Application>Microsoft Office Word</Application>
  <DocSecurity>0</DocSecurity>
  <Lines>35</Lines>
  <Paragraphs>10</Paragraphs>
  <ScaleCrop>false</ScaleCrop>
  <Company/>
  <LinksUpToDate>false</LinksUpToDate>
  <CharactersWithSpaces>5042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4</cp:revision>
  <dcterms:created xsi:type="dcterms:W3CDTF">2026-02-10T16:47:00Z</dcterms:created>
  <dcterms:modified xsi:type="dcterms:W3CDTF">2026-04-16T18:58:00Z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