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23C6" w14:textId="77777777" w:rsidR="00374CC0" w:rsidRPr="00374CC0" w:rsidRDefault="00374CC0" w:rsidP="00374CC0">
      <w:pPr>
        <w:jc w:val="center"/>
        <w:rPr>
          <w:rFonts w:ascii="Verdana" w:hAnsi="Verdana"/>
        </w:rPr>
      </w:pPr>
      <w:r w:rsidRPr="00374CC0">
        <w:rPr>
          <w:rFonts w:ascii="Verdana" w:hAnsi="Verdana"/>
          <w:b/>
          <w:bCs/>
        </w:rPr>
        <w:t>RESOLUCION 1770 DE 2008</w:t>
      </w:r>
    </w:p>
    <w:p w14:paraId="30BDA87B" w14:textId="77777777" w:rsidR="0032081C" w:rsidRPr="0032081C" w:rsidRDefault="0032081C" w:rsidP="0032081C">
      <w:pPr>
        <w:pStyle w:val="Sinespaciado"/>
        <w:rPr>
          <w:rFonts w:ascii="Verdana" w:hAnsi="Verdana"/>
          <w:sz w:val="20"/>
          <w:szCs w:val="20"/>
        </w:rPr>
      </w:pPr>
      <w:r w:rsidRPr="0032081C">
        <w:rPr>
          <w:rFonts w:ascii="Verdana" w:hAnsi="Verdana"/>
          <w:sz w:val="20"/>
          <w:szCs w:val="20"/>
        </w:rPr>
        <w:t>Fecha de Expedición: 7 de mayo de 2008</w:t>
      </w:r>
    </w:p>
    <w:p w14:paraId="76F54B20" w14:textId="77777777" w:rsidR="0032081C" w:rsidRPr="0032081C" w:rsidRDefault="0032081C" w:rsidP="0032081C">
      <w:pPr>
        <w:pStyle w:val="Sinespaciado"/>
        <w:rPr>
          <w:rFonts w:ascii="Verdana" w:hAnsi="Verdana"/>
          <w:sz w:val="20"/>
          <w:szCs w:val="20"/>
        </w:rPr>
      </w:pPr>
      <w:r w:rsidRPr="0032081C">
        <w:rPr>
          <w:rFonts w:ascii="Verdana" w:hAnsi="Verdana"/>
          <w:sz w:val="20"/>
          <w:szCs w:val="20"/>
        </w:rPr>
        <w:t xml:space="preserve">Fecha de </w:t>
      </w:r>
      <w:proofErr w:type="gramStart"/>
      <w:r w:rsidRPr="0032081C">
        <w:rPr>
          <w:rFonts w:ascii="Verdana" w:hAnsi="Verdana"/>
          <w:sz w:val="20"/>
          <w:szCs w:val="20"/>
        </w:rPr>
        <w:t>entrada en vigencia</w:t>
      </w:r>
      <w:proofErr w:type="gramEnd"/>
      <w:r w:rsidRPr="0032081C">
        <w:rPr>
          <w:rFonts w:ascii="Verdana" w:hAnsi="Verdana"/>
          <w:sz w:val="20"/>
          <w:szCs w:val="20"/>
        </w:rPr>
        <w:t xml:space="preserve">: 7 de mayo de 2008 </w:t>
      </w:r>
    </w:p>
    <w:p w14:paraId="7D4D05BE" w14:textId="468C26D2" w:rsidR="0032081C" w:rsidRDefault="0032081C" w:rsidP="0032081C">
      <w:pPr>
        <w:pStyle w:val="Sinespaciado"/>
        <w:rPr>
          <w:rFonts w:ascii="Verdana" w:hAnsi="Verdana"/>
          <w:sz w:val="20"/>
          <w:szCs w:val="20"/>
        </w:rPr>
      </w:pPr>
      <w:r w:rsidRPr="0032081C">
        <w:rPr>
          <w:rFonts w:ascii="Verdana" w:hAnsi="Verdana"/>
          <w:sz w:val="20"/>
          <w:szCs w:val="20"/>
        </w:rPr>
        <w:t>Estado de la vigencia: derogada por el artículo 1 de la Resolución 1550 de 2012</w:t>
      </w:r>
      <w:r w:rsidRPr="0032081C">
        <w:rPr>
          <w:rFonts w:ascii="Verdana" w:hAnsi="Verdana"/>
          <w:sz w:val="20"/>
          <w:szCs w:val="20"/>
        </w:rPr>
        <w:tab/>
      </w:r>
    </w:p>
    <w:p w14:paraId="1C460DCD" w14:textId="77777777" w:rsidR="0032081C" w:rsidRDefault="0032081C" w:rsidP="0032081C">
      <w:pPr>
        <w:pStyle w:val="Sinespaciado"/>
        <w:rPr>
          <w:rFonts w:ascii="Verdana" w:hAnsi="Verdana"/>
          <w:sz w:val="20"/>
          <w:szCs w:val="20"/>
        </w:rPr>
      </w:pPr>
    </w:p>
    <w:p w14:paraId="070FEC1C" w14:textId="0EE25791" w:rsidR="0032081C" w:rsidRPr="0032081C" w:rsidRDefault="0032081C" w:rsidP="0032081C">
      <w:pPr>
        <w:pStyle w:val="Sinespaciado"/>
        <w:rPr>
          <w:rFonts w:ascii="Verdana" w:hAnsi="Verdana"/>
          <w:sz w:val="20"/>
          <w:szCs w:val="20"/>
        </w:rPr>
      </w:pPr>
      <w:r w:rsidRPr="0032081C">
        <w:rPr>
          <w:rFonts w:ascii="Verdana" w:hAnsi="Verdana"/>
          <w:sz w:val="20"/>
          <w:szCs w:val="20"/>
        </w:rPr>
        <w:t>Fecha de publicación en Diario Oficial: N/A</w:t>
      </w:r>
    </w:p>
    <w:p w14:paraId="0AA39739" w14:textId="08E1AF5D" w:rsidR="0045046C" w:rsidRDefault="0032081C" w:rsidP="0032081C">
      <w:pPr>
        <w:pStyle w:val="Sinespaciado"/>
        <w:rPr>
          <w:rFonts w:ascii="Verdana" w:hAnsi="Verdana"/>
          <w:sz w:val="20"/>
          <w:szCs w:val="20"/>
        </w:rPr>
      </w:pPr>
      <w:r w:rsidRPr="0032081C">
        <w:rPr>
          <w:rFonts w:ascii="Verdana" w:hAnsi="Verdana"/>
          <w:sz w:val="20"/>
          <w:szCs w:val="20"/>
        </w:rPr>
        <w:t>Número del Diario Oficial: N/A</w:t>
      </w:r>
    </w:p>
    <w:p w14:paraId="1083B834" w14:textId="77777777" w:rsidR="0032081C" w:rsidRPr="0032081C" w:rsidRDefault="0032081C" w:rsidP="0032081C">
      <w:pPr>
        <w:pStyle w:val="Sinespaciado"/>
        <w:rPr>
          <w:rFonts w:ascii="Verdana" w:hAnsi="Verdana"/>
          <w:sz w:val="20"/>
          <w:szCs w:val="20"/>
        </w:rPr>
      </w:pPr>
    </w:p>
    <w:p w14:paraId="3D357A62" w14:textId="073EADF0" w:rsidR="00374CC0" w:rsidRPr="00374CC0" w:rsidRDefault="00374CC0" w:rsidP="00374CC0">
      <w:pPr>
        <w:jc w:val="center"/>
        <w:rPr>
          <w:rFonts w:ascii="Verdana" w:hAnsi="Verdana"/>
        </w:rPr>
      </w:pPr>
      <w:r w:rsidRPr="00374CC0">
        <w:rPr>
          <w:rFonts w:ascii="Verdana" w:hAnsi="Verdana"/>
          <w:b/>
          <w:bCs/>
        </w:rPr>
        <w:t>RESOLUCION 1770 DE 2008</w:t>
      </w:r>
    </w:p>
    <w:p w14:paraId="47A4D9CB" w14:textId="4C61641E" w:rsidR="00374CC0" w:rsidRPr="00374CC0" w:rsidRDefault="00374CC0" w:rsidP="00374CC0">
      <w:pPr>
        <w:jc w:val="center"/>
        <w:rPr>
          <w:rFonts w:ascii="Verdana" w:hAnsi="Verdana"/>
        </w:rPr>
      </w:pPr>
      <w:r w:rsidRPr="00374CC0">
        <w:rPr>
          <w:rFonts w:ascii="Verdana" w:hAnsi="Verdana"/>
        </w:rPr>
        <w:t xml:space="preserve">(7 </w:t>
      </w:r>
      <w:r>
        <w:rPr>
          <w:rFonts w:ascii="Verdana" w:hAnsi="Verdana"/>
        </w:rPr>
        <w:t xml:space="preserve">de </w:t>
      </w:r>
      <w:r w:rsidRPr="00374CC0">
        <w:rPr>
          <w:rFonts w:ascii="Verdana" w:hAnsi="Verdana"/>
        </w:rPr>
        <w:t>mayo)</w:t>
      </w:r>
    </w:p>
    <w:p w14:paraId="254521BF" w14:textId="77777777" w:rsidR="00374CC0" w:rsidRPr="00374CC0" w:rsidRDefault="00374CC0" w:rsidP="00374CC0">
      <w:pPr>
        <w:jc w:val="center"/>
        <w:rPr>
          <w:rFonts w:ascii="Verdana" w:hAnsi="Verdana"/>
        </w:rPr>
      </w:pPr>
      <w:r w:rsidRPr="00374CC0">
        <w:rPr>
          <w:rFonts w:ascii="Verdana" w:hAnsi="Verdana"/>
          <w:b/>
          <w:bCs/>
        </w:rPr>
        <w:t>INSTITUTO COLOMBIANO DE BIENESTAR FAMILIAR - ICBF</w:t>
      </w:r>
    </w:p>
    <w:p w14:paraId="7DB088D0" w14:textId="7DD5224F" w:rsidR="00374CC0" w:rsidRPr="00374CC0" w:rsidRDefault="00374CC0" w:rsidP="00374CC0">
      <w:pPr>
        <w:jc w:val="center"/>
        <w:rPr>
          <w:rFonts w:ascii="Verdana" w:hAnsi="Verdana"/>
        </w:rPr>
      </w:pPr>
      <w:r w:rsidRPr="00374CC0">
        <w:rPr>
          <w:rFonts w:ascii="Verdana" w:hAnsi="Verdana"/>
        </w:rPr>
        <w:t>“Por medio de la cual se modifica parcialmente la Guía para la Gestión de los Bienes en el ICBF, adoptada por la Resolución No. 0935 del 02 de junio de 2005”</w:t>
      </w:r>
    </w:p>
    <w:p w14:paraId="7BB3B1C7" w14:textId="77777777" w:rsidR="00374CC0" w:rsidRPr="00374CC0" w:rsidRDefault="00374CC0" w:rsidP="00374CC0">
      <w:pPr>
        <w:jc w:val="center"/>
        <w:rPr>
          <w:rFonts w:ascii="Verdana" w:hAnsi="Verdana"/>
        </w:rPr>
      </w:pPr>
      <w:r w:rsidRPr="00374CC0">
        <w:rPr>
          <w:rFonts w:ascii="Verdana" w:hAnsi="Verdana"/>
          <w:b/>
          <w:bCs/>
        </w:rPr>
        <w:t>LA DIRECTORA GENERAL DEL INSTITUTO COLOMBIANO DE BIENESTAR FAMILIAR</w:t>
      </w:r>
    </w:p>
    <w:p w14:paraId="37B80E1D" w14:textId="4314084D" w:rsidR="00374CC0" w:rsidRPr="00374CC0" w:rsidRDefault="00374CC0" w:rsidP="00374CC0">
      <w:pPr>
        <w:jc w:val="center"/>
        <w:rPr>
          <w:rFonts w:ascii="Verdana" w:hAnsi="Verdana"/>
        </w:rPr>
      </w:pPr>
      <w:r w:rsidRPr="00374CC0">
        <w:rPr>
          <w:rFonts w:ascii="Verdana" w:hAnsi="Verdana"/>
        </w:rPr>
        <w:t>En uso de sus facultades legales y estatutarias, y en especial las conferidas por el literal b) del artículo 28 de la Ley 7 de 1979, lo preceptuado en el literal a) artículo 28 del Decreto 334 de 1980 y los artículos 2°, 3° y 4° del Decreto 4695 de 2005, y</w:t>
      </w:r>
    </w:p>
    <w:p w14:paraId="2B023AE4" w14:textId="77777777" w:rsidR="00374CC0" w:rsidRPr="00374CC0" w:rsidRDefault="00374CC0" w:rsidP="00374CC0">
      <w:pPr>
        <w:jc w:val="center"/>
        <w:rPr>
          <w:rFonts w:ascii="Verdana" w:hAnsi="Verdana"/>
        </w:rPr>
      </w:pPr>
      <w:r w:rsidRPr="00374CC0">
        <w:rPr>
          <w:rFonts w:ascii="Verdana" w:hAnsi="Verdana"/>
          <w:b/>
          <w:bCs/>
        </w:rPr>
        <w:t>CONSIDERANDO:</w:t>
      </w:r>
    </w:p>
    <w:p w14:paraId="0F99F3D4" w14:textId="77777777" w:rsidR="00374CC0" w:rsidRPr="00374CC0" w:rsidRDefault="00374CC0" w:rsidP="00374CC0">
      <w:pPr>
        <w:jc w:val="both"/>
        <w:rPr>
          <w:rFonts w:ascii="Verdana" w:hAnsi="Verdana"/>
        </w:rPr>
      </w:pPr>
      <w:r w:rsidRPr="00374CC0">
        <w:rPr>
          <w:rFonts w:ascii="Verdana" w:hAnsi="Verdana"/>
        </w:rPr>
        <w:t>Que el Instituto Colombiano de Bienestar Familiar posee dentro de su patrimonio bienes inmuebles que no requiere para su funcionamiento ni para desarrollar programas propios de su misión institucional, por lo cual se hace necesario adoptar mecanismos y procedimientos para agilizar el proceso de venta de los mismos.</w:t>
      </w:r>
    </w:p>
    <w:p w14:paraId="202BCBEF" w14:textId="7156346C" w:rsidR="00374CC0" w:rsidRPr="00374CC0" w:rsidRDefault="00374CC0" w:rsidP="00374CC0">
      <w:pPr>
        <w:jc w:val="both"/>
        <w:rPr>
          <w:rFonts w:ascii="Verdana" w:hAnsi="Verdana"/>
        </w:rPr>
      </w:pPr>
      <w:r w:rsidRPr="00374CC0">
        <w:rPr>
          <w:rFonts w:ascii="Verdana" w:hAnsi="Verdana"/>
        </w:rPr>
        <w:t>Que el Instituto Colombiano de Bienestar Familiar adoptó mediante Resolución No. 0935 del 02 de junio de 2005 la Guía para la Gestión de los Bienes del ICBF, la cual requiere de un proceso de revisión integral que se encuentra suspendido hasta tanto el Gobierno Nacional reglamente la venta de bienes de propiedad de las entidades públicas previsto en la Ley 1150 de 2007.</w:t>
      </w:r>
    </w:p>
    <w:p w14:paraId="4B3B40FA" w14:textId="77777777" w:rsidR="00374CC0" w:rsidRPr="00374CC0" w:rsidRDefault="00374CC0" w:rsidP="00374CC0">
      <w:pPr>
        <w:jc w:val="both"/>
        <w:rPr>
          <w:rFonts w:ascii="Verdana" w:hAnsi="Verdana"/>
        </w:rPr>
      </w:pPr>
      <w:proofErr w:type="gramStart"/>
      <w:r w:rsidRPr="00374CC0">
        <w:rPr>
          <w:rFonts w:ascii="Verdana" w:hAnsi="Verdana"/>
        </w:rPr>
        <w:t>Que</w:t>
      </w:r>
      <w:proofErr w:type="gramEnd"/>
      <w:r w:rsidRPr="00374CC0">
        <w:rPr>
          <w:rFonts w:ascii="Verdana" w:hAnsi="Verdana"/>
        </w:rPr>
        <w:t xml:space="preserve"> aunque el proceso de revisión esté suspendido, como se manifiesta en el considerando anterior, es indispensable mantener debidamente actualizado el Plan de Enajenación Onerosa y tomar las medidas que faciliten la inclusión de bienes en el mismo.</w:t>
      </w:r>
    </w:p>
    <w:p w14:paraId="3B3896A7" w14:textId="77777777" w:rsidR="00374CC0" w:rsidRPr="00374CC0" w:rsidRDefault="00374CC0" w:rsidP="00374CC0">
      <w:pPr>
        <w:jc w:val="both"/>
        <w:rPr>
          <w:rFonts w:ascii="Verdana" w:hAnsi="Verdana"/>
        </w:rPr>
      </w:pPr>
      <w:r w:rsidRPr="00374CC0">
        <w:rPr>
          <w:rFonts w:ascii="Verdana" w:hAnsi="Verdana"/>
        </w:rPr>
        <w:t>Que el Capítulo II de la Guía para la Gestión de los Bienes del ICBF, en su numeral 2, </w:t>
      </w:r>
      <w:r w:rsidRPr="00374CC0">
        <w:rPr>
          <w:rFonts w:ascii="Verdana" w:hAnsi="Verdana"/>
          <w:i/>
          <w:iCs/>
        </w:rPr>
        <w:t>“POLÍTICAS Y LINEAMIENTOS EN MATERIA DE BIENES INNMUEBLES”, </w:t>
      </w:r>
      <w:proofErr w:type="spellStart"/>
      <w:r w:rsidRPr="00374CC0">
        <w:rPr>
          <w:rFonts w:ascii="Verdana" w:hAnsi="Verdana"/>
        </w:rPr>
        <w:t>subnumeral</w:t>
      </w:r>
      <w:proofErr w:type="spellEnd"/>
      <w:r w:rsidRPr="00374CC0">
        <w:rPr>
          <w:rFonts w:ascii="Verdana" w:hAnsi="Verdana"/>
        </w:rPr>
        <w:t> </w:t>
      </w:r>
      <w:r w:rsidRPr="00374CC0">
        <w:rPr>
          <w:rFonts w:ascii="Verdana" w:hAnsi="Verdana"/>
          <w:i/>
          <w:iCs/>
        </w:rPr>
        <w:t>“2.23 Venta de bienes inmuebles”, </w:t>
      </w:r>
      <w:r w:rsidRPr="00374CC0">
        <w:rPr>
          <w:rFonts w:ascii="Verdana" w:hAnsi="Verdana"/>
        </w:rPr>
        <w:t>establece las </w:t>
      </w:r>
      <w:r w:rsidRPr="00374CC0">
        <w:rPr>
          <w:rFonts w:ascii="Verdana" w:hAnsi="Verdana"/>
          <w:i/>
          <w:iCs/>
        </w:rPr>
        <w:t>“Reglas básicas para iniciar lR_ICBF_1770_2008a venta del inmueble” </w:t>
      </w:r>
      <w:r w:rsidRPr="00374CC0">
        <w:rPr>
          <w:rFonts w:ascii="Verdana" w:hAnsi="Verdana"/>
        </w:rPr>
        <w:t>entre las que se encuentra: </w:t>
      </w:r>
      <w:r w:rsidRPr="00374CC0">
        <w:rPr>
          <w:rFonts w:ascii="Verdana" w:hAnsi="Verdana"/>
          <w:i/>
          <w:iCs/>
        </w:rPr>
        <w:t xml:space="preserve">“Ser de propiedad del ICBF: Folio de Matrícula Inmobiliaria </w:t>
      </w:r>
      <w:r w:rsidRPr="00374CC0">
        <w:rPr>
          <w:rFonts w:ascii="Verdana" w:hAnsi="Verdana"/>
          <w:i/>
          <w:iCs/>
        </w:rPr>
        <w:lastRenderedPageBreak/>
        <w:t xml:space="preserve">donde aparezca registrado el inmúéh1e a nombre del ICBF y sin limitaciones de dominio ni </w:t>
      </w:r>
      <w:proofErr w:type="gramStart"/>
      <w:r w:rsidRPr="00374CC0">
        <w:rPr>
          <w:rFonts w:ascii="Verdana" w:hAnsi="Verdana"/>
          <w:i/>
          <w:iCs/>
        </w:rPr>
        <w:t>gravámenes.</w:t>
      </w:r>
      <w:r w:rsidRPr="00374CC0">
        <w:rPr>
          <w:rFonts w:ascii="Verdana" w:hAnsi="Verdana"/>
        </w:rPr>
        <w:t>“</w:t>
      </w:r>
      <w:proofErr w:type="gramEnd"/>
    </w:p>
    <w:p w14:paraId="04F86AB9" w14:textId="77777777" w:rsidR="00374CC0" w:rsidRPr="00374CC0" w:rsidRDefault="00374CC0" w:rsidP="00374CC0">
      <w:pPr>
        <w:jc w:val="both"/>
        <w:rPr>
          <w:rFonts w:ascii="Verdana" w:hAnsi="Verdana"/>
        </w:rPr>
      </w:pPr>
      <w:r w:rsidRPr="00374CC0">
        <w:rPr>
          <w:rFonts w:ascii="Verdana" w:hAnsi="Verdana"/>
        </w:rPr>
        <w:t>Que, en el mismo sentido, el numeral 3° de la referida Guía, </w:t>
      </w:r>
      <w:r w:rsidRPr="00374CC0">
        <w:rPr>
          <w:rFonts w:ascii="Verdana" w:hAnsi="Verdana"/>
          <w:i/>
          <w:iCs/>
        </w:rPr>
        <w:t>“ORIENTACIONES PARA LA GESTIÓ DE LOS BIENES INMUEBLES”, </w:t>
      </w:r>
      <w:proofErr w:type="spellStart"/>
      <w:r w:rsidRPr="00374CC0">
        <w:rPr>
          <w:rFonts w:ascii="Verdana" w:hAnsi="Verdana"/>
        </w:rPr>
        <w:t>subnumerales</w:t>
      </w:r>
      <w:proofErr w:type="spellEnd"/>
      <w:r w:rsidRPr="00374CC0">
        <w:rPr>
          <w:rFonts w:ascii="Verdana" w:hAnsi="Verdana"/>
        </w:rPr>
        <w:t> </w:t>
      </w:r>
      <w:r w:rsidRPr="00374CC0">
        <w:rPr>
          <w:rFonts w:ascii="Verdana" w:hAnsi="Verdana"/>
          <w:i/>
          <w:iCs/>
        </w:rPr>
        <w:t>“3.7 Egreso de inmuebles por venta mediante sistema de martillo” y “3.8 Egreso de inmuebles por venta directa mediante procedimiento de propuesta económica en sobre cerrado…Actividades y persona responsable,</w:t>
      </w:r>
      <w:r w:rsidRPr="00374CC0">
        <w:rPr>
          <w:rFonts w:ascii="Verdana" w:hAnsi="Verdana"/>
        </w:rPr>
        <w:t> establece que se debe llevar el caso ante el Comité de Gestión de Bienes para la autorización de la venta, anexando los siguientes documentos: </w:t>
      </w:r>
      <w:r w:rsidRPr="00374CC0">
        <w:rPr>
          <w:rFonts w:ascii="Verdana" w:hAnsi="Verdana"/>
          <w:i/>
          <w:iCs/>
        </w:rPr>
        <w:t>“Estudio de títulos del inmueble mediante el cual se determine, entre otros, que el inmueble no tiene gravámenes, ni limitaciones de dominio conocidas ni registradas en el folio de matrícula inmobiliaria” y “Avalúo comercial del inmueble actualizado y vigente y acta de visita al inmueble donde conste que el inmueble se encuentra desocupado”.</w:t>
      </w:r>
    </w:p>
    <w:p w14:paraId="4922FDD1" w14:textId="77777777" w:rsidR="00374CC0" w:rsidRPr="00374CC0" w:rsidRDefault="00374CC0" w:rsidP="00374CC0">
      <w:pPr>
        <w:jc w:val="both"/>
        <w:rPr>
          <w:rFonts w:ascii="Verdana" w:hAnsi="Verdana"/>
        </w:rPr>
      </w:pPr>
      <w:proofErr w:type="gramStart"/>
      <w:r w:rsidRPr="00374CC0">
        <w:rPr>
          <w:rFonts w:ascii="Verdana" w:hAnsi="Verdana"/>
        </w:rPr>
        <w:t>Que</w:t>
      </w:r>
      <w:proofErr w:type="gramEnd"/>
      <w:r w:rsidRPr="00374CC0">
        <w:rPr>
          <w:rFonts w:ascii="Verdana" w:hAnsi="Verdana"/>
        </w:rPr>
        <w:t xml:space="preserve"> con mérito en lo anteriormente expuesto, este Despacho</w:t>
      </w:r>
    </w:p>
    <w:p w14:paraId="5E70271F" w14:textId="77777777" w:rsidR="00374CC0" w:rsidRPr="0045046C" w:rsidRDefault="00374CC0" w:rsidP="00374CC0">
      <w:pPr>
        <w:jc w:val="center"/>
        <w:rPr>
          <w:rFonts w:ascii="Verdana" w:hAnsi="Verdana"/>
          <w:b/>
          <w:bCs/>
        </w:rPr>
      </w:pPr>
      <w:r w:rsidRPr="0045046C">
        <w:rPr>
          <w:rFonts w:ascii="Verdana" w:hAnsi="Verdana"/>
          <w:b/>
          <w:bCs/>
        </w:rPr>
        <w:t>RESUELVE:</w:t>
      </w:r>
    </w:p>
    <w:p w14:paraId="0F99B532" w14:textId="46524DEF" w:rsidR="00374CC0" w:rsidRPr="00374CC0" w:rsidRDefault="00374CC0" w:rsidP="00374CC0">
      <w:pPr>
        <w:jc w:val="both"/>
        <w:rPr>
          <w:rFonts w:ascii="Verdana" w:hAnsi="Verdana"/>
        </w:rPr>
      </w:pPr>
      <w:bookmarkStart w:id="0" w:name="1"/>
      <w:r w:rsidRPr="00374CC0">
        <w:rPr>
          <w:rFonts w:ascii="Verdana" w:hAnsi="Verdana"/>
          <w:b/>
          <w:bCs/>
        </w:rPr>
        <w:t>ARTÍCULO 1o.</w:t>
      </w:r>
      <w:bookmarkEnd w:id="0"/>
      <w:r w:rsidRPr="00374CC0">
        <w:rPr>
          <w:rFonts w:ascii="Verdana" w:hAnsi="Verdana"/>
        </w:rPr>
        <w:t> </w:t>
      </w:r>
      <w:r w:rsidR="0032081C" w:rsidRPr="00374CC0">
        <w:rPr>
          <w:rFonts w:ascii="Verdana" w:hAnsi="Verdana"/>
        </w:rPr>
        <w:t xml:space="preserve"> </w:t>
      </w:r>
      <w:r w:rsidRPr="00374CC0">
        <w:rPr>
          <w:rFonts w:ascii="Verdana" w:hAnsi="Verdana"/>
        </w:rPr>
        <w:t>Modificar parcialmente la Guía para la Gestión de los Bienes en el ICBF, así:</w:t>
      </w:r>
    </w:p>
    <w:p w14:paraId="16C8E5FB" w14:textId="77777777" w:rsidR="00374CC0" w:rsidRPr="00374CC0" w:rsidRDefault="00374CC0" w:rsidP="00374CC0">
      <w:pPr>
        <w:jc w:val="both"/>
        <w:rPr>
          <w:rFonts w:ascii="Verdana" w:hAnsi="Verdana"/>
        </w:rPr>
      </w:pPr>
      <w:r w:rsidRPr="00374CC0">
        <w:rPr>
          <w:rFonts w:ascii="Verdana" w:hAnsi="Verdana"/>
        </w:rPr>
        <w:t>Capítulo II. BIENES INMUEBLES.</w:t>
      </w:r>
    </w:p>
    <w:p w14:paraId="342B851B" w14:textId="77777777" w:rsidR="00374CC0" w:rsidRPr="00374CC0" w:rsidRDefault="00374CC0" w:rsidP="00374CC0">
      <w:pPr>
        <w:jc w:val="both"/>
        <w:rPr>
          <w:rFonts w:ascii="Verdana" w:hAnsi="Verdana"/>
        </w:rPr>
      </w:pPr>
      <w:r w:rsidRPr="00374CC0">
        <w:rPr>
          <w:rFonts w:ascii="Verdana" w:hAnsi="Verdana"/>
        </w:rPr>
        <w:t>2° POLÍTICAS Y LINEAMIENTOS EN MATERIA DE BIENES INMUEBLES.</w:t>
      </w:r>
    </w:p>
    <w:p w14:paraId="049E3C1F" w14:textId="77777777" w:rsidR="00374CC0" w:rsidRPr="00374CC0" w:rsidRDefault="00374CC0" w:rsidP="00374CC0">
      <w:pPr>
        <w:jc w:val="both"/>
        <w:rPr>
          <w:rFonts w:ascii="Verdana" w:hAnsi="Verdana"/>
        </w:rPr>
      </w:pPr>
      <w:r w:rsidRPr="00374CC0">
        <w:rPr>
          <w:rFonts w:ascii="Verdana" w:hAnsi="Verdana"/>
        </w:rPr>
        <w:t>2.23 Venta de bienes inmuebles.</w:t>
      </w:r>
    </w:p>
    <w:p w14:paraId="45752689" w14:textId="77777777" w:rsidR="00374CC0" w:rsidRPr="00374CC0" w:rsidRDefault="00374CC0" w:rsidP="00374CC0">
      <w:pPr>
        <w:numPr>
          <w:ilvl w:val="0"/>
          <w:numId w:val="1"/>
        </w:numPr>
        <w:jc w:val="both"/>
        <w:rPr>
          <w:rFonts w:ascii="Verdana" w:hAnsi="Verdana"/>
        </w:rPr>
      </w:pPr>
      <w:r w:rsidRPr="00374CC0">
        <w:rPr>
          <w:rFonts w:ascii="Verdana" w:hAnsi="Verdana"/>
        </w:rPr>
        <w:t>Reglas básicas para iniciar la venta de un inmueble</w:t>
      </w:r>
    </w:p>
    <w:p w14:paraId="3A54353B" w14:textId="77777777" w:rsidR="00374CC0" w:rsidRPr="00374CC0" w:rsidRDefault="00374CC0" w:rsidP="00374CC0">
      <w:pPr>
        <w:numPr>
          <w:ilvl w:val="0"/>
          <w:numId w:val="1"/>
        </w:numPr>
        <w:jc w:val="both"/>
        <w:rPr>
          <w:rFonts w:ascii="Verdana" w:hAnsi="Verdana"/>
        </w:rPr>
      </w:pPr>
      <w:r w:rsidRPr="00374CC0">
        <w:rPr>
          <w:rFonts w:ascii="Verdana" w:hAnsi="Verdana"/>
          <w:b/>
          <w:bCs/>
        </w:rPr>
        <w:t>Ser de propiedad del ICBF: Folio de matrícula inmobiliaria donde aparezca registrado el inmueble a nombre del ICBF y donde conste que dicho bien no se encuentra fuera del comercio.</w:t>
      </w:r>
    </w:p>
    <w:p w14:paraId="4B8ADBA5" w14:textId="77777777" w:rsidR="00374CC0" w:rsidRPr="00374CC0" w:rsidRDefault="00374CC0" w:rsidP="00374CC0">
      <w:pPr>
        <w:jc w:val="both"/>
        <w:rPr>
          <w:rFonts w:ascii="Verdana" w:hAnsi="Verdana"/>
        </w:rPr>
      </w:pPr>
      <w:r w:rsidRPr="00374CC0">
        <w:rPr>
          <w:rFonts w:ascii="Verdana" w:hAnsi="Verdana"/>
        </w:rPr>
        <w:t>Capítulo III. BIENES INMUEBLES</w:t>
      </w:r>
    </w:p>
    <w:p w14:paraId="29192029" w14:textId="77777777" w:rsidR="00374CC0" w:rsidRPr="00374CC0" w:rsidRDefault="00374CC0" w:rsidP="00374CC0">
      <w:pPr>
        <w:jc w:val="both"/>
        <w:rPr>
          <w:rFonts w:ascii="Verdana" w:hAnsi="Verdana"/>
        </w:rPr>
      </w:pPr>
      <w:r w:rsidRPr="00374CC0">
        <w:rPr>
          <w:rFonts w:ascii="Verdana" w:hAnsi="Verdana"/>
        </w:rPr>
        <w:t>3° ORIENTACIONES PARA LA GESTION DE LOS BIENES INMUEBLES.</w:t>
      </w:r>
    </w:p>
    <w:p w14:paraId="43F388DB" w14:textId="77777777" w:rsidR="00374CC0" w:rsidRPr="00374CC0" w:rsidRDefault="00374CC0" w:rsidP="00374CC0">
      <w:pPr>
        <w:jc w:val="both"/>
        <w:rPr>
          <w:rFonts w:ascii="Verdana" w:hAnsi="Verdana"/>
        </w:rPr>
      </w:pPr>
      <w:r w:rsidRPr="00374CC0">
        <w:rPr>
          <w:rFonts w:ascii="Verdana" w:hAnsi="Verdana"/>
        </w:rPr>
        <w:t>Egreso de inmuebles por venta mediante sistema de martillo</w:t>
      </w:r>
    </w:p>
    <w:p w14:paraId="70D609BB" w14:textId="77777777" w:rsidR="00374CC0" w:rsidRPr="00374CC0" w:rsidRDefault="00374CC0" w:rsidP="00374CC0">
      <w:pPr>
        <w:jc w:val="both"/>
        <w:rPr>
          <w:rFonts w:ascii="Verdana" w:hAnsi="Verdana"/>
        </w:rPr>
      </w:pPr>
      <w:r w:rsidRPr="00374CC0">
        <w:rPr>
          <w:rFonts w:ascii="Verdana" w:hAnsi="Verdana"/>
        </w:rPr>
        <w:t>Actividades y persona responsable</w:t>
      </w:r>
    </w:p>
    <w:p w14:paraId="5E403268" w14:textId="77777777" w:rsidR="00374CC0" w:rsidRPr="00374CC0" w:rsidRDefault="00374CC0" w:rsidP="00374CC0">
      <w:pPr>
        <w:numPr>
          <w:ilvl w:val="0"/>
          <w:numId w:val="2"/>
        </w:numPr>
        <w:jc w:val="both"/>
        <w:rPr>
          <w:rFonts w:ascii="Verdana" w:hAnsi="Verdana"/>
        </w:rPr>
      </w:pPr>
      <w:r w:rsidRPr="00374CC0">
        <w:rPr>
          <w:rFonts w:ascii="Verdana" w:hAnsi="Verdana"/>
          <w:b/>
          <w:bCs/>
        </w:rPr>
        <w:t>Estudio de títulos del inmueble mediante el cual se determine que el inmueble no se encuentra fuera del comercio”,</w:t>
      </w:r>
    </w:p>
    <w:p w14:paraId="5FDABA23" w14:textId="77777777" w:rsidR="00374CC0" w:rsidRPr="00374CC0" w:rsidRDefault="00374CC0" w:rsidP="00374CC0">
      <w:pPr>
        <w:jc w:val="both"/>
        <w:rPr>
          <w:rFonts w:ascii="Verdana" w:hAnsi="Verdana"/>
        </w:rPr>
      </w:pPr>
      <w:r w:rsidRPr="00374CC0">
        <w:rPr>
          <w:rFonts w:ascii="Verdana" w:hAnsi="Verdana"/>
        </w:rPr>
        <w:t xml:space="preserve">Egreso de inmuebles por venta directa mediante procedimiento de </w:t>
      </w:r>
      <w:proofErr w:type="gramStart"/>
      <w:r w:rsidRPr="00374CC0">
        <w:rPr>
          <w:rFonts w:ascii="Verdana" w:hAnsi="Verdana"/>
        </w:rPr>
        <w:t>propuesta  económica</w:t>
      </w:r>
      <w:proofErr w:type="gramEnd"/>
      <w:r w:rsidRPr="00374CC0">
        <w:rPr>
          <w:rFonts w:ascii="Verdana" w:hAnsi="Verdana"/>
        </w:rPr>
        <w:t xml:space="preserve"> en sobre cerrado</w:t>
      </w:r>
    </w:p>
    <w:p w14:paraId="6523C24E" w14:textId="77777777" w:rsidR="00374CC0" w:rsidRPr="00374CC0" w:rsidRDefault="00374CC0" w:rsidP="00374CC0">
      <w:pPr>
        <w:jc w:val="both"/>
        <w:rPr>
          <w:rFonts w:ascii="Verdana" w:hAnsi="Verdana"/>
        </w:rPr>
      </w:pPr>
      <w:r w:rsidRPr="00374CC0">
        <w:rPr>
          <w:rFonts w:ascii="Verdana" w:hAnsi="Verdana"/>
        </w:rPr>
        <w:t>Actividades y persona responsable</w:t>
      </w:r>
    </w:p>
    <w:p w14:paraId="27E21243" w14:textId="77777777" w:rsidR="00374CC0" w:rsidRPr="00374CC0" w:rsidRDefault="00374CC0" w:rsidP="00374CC0">
      <w:pPr>
        <w:numPr>
          <w:ilvl w:val="0"/>
          <w:numId w:val="3"/>
        </w:numPr>
        <w:jc w:val="both"/>
        <w:rPr>
          <w:rFonts w:ascii="Verdana" w:hAnsi="Verdana"/>
        </w:rPr>
      </w:pPr>
      <w:r w:rsidRPr="00374CC0">
        <w:rPr>
          <w:rFonts w:ascii="Verdana" w:hAnsi="Verdana"/>
          <w:b/>
          <w:bCs/>
        </w:rPr>
        <w:t>Estudio de títulos del inmueble mediante el cual se determine que el inmueble no se encuentra fuera del comercio.</w:t>
      </w:r>
    </w:p>
    <w:p w14:paraId="7DA7D0A6" w14:textId="3DF3CEBC" w:rsidR="00374CC0" w:rsidRPr="00374CC0" w:rsidRDefault="00374CC0" w:rsidP="00374CC0">
      <w:pPr>
        <w:numPr>
          <w:ilvl w:val="0"/>
          <w:numId w:val="3"/>
        </w:numPr>
        <w:jc w:val="both"/>
        <w:rPr>
          <w:rFonts w:ascii="Verdana" w:hAnsi="Verdana"/>
        </w:rPr>
      </w:pPr>
      <w:r w:rsidRPr="00374CC0">
        <w:rPr>
          <w:rFonts w:ascii="Verdana" w:hAnsi="Verdana"/>
          <w:b/>
          <w:bCs/>
        </w:rPr>
        <w:lastRenderedPageBreak/>
        <w:t>Avalúo Comercial del inmueble actualizado y vigente.</w:t>
      </w:r>
    </w:p>
    <w:p w14:paraId="51C5FBCE" w14:textId="48CDD7D6" w:rsidR="00374CC0" w:rsidRPr="00374CC0" w:rsidRDefault="00374CC0" w:rsidP="00374CC0">
      <w:pPr>
        <w:jc w:val="both"/>
        <w:rPr>
          <w:rFonts w:ascii="Verdana" w:hAnsi="Verdana"/>
        </w:rPr>
      </w:pPr>
      <w:bookmarkStart w:id="1" w:name="2"/>
      <w:r w:rsidRPr="00374CC0">
        <w:rPr>
          <w:rFonts w:ascii="Verdana" w:hAnsi="Verdana"/>
          <w:b/>
          <w:bCs/>
        </w:rPr>
        <w:t>ARTÍCULO 2o.</w:t>
      </w:r>
      <w:bookmarkEnd w:id="1"/>
      <w:r w:rsidRPr="00374CC0">
        <w:rPr>
          <w:rFonts w:ascii="Verdana" w:hAnsi="Verdana"/>
        </w:rPr>
        <w:t xml:space="preserve"> Las demás disposiciones de la Guía para la Gestión de los Bienes en el </w:t>
      </w:r>
      <w:proofErr w:type="gramStart"/>
      <w:r w:rsidRPr="00374CC0">
        <w:rPr>
          <w:rFonts w:ascii="Verdana" w:hAnsi="Verdana"/>
        </w:rPr>
        <w:t>ICBF,</w:t>
      </w:r>
      <w:proofErr w:type="gramEnd"/>
      <w:r w:rsidRPr="00374CC0">
        <w:rPr>
          <w:rFonts w:ascii="Verdana" w:hAnsi="Verdana"/>
        </w:rPr>
        <w:t xml:space="preserve"> continúan vigentes.</w:t>
      </w:r>
    </w:p>
    <w:p w14:paraId="335A0114" w14:textId="53156D10" w:rsidR="00374CC0" w:rsidRPr="00374CC0" w:rsidRDefault="00374CC0" w:rsidP="00374CC0">
      <w:pPr>
        <w:jc w:val="both"/>
        <w:rPr>
          <w:rFonts w:ascii="Verdana" w:hAnsi="Verdana"/>
        </w:rPr>
      </w:pPr>
      <w:bookmarkStart w:id="2" w:name="3"/>
      <w:r w:rsidRPr="00374CC0">
        <w:rPr>
          <w:rFonts w:ascii="Verdana" w:hAnsi="Verdana"/>
          <w:b/>
          <w:bCs/>
        </w:rPr>
        <w:t>ARTÍCULO 3o. VIGENCIA Y DEROGATORIAS.</w:t>
      </w:r>
      <w:bookmarkEnd w:id="2"/>
      <w:r w:rsidRPr="00374CC0">
        <w:rPr>
          <w:rFonts w:ascii="Verdana" w:hAnsi="Verdana"/>
        </w:rPr>
        <w:t> </w:t>
      </w:r>
      <w:r w:rsidR="0032081C">
        <w:rPr>
          <w:rFonts w:ascii="Verdana" w:hAnsi="Verdana"/>
        </w:rPr>
        <w:t>[</w:t>
      </w:r>
      <w:r w:rsidRPr="0032081C">
        <w:rPr>
          <w:rFonts w:ascii="Verdana" w:hAnsi="Verdana"/>
        </w:rPr>
        <w:t>Resolución derogada por el artículo 1 de la Resolución 1550 de 2012</w:t>
      </w:r>
      <w:r w:rsidR="0032081C">
        <w:rPr>
          <w:rFonts w:ascii="Verdana" w:hAnsi="Verdana"/>
        </w:rPr>
        <w:t>]</w:t>
      </w:r>
      <w:r w:rsidRPr="0032081C">
        <w:rPr>
          <w:rFonts w:ascii="Verdana" w:hAnsi="Verdana"/>
        </w:rPr>
        <w:t> </w:t>
      </w:r>
      <w:r w:rsidRPr="00374CC0">
        <w:rPr>
          <w:rFonts w:ascii="Verdana" w:hAnsi="Verdana"/>
        </w:rPr>
        <w:t>La presente Resolución rige a partir de su publicación y deroga todas las disposiciones que le sean contrarias.</w:t>
      </w:r>
    </w:p>
    <w:p w14:paraId="1EE81DAE" w14:textId="77777777" w:rsidR="00374CC0" w:rsidRPr="0032081C" w:rsidRDefault="00374CC0" w:rsidP="00374CC0">
      <w:pPr>
        <w:jc w:val="center"/>
        <w:rPr>
          <w:rFonts w:ascii="Verdana" w:hAnsi="Verdana"/>
          <w:b/>
          <w:bCs/>
        </w:rPr>
      </w:pPr>
      <w:r w:rsidRPr="0032081C">
        <w:rPr>
          <w:rFonts w:ascii="Verdana" w:hAnsi="Verdana"/>
          <w:b/>
          <w:bCs/>
        </w:rPr>
        <w:t>PUBLÍQUESE Y CÚMPLASE.</w:t>
      </w:r>
    </w:p>
    <w:p w14:paraId="49C765A4" w14:textId="3F774ABB" w:rsidR="00374CC0" w:rsidRPr="00374CC0" w:rsidRDefault="00374CC0" w:rsidP="00374CC0">
      <w:pPr>
        <w:jc w:val="center"/>
        <w:rPr>
          <w:rFonts w:ascii="Verdana" w:hAnsi="Verdana"/>
        </w:rPr>
      </w:pPr>
      <w:r w:rsidRPr="00374CC0">
        <w:rPr>
          <w:rFonts w:ascii="Verdana" w:hAnsi="Verdana"/>
        </w:rPr>
        <w:t xml:space="preserve">Dada en </w:t>
      </w:r>
      <w:proofErr w:type="spellStart"/>
      <w:r w:rsidRPr="00374CC0">
        <w:rPr>
          <w:rFonts w:ascii="Verdana" w:hAnsi="Verdana"/>
        </w:rPr>
        <w:t>Bogota</w:t>
      </w:r>
      <w:proofErr w:type="spellEnd"/>
      <w:r w:rsidRPr="00374CC0">
        <w:rPr>
          <w:rFonts w:ascii="Verdana" w:hAnsi="Verdana"/>
        </w:rPr>
        <w:t xml:space="preserve">, D. C, </w:t>
      </w:r>
      <w:proofErr w:type="gramStart"/>
      <w:r w:rsidRPr="00374CC0">
        <w:rPr>
          <w:rFonts w:ascii="Verdana" w:hAnsi="Verdana"/>
        </w:rPr>
        <w:t xml:space="preserve">a los </w:t>
      </w:r>
      <w:r>
        <w:rPr>
          <w:rFonts w:ascii="Verdana" w:hAnsi="Verdana"/>
        </w:rPr>
        <w:t>7 de mayo de 2008</w:t>
      </w:r>
      <w:proofErr w:type="gramEnd"/>
    </w:p>
    <w:p w14:paraId="01931EB9" w14:textId="77777777" w:rsidR="00374CC0" w:rsidRPr="00374CC0" w:rsidRDefault="00374CC0" w:rsidP="00374CC0">
      <w:pPr>
        <w:jc w:val="center"/>
        <w:rPr>
          <w:rFonts w:ascii="Verdana" w:hAnsi="Verdana"/>
        </w:rPr>
      </w:pPr>
      <w:r w:rsidRPr="00374CC0">
        <w:rPr>
          <w:rFonts w:ascii="Verdana" w:hAnsi="Verdana"/>
          <w:b/>
          <w:bCs/>
        </w:rPr>
        <w:t>ELVIRA FORERO HERNANDEZ</w:t>
      </w:r>
    </w:p>
    <w:p w14:paraId="040E4008" w14:textId="77777777" w:rsidR="00374CC0" w:rsidRPr="00374CC0" w:rsidRDefault="00374CC0" w:rsidP="00374CC0">
      <w:pPr>
        <w:jc w:val="center"/>
        <w:rPr>
          <w:rFonts w:ascii="Verdana" w:hAnsi="Verdana"/>
        </w:rPr>
      </w:pPr>
      <w:r w:rsidRPr="00374CC0">
        <w:rPr>
          <w:rFonts w:ascii="Verdana" w:hAnsi="Verdana"/>
        </w:rPr>
        <w:t>Directora General</w:t>
      </w:r>
    </w:p>
    <w:p w14:paraId="2AB4FCF4" w14:textId="77777777" w:rsidR="004648F7" w:rsidRPr="00374CC0" w:rsidRDefault="004648F7" w:rsidP="00374CC0">
      <w:pPr>
        <w:jc w:val="center"/>
        <w:rPr>
          <w:rFonts w:ascii="Verdana" w:hAnsi="Verdana"/>
        </w:rPr>
      </w:pPr>
    </w:p>
    <w:sectPr w:rsidR="004648F7" w:rsidRPr="00374C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CA7"/>
    <w:multiLevelType w:val="multilevel"/>
    <w:tmpl w:val="7F36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E7B19"/>
    <w:multiLevelType w:val="multilevel"/>
    <w:tmpl w:val="90D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C5BC4"/>
    <w:multiLevelType w:val="multilevel"/>
    <w:tmpl w:val="858E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273164">
    <w:abstractNumId w:val="1"/>
  </w:num>
  <w:num w:numId="2" w16cid:durableId="1397432098">
    <w:abstractNumId w:val="0"/>
  </w:num>
  <w:num w:numId="3" w16cid:durableId="332341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00"/>
    <w:rsid w:val="0015771F"/>
    <w:rsid w:val="0032081C"/>
    <w:rsid w:val="00374CC0"/>
    <w:rsid w:val="0045046C"/>
    <w:rsid w:val="004648F7"/>
    <w:rsid w:val="00577700"/>
    <w:rsid w:val="00C44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FCCF"/>
  <w15:chartTrackingRefBased/>
  <w15:docId w15:val="{0F520979-083C-4CB4-B80C-9084EC52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4CC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74CC0"/>
    <w:rPr>
      <w:color w:val="0563C1" w:themeColor="hyperlink"/>
      <w:u w:val="single"/>
    </w:rPr>
  </w:style>
  <w:style w:type="character" w:styleId="Mencinsinresolver">
    <w:name w:val="Unresolved Mention"/>
    <w:basedOn w:val="Fuentedeprrafopredeter"/>
    <w:uiPriority w:val="99"/>
    <w:semiHidden/>
    <w:unhideWhenUsed/>
    <w:rsid w:val="00374CC0"/>
    <w:rPr>
      <w:color w:val="605E5C"/>
      <w:shd w:val="clear" w:color="auto" w:fill="E1DFDD"/>
    </w:rPr>
  </w:style>
  <w:style w:type="paragraph" w:styleId="Sinespaciado">
    <w:name w:val="No Spacing"/>
    <w:uiPriority w:val="1"/>
    <w:qFormat/>
    <w:rsid w:val="00320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554">
      <w:bodyDiv w:val="1"/>
      <w:marLeft w:val="0"/>
      <w:marRight w:val="0"/>
      <w:marTop w:val="0"/>
      <w:marBottom w:val="0"/>
      <w:divBdr>
        <w:top w:val="none" w:sz="0" w:space="0" w:color="auto"/>
        <w:left w:val="none" w:sz="0" w:space="0" w:color="auto"/>
        <w:bottom w:val="none" w:sz="0" w:space="0" w:color="auto"/>
        <w:right w:val="none" w:sz="0" w:space="0" w:color="auto"/>
      </w:divBdr>
    </w:div>
    <w:div w:id="98523988">
      <w:bodyDiv w:val="1"/>
      <w:marLeft w:val="0"/>
      <w:marRight w:val="0"/>
      <w:marTop w:val="0"/>
      <w:marBottom w:val="0"/>
      <w:divBdr>
        <w:top w:val="none" w:sz="0" w:space="0" w:color="auto"/>
        <w:left w:val="none" w:sz="0" w:space="0" w:color="auto"/>
        <w:bottom w:val="none" w:sz="0" w:space="0" w:color="auto"/>
        <w:right w:val="none" w:sz="0" w:space="0" w:color="auto"/>
      </w:divBdr>
    </w:div>
    <w:div w:id="395010366">
      <w:bodyDiv w:val="1"/>
      <w:marLeft w:val="0"/>
      <w:marRight w:val="0"/>
      <w:marTop w:val="0"/>
      <w:marBottom w:val="0"/>
      <w:divBdr>
        <w:top w:val="none" w:sz="0" w:space="0" w:color="auto"/>
        <w:left w:val="none" w:sz="0" w:space="0" w:color="auto"/>
        <w:bottom w:val="none" w:sz="0" w:space="0" w:color="auto"/>
        <w:right w:val="none" w:sz="0" w:space="0" w:color="auto"/>
      </w:divBdr>
      <w:divsChild>
        <w:div w:id="524095870">
          <w:marLeft w:val="0"/>
          <w:marRight w:val="0"/>
          <w:marTop w:val="0"/>
          <w:marBottom w:val="0"/>
          <w:divBdr>
            <w:top w:val="none" w:sz="0" w:space="0" w:color="auto"/>
            <w:left w:val="none" w:sz="0" w:space="0" w:color="auto"/>
            <w:bottom w:val="none" w:sz="0" w:space="0" w:color="auto"/>
            <w:right w:val="none" w:sz="0" w:space="0" w:color="auto"/>
          </w:divBdr>
        </w:div>
      </w:divsChild>
    </w:div>
    <w:div w:id="402987857">
      <w:bodyDiv w:val="1"/>
      <w:marLeft w:val="0"/>
      <w:marRight w:val="0"/>
      <w:marTop w:val="0"/>
      <w:marBottom w:val="0"/>
      <w:divBdr>
        <w:top w:val="none" w:sz="0" w:space="0" w:color="auto"/>
        <w:left w:val="none" w:sz="0" w:space="0" w:color="auto"/>
        <w:bottom w:val="none" w:sz="0" w:space="0" w:color="auto"/>
        <w:right w:val="none" w:sz="0" w:space="0" w:color="auto"/>
      </w:divBdr>
      <w:divsChild>
        <w:div w:id="2051103010">
          <w:marLeft w:val="0"/>
          <w:marRight w:val="0"/>
          <w:marTop w:val="0"/>
          <w:marBottom w:val="0"/>
          <w:divBdr>
            <w:top w:val="none" w:sz="0" w:space="0" w:color="auto"/>
            <w:left w:val="none" w:sz="0" w:space="0" w:color="auto"/>
            <w:bottom w:val="none" w:sz="0" w:space="0" w:color="auto"/>
            <w:right w:val="none" w:sz="0" w:space="0" w:color="auto"/>
          </w:divBdr>
        </w:div>
      </w:divsChild>
    </w:div>
    <w:div w:id="456261683">
      <w:bodyDiv w:val="1"/>
      <w:marLeft w:val="0"/>
      <w:marRight w:val="0"/>
      <w:marTop w:val="0"/>
      <w:marBottom w:val="0"/>
      <w:divBdr>
        <w:top w:val="none" w:sz="0" w:space="0" w:color="auto"/>
        <w:left w:val="none" w:sz="0" w:space="0" w:color="auto"/>
        <w:bottom w:val="none" w:sz="0" w:space="0" w:color="auto"/>
        <w:right w:val="none" w:sz="0" w:space="0" w:color="auto"/>
      </w:divBdr>
    </w:div>
    <w:div w:id="664864409">
      <w:bodyDiv w:val="1"/>
      <w:marLeft w:val="0"/>
      <w:marRight w:val="0"/>
      <w:marTop w:val="0"/>
      <w:marBottom w:val="0"/>
      <w:divBdr>
        <w:top w:val="none" w:sz="0" w:space="0" w:color="auto"/>
        <w:left w:val="none" w:sz="0" w:space="0" w:color="auto"/>
        <w:bottom w:val="none" w:sz="0" w:space="0" w:color="auto"/>
        <w:right w:val="none" w:sz="0" w:space="0" w:color="auto"/>
      </w:divBdr>
    </w:div>
    <w:div w:id="1107697461">
      <w:bodyDiv w:val="1"/>
      <w:marLeft w:val="0"/>
      <w:marRight w:val="0"/>
      <w:marTop w:val="0"/>
      <w:marBottom w:val="0"/>
      <w:divBdr>
        <w:top w:val="none" w:sz="0" w:space="0" w:color="auto"/>
        <w:left w:val="none" w:sz="0" w:space="0" w:color="auto"/>
        <w:bottom w:val="none" w:sz="0" w:space="0" w:color="auto"/>
        <w:right w:val="none" w:sz="0" w:space="0" w:color="auto"/>
      </w:divBdr>
    </w:div>
    <w:div w:id="1197428001">
      <w:bodyDiv w:val="1"/>
      <w:marLeft w:val="0"/>
      <w:marRight w:val="0"/>
      <w:marTop w:val="0"/>
      <w:marBottom w:val="0"/>
      <w:divBdr>
        <w:top w:val="none" w:sz="0" w:space="0" w:color="auto"/>
        <w:left w:val="none" w:sz="0" w:space="0" w:color="auto"/>
        <w:bottom w:val="none" w:sz="0" w:space="0" w:color="auto"/>
        <w:right w:val="none" w:sz="0" w:space="0" w:color="auto"/>
      </w:divBdr>
    </w:div>
    <w:div w:id="1798524941">
      <w:bodyDiv w:val="1"/>
      <w:marLeft w:val="0"/>
      <w:marRight w:val="0"/>
      <w:marTop w:val="0"/>
      <w:marBottom w:val="0"/>
      <w:divBdr>
        <w:top w:val="none" w:sz="0" w:space="0" w:color="auto"/>
        <w:left w:val="none" w:sz="0" w:space="0" w:color="auto"/>
        <w:bottom w:val="none" w:sz="0" w:space="0" w:color="auto"/>
        <w:right w:val="none" w:sz="0" w:space="0" w:color="auto"/>
      </w:divBdr>
    </w:div>
    <w:div w:id="18799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8D1BB-F0C4-4C99-B326-A94894FE462A}"/>
</file>

<file path=customXml/itemProps2.xml><?xml version="1.0" encoding="utf-8"?>
<ds:datastoreItem xmlns:ds="http://schemas.openxmlformats.org/officeDocument/2006/customXml" ds:itemID="{3BE9252E-F67A-453D-B210-44E1184E6BB7}"/>
</file>

<file path=customXml/itemProps3.xml><?xml version="1.0" encoding="utf-8"?>
<ds:datastoreItem xmlns:ds="http://schemas.openxmlformats.org/officeDocument/2006/customXml" ds:itemID="{87302B1F-400A-46F7-AF03-33F83DB55D82}"/>
</file>

<file path=docProps/app.xml><?xml version="1.0" encoding="utf-8"?>
<Properties xmlns="http://schemas.openxmlformats.org/officeDocument/2006/extended-properties" xmlns:vt="http://schemas.openxmlformats.org/officeDocument/2006/docPropsVTypes">
  <Template>Normal</Template>
  <TotalTime>3</TotalTime>
  <Pages>1</Pages>
  <Words>754</Words>
  <Characters>3887</Characters>
  <Application>Microsoft Office Word</Application>
  <DocSecurity>0</DocSecurity>
  <Lines>84</Lines>
  <Paragraphs>47</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2025-12-04T19:12:00Z</dcterms:created>
  <dcterms:modified xsi:type="dcterms:W3CDTF">2026-01-22T20:05:00Z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