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54DBC7B9" w:rsidR="00BD6908" w:rsidRDefault="00D768E5"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D768E5">
        <w:rPr>
          <w:rFonts w:ascii="Verdana" w:eastAsia="Times New Roman" w:hAnsi="Verdana" w:cs="Times New Roman"/>
          <w:b/>
          <w:bCs/>
          <w:color w:val="000000" w:themeColor="text1"/>
          <w:spacing w:val="2"/>
          <w:kern w:val="0"/>
          <w:sz w:val="22"/>
          <w:szCs w:val="22"/>
          <w:lang w:eastAsia="es-ES_tradnl"/>
          <w14:ligatures w14:val="none"/>
        </w:rPr>
        <w:t>RESOLUCIÓN 1641 DE 2006</w:t>
      </w:r>
    </w:p>
    <w:p w14:paraId="05EEECB4" w14:textId="77777777" w:rsidR="00D768E5" w:rsidRPr="009A4B1D" w:rsidRDefault="00D768E5"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2C4031F2" w14:textId="77777777" w:rsidR="00AC7D97" w:rsidRPr="00AC7D97" w:rsidRDefault="00AC7D97" w:rsidP="00AC7D97">
      <w:pPr>
        <w:pStyle w:val="Sinespaciado"/>
        <w:rPr>
          <w:rFonts w:ascii="Verdana" w:hAnsi="Verdana"/>
          <w:sz w:val="20"/>
          <w:szCs w:val="20"/>
          <w:lang w:eastAsia="es-ES_tradnl"/>
        </w:rPr>
      </w:pPr>
      <w:r w:rsidRPr="00AC7D97">
        <w:rPr>
          <w:rFonts w:ascii="Verdana" w:hAnsi="Verdana"/>
          <w:sz w:val="20"/>
          <w:szCs w:val="20"/>
          <w:lang w:eastAsia="es-ES_tradnl"/>
        </w:rPr>
        <w:t>Fecha de Expedición: 12 de julio de 2006</w:t>
      </w:r>
    </w:p>
    <w:p w14:paraId="35C8C8BD" w14:textId="77777777" w:rsidR="00AC7D97" w:rsidRPr="00AC7D97" w:rsidRDefault="00AC7D97" w:rsidP="00AC7D97">
      <w:pPr>
        <w:pStyle w:val="Sinespaciado"/>
        <w:rPr>
          <w:rFonts w:ascii="Verdana" w:hAnsi="Verdana"/>
          <w:sz w:val="20"/>
          <w:szCs w:val="20"/>
          <w:lang w:eastAsia="es-ES_tradnl"/>
        </w:rPr>
      </w:pPr>
      <w:r w:rsidRPr="00AC7D97">
        <w:rPr>
          <w:rFonts w:ascii="Verdana" w:hAnsi="Verdana"/>
          <w:sz w:val="20"/>
          <w:szCs w:val="20"/>
          <w:lang w:eastAsia="es-ES_tradnl"/>
        </w:rPr>
        <w:t xml:space="preserve">Fecha de entrada en vigencia: 12 de julio de 2006. </w:t>
      </w:r>
    </w:p>
    <w:p w14:paraId="76340A63" w14:textId="4603A0E2" w:rsidR="00AC7D97" w:rsidRDefault="00AC7D97" w:rsidP="00AC7D97">
      <w:pPr>
        <w:pStyle w:val="Sinespaciado"/>
        <w:rPr>
          <w:rFonts w:ascii="Verdana" w:hAnsi="Verdana"/>
          <w:sz w:val="20"/>
          <w:szCs w:val="20"/>
          <w:lang w:eastAsia="es-ES_tradnl"/>
        </w:rPr>
      </w:pPr>
      <w:r w:rsidRPr="00AC7D97">
        <w:rPr>
          <w:rFonts w:ascii="Verdana" w:hAnsi="Verdana"/>
          <w:sz w:val="20"/>
          <w:szCs w:val="20"/>
          <w:lang w:eastAsia="es-ES_tradnl"/>
        </w:rPr>
        <w:t>Estado de la vigencia: Subrogada por la Resolución 2310 de 19 de septiembre de 2007.</w:t>
      </w:r>
      <w:r w:rsidRPr="00AC7D97">
        <w:rPr>
          <w:rFonts w:ascii="Verdana" w:hAnsi="Verdana"/>
          <w:sz w:val="20"/>
          <w:szCs w:val="20"/>
          <w:lang w:eastAsia="es-ES_tradnl"/>
        </w:rPr>
        <w:tab/>
      </w:r>
    </w:p>
    <w:p w14:paraId="433AFD83" w14:textId="77777777" w:rsidR="00AC7D97" w:rsidRDefault="00AC7D97" w:rsidP="00AC7D97">
      <w:pPr>
        <w:pStyle w:val="Sinespaciado"/>
        <w:rPr>
          <w:rFonts w:ascii="Verdana" w:hAnsi="Verdana"/>
          <w:sz w:val="20"/>
          <w:szCs w:val="20"/>
          <w:lang w:eastAsia="es-ES_tradnl"/>
        </w:rPr>
      </w:pPr>
    </w:p>
    <w:p w14:paraId="4004910C" w14:textId="457F6463" w:rsidR="00AC7D97" w:rsidRPr="00AC7D97" w:rsidRDefault="00AC7D97" w:rsidP="00AC7D97">
      <w:pPr>
        <w:pStyle w:val="Sinespaciado"/>
        <w:rPr>
          <w:rFonts w:ascii="Verdana" w:hAnsi="Verdana"/>
          <w:sz w:val="20"/>
          <w:szCs w:val="20"/>
          <w:lang w:eastAsia="es-ES_tradnl"/>
        </w:rPr>
      </w:pPr>
      <w:r w:rsidRPr="00AC7D97">
        <w:rPr>
          <w:rFonts w:ascii="Verdana" w:hAnsi="Verdana"/>
          <w:sz w:val="20"/>
          <w:szCs w:val="20"/>
          <w:lang w:eastAsia="es-ES_tradnl"/>
        </w:rPr>
        <w:t>Fecha de publicación en Diario Oficial: N/A</w:t>
      </w:r>
    </w:p>
    <w:p w14:paraId="4A629F0F" w14:textId="0A3D5D64" w:rsidR="00D768E5" w:rsidRDefault="00AC7D97" w:rsidP="00AC7D97">
      <w:pPr>
        <w:pStyle w:val="Sinespaciado"/>
        <w:rPr>
          <w:rFonts w:ascii="Verdana" w:hAnsi="Verdana"/>
          <w:sz w:val="20"/>
          <w:szCs w:val="20"/>
          <w:lang w:eastAsia="es-ES_tradnl"/>
        </w:rPr>
      </w:pPr>
      <w:r w:rsidRPr="00AC7D97">
        <w:rPr>
          <w:rFonts w:ascii="Verdana" w:hAnsi="Verdana"/>
          <w:sz w:val="20"/>
          <w:szCs w:val="20"/>
          <w:lang w:eastAsia="es-ES_tradnl"/>
        </w:rPr>
        <w:t>Número del Diario Oficial: N/A</w:t>
      </w:r>
    </w:p>
    <w:p w14:paraId="4DDCC80C" w14:textId="77777777" w:rsidR="00AC7D97" w:rsidRPr="00AC7D97" w:rsidRDefault="00AC7D97" w:rsidP="00AC7D97">
      <w:pPr>
        <w:pStyle w:val="Sinespaciado"/>
        <w:rPr>
          <w:rFonts w:ascii="Verdana" w:hAnsi="Verdana"/>
          <w:sz w:val="20"/>
          <w:szCs w:val="20"/>
          <w:lang w:eastAsia="es-ES_tradnl"/>
        </w:rPr>
      </w:pPr>
    </w:p>
    <w:p w14:paraId="2FC6F80A" w14:textId="2AFD16DB" w:rsidR="00BD6908" w:rsidRPr="00EF6F0B" w:rsidRDefault="00D768E5" w:rsidP="00D768E5">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EF6F0B">
        <w:rPr>
          <w:rFonts w:ascii="Verdana" w:eastAsia="Times New Roman" w:hAnsi="Verdana" w:cs="Times New Roman"/>
          <w:b/>
          <w:bCs/>
          <w:color w:val="000000" w:themeColor="text1"/>
          <w:spacing w:val="2"/>
          <w:kern w:val="0"/>
          <w:sz w:val="22"/>
          <w:szCs w:val="22"/>
          <w:lang w:eastAsia="es-ES_tradnl"/>
          <w14:ligatures w14:val="none"/>
        </w:rPr>
        <w:t>RESOLUCIÓN 1641 DE 2006</w:t>
      </w:r>
    </w:p>
    <w:p w14:paraId="7C6C2D3C" w14:textId="77777777" w:rsidR="00D768E5" w:rsidRPr="00EF6F0B" w:rsidRDefault="00D768E5" w:rsidP="00D768E5">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5318431E" w14:textId="3750DCE7" w:rsidR="00BD6908" w:rsidRPr="00EF6F0B" w:rsidRDefault="007D4452" w:rsidP="003E7BBF">
      <w:pPr>
        <w:pStyle w:val="centrado"/>
        <w:shd w:val="clear" w:color="auto" w:fill="FFFFFF"/>
        <w:spacing w:before="0" w:beforeAutospacing="0" w:after="0" w:afterAutospacing="0"/>
        <w:jc w:val="center"/>
        <w:rPr>
          <w:rFonts w:ascii="Verdana" w:hAnsi="Verdana"/>
          <w:color w:val="000000" w:themeColor="text1"/>
          <w:spacing w:val="2"/>
          <w:sz w:val="22"/>
          <w:szCs w:val="22"/>
          <w:shd w:val="clear" w:color="auto" w:fill="FFFFFF"/>
        </w:rPr>
      </w:pPr>
      <w:r w:rsidRPr="00EF6F0B">
        <w:rPr>
          <w:rFonts w:ascii="Verdana" w:hAnsi="Verdana"/>
          <w:color w:val="000000" w:themeColor="text1"/>
          <w:spacing w:val="2"/>
          <w:sz w:val="22"/>
          <w:szCs w:val="22"/>
          <w:shd w:val="clear" w:color="auto" w:fill="FFFFFF"/>
        </w:rPr>
        <w:t>“Por la cual se adoptan los Lineamientos Técnicos del Programa de Adopción”</w:t>
      </w:r>
    </w:p>
    <w:p w14:paraId="67049F26" w14:textId="77777777" w:rsidR="007D4452" w:rsidRPr="00EF6F0B" w:rsidRDefault="007D4452"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6A11772A" w:rsidR="003E7BBF" w:rsidRPr="00EF6F0B"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F6F0B">
        <w:rPr>
          <w:rFonts w:ascii="Verdana" w:hAnsi="Verdana"/>
          <w:color w:val="000000" w:themeColor="text1"/>
          <w:spacing w:val="2"/>
          <w:sz w:val="22"/>
          <w:szCs w:val="22"/>
        </w:rPr>
        <w:t>(</w:t>
      </w:r>
      <w:r w:rsidR="007D4452" w:rsidRPr="00EF6F0B">
        <w:rPr>
          <w:rFonts w:ascii="Verdana" w:hAnsi="Verdana"/>
          <w:color w:val="000000" w:themeColor="text1"/>
          <w:spacing w:val="2"/>
          <w:sz w:val="22"/>
          <w:szCs w:val="22"/>
        </w:rPr>
        <w:t>Julio 12</w:t>
      </w:r>
      <w:r w:rsidRPr="00EF6F0B">
        <w:rPr>
          <w:rFonts w:ascii="Verdana" w:hAnsi="Verdana"/>
          <w:color w:val="000000" w:themeColor="text1"/>
          <w:spacing w:val="2"/>
          <w:sz w:val="22"/>
          <w:szCs w:val="22"/>
        </w:rPr>
        <w:t>)</w:t>
      </w:r>
    </w:p>
    <w:p w14:paraId="14618DEF" w14:textId="77777777" w:rsidR="007D4452" w:rsidRPr="00EF6F0B" w:rsidRDefault="007D4452" w:rsidP="007D4452">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EF6F0B">
        <w:rPr>
          <w:rStyle w:val="baj"/>
          <w:rFonts w:ascii="Verdana" w:eastAsiaTheme="majorEastAsia" w:hAnsi="Verdana"/>
          <w:b/>
          <w:bCs/>
          <w:color w:val="000000" w:themeColor="text1"/>
          <w:spacing w:val="2"/>
          <w:sz w:val="22"/>
          <w:szCs w:val="22"/>
        </w:rPr>
        <w:t>LA DIRECTORA GENERAL DEL INSTITUTO COLOMBIANO</w:t>
      </w:r>
      <w:r w:rsidRPr="00EF6F0B">
        <w:rPr>
          <w:rStyle w:val="apple-converted-space"/>
          <w:rFonts w:ascii="Verdana" w:eastAsiaTheme="majorEastAsia" w:hAnsi="Verdana"/>
          <w:b/>
          <w:bCs/>
          <w:color w:val="000000" w:themeColor="text1"/>
          <w:spacing w:val="2"/>
          <w:sz w:val="22"/>
          <w:szCs w:val="22"/>
        </w:rPr>
        <w:t> </w:t>
      </w:r>
    </w:p>
    <w:p w14:paraId="7D8ED25A" w14:textId="1D992F1D" w:rsidR="007D4452" w:rsidRPr="00EF6F0B" w:rsidRDefault="007D4452" w:rsidP="007D4452">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EF6F0B">
        <w:rPr>
          <w:rStyle w:val="baj"/>
          <w:rFonts w:ascii="Verdana" w:eastAsiaTheme="majorEastAsia" w:hAnsi="Verdana"/>
          <w:b/>
          <w:bCs/>
          <w:color w:val="000000" w:themeColor="text1"/>
          <w:spacing w:val="2"/>
          <w:sz w:val="22"/>
          <w:szCs w:val="22"/>
        </w:rPr>
        <w:t>DE BIENESTAR FAMILIAR</w:t>
      </w:r>
    </w:p>
    <w:p w14:paraId="5E80E1F1" w14:textId="77777777" w:rsidR="007D4452" w:rsidRPr="00EF6F0B" w:rsidRDefault="007D4452" w:rsidP="007D4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B28C04D" w14:textId="77777777" w:rsidR="007D4452" w:rsidRPr="00EF6F0B" w:rsidRDefault="007D4452" w:rsidP="007D4452">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F6F0B">
        <w:rPr>
          <w:rFonts w:ascii="Verdana" w:hAnsi="Verdana"/>
          <w:color w:val="000000" w:themeColor="text1"/>
          <w:spacing w:val="2"/>
          <w:sz w:val="22"/>
          <w:szCs w:val="22"/>
        </w:rPr>
        <w:t>En uso de sus facultades legales y estatutarias y</w:t>
      </w:r>
    </w:p>
    <w:p w14:paraId="156642AF" w14:textId="77777777" w:rsidR="007D4452" w:rsidRPr="00EF6F0B" w:rsidRDefault="007D4452" w:rsidP="007D4452">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EF6F0B">
        <w:rPr>
          <w:rStyle w:val="baj"/>
          <w:rFonts w:ascii="Verdana" w:eastAsiaTheme="majorEastAsia" w:hAnsi="Verdana"/>
          <w:b/>
          <w:bCs/>
          <w:color w:val="000000" w:themeColor="text1"/>
          <w:spacing w:val="2"/>
          <w:sz w:val="22"/>
          <w:szCs w:val="22"/>
        </w:rPr>
        <w:t>CONSIDERANDO:</w:t>
      </w:r>
    </w:p>
    <w:p w14:paraId="76ACF63E" w14:textId="77777777" w:rsidR="007D4452" w:rsidRPr="00EF6F0B" w:rsidRDefault="007D4452" w:rsidP="007D4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F18FF08" w14:textId="0C2AAA6A" w:rsidR="007D4452" w:rsidRPr="00EF6F0B" w:rsidRDefault="007D4452" w:rsidP="007D4452">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r w:rsidRPr="00EF6F0B">
        <w:rPr>
          <w:rFonts w:ascii="Verdana" w:hAnsi="Verdana"/>
          <w:color w:val="000000" w:themeColor="text1"/>
          <w:spacing w:val="2"/>
          <w:sz w:val="22"/>
          <w:szCs w:val="22"/>
        </w:rPr>
        <w:t>Que de conformidad con lo ordenado en el artículo</w:t>
      </w:r>
      <w:r w:rsidRPr="00EF6F0B">
        <w:rPr>
          <w:rStyle w:val="apple-converted-space"/>
          <w:rFonts w:ascii="Verdana" w:eastAsiaTheme="majorEastAsia" w:hAnsi="Verdana"/>
          <w:color w:val="000000" w:themeColor="text1"/>
          <w:spacing w:val="2"/>
          <w:sz w:val="22"/>
          <w:szCs w:val="22"/>
        </w:rPr>
        <w:t> </w:t>
      </w:r>
      <w:r w:rsidRPr="00EF6F0B">
        <w:rPr>
          <w:rFonts w:ascii="Verdana" w:eastAsiaTheme="majorEastAsia" w:hAnsi="Verdana"/>
          <w:color w:val="000000" w:themeColor="text1"/>
          <w:spacing w:val="2"/>
          <w:sz w:val="22"/>
          <w:szCs w:val="22"/>
        </w:rPr>
        <w:t>12</w:t>
      </w:r>
      <w:r w:rsidRPr="00EF6F0B">
        <w:rPr>
          <w:rStyle w:val="apple-converted-space"/>
          <w:rFonts w:ascii="Verdana" w:eastAsiaTheme="majorEastAsia" w:hAnsi="Verdana"/>
          <w:color w:val="000000" w:themeColor="text1"/>
          <w:spacing w:val="2"/>
          <w:sz w:val="22"/>
          <w:szCs w:val="22"/>
        </w:rPr>
        <w:t> </w:t>
      </w:r>
      <w:r w:rsidRPr="00EF6F0B">
        <w:rPr>
          <w:rFonts w:ascii="Verdana" w:hAnsi="Verdana"/>
          <w:color w:val="000000" w:themeColor="text1"/>
          <w:spacing w:val="2"/>
          <w:sz w:val="22"/>
          <w:szCs w:val="22"/>
        </w:rPr>
        <w:t>del Decreto No. 2388 de 1979, reglamentario de la ley</w:t>
      </w:r>
      <w:r w:rsidRPr="00EF6F0B">
        <w:rPr>
          <w:rStyle w:val="apple-converted-space"/>
          <w:rFonts w:ascii="Verdana" w:eastAsiaTheme="majorEastAsia" w:hAnsi="Verdana"/>
          <w:color w:val="000000" w:themeColor="text1"/>
          <w:spacing w:val="2"/>
          <w:sz w:val="22"/>
          <w:szCs w:val="22"/>
        </w:rPr>
        <w:t> </w:t>
      </w:r>
      <w:r w:rsidRPr="00EF6F0B">
        <w:rPr>
          <w:rFonts w:ascii="Verdana" w:hAnsi="Verdana"/>
          <w:color w:val="000000" w:themeColor="text1"/>
          <w:spacing w:val="2"/>
          <w:sz w:val="22"/>
          <w:szCs w:val="22"/>
        </w:rPr>
        <w:t>7</w:t>
      </w:r>
      <w:r w:rsidRPr="00EF6F0B">
        <w:rPr>
          <w:rStyle w:val="apple-converted-space"/>
          <w:rFonts w:ascii="Verdana" w:eastAsiaTheme="majorEastAsia" w:hAnsi="Verdana"/>
          <w:color w:val="000000" w:themeColor="text1"/>
          <w:spacing w:val="2"/>
          <w:sz w:val="22"/>
          <w:szCs w:val="22"/>
        </w:rPr>
        <w:t> </w:t>
      </w:r>
      <w:r w:rsidRPr="00EF6F0B">
        <w:rPr>
          <w:rFonts w:ascii="Verdana" w:hAnsi="Verdana"/>
          <w:color w:val="000000" w:themeColor="text1"/>
          <w:spacing w:val="2"/>
          <w:sz w:val="22"/>
          <w:szCs w:val="22"/>
        </w:rPr>
        <w:t>de 1979, las actividades que realizan las entidades del Sistema Nacional de Bienestar Familiar con el fin de prestar el servicio público de Bienestar Familiar, deberán cumplirse con estricta sujeción a las normas del servicio y a los reglamentos dictados por el Instituto Colombiano de Bienestar Familiar.</w:t>
      </w:r>
      <w:r w:rsidRPr="00EF6F0B">
        <w:rPr>
          <w:rStyle w:val="apple-converted-space"/>
          <w:rFonts w:ascii="Verdana" w:eastAsiaTheme="majorEastAsia" w:hAnsi="Verdana"/>
          <w:color w:val="000000" w:themeColor="text1"/>
          <w:spacing w:val="2"/>
          <w:sz w:val="22"/>
          <w:szCs w:val="22"/>
        </w:rPr>
        <w:t> </w:t>
      </w:r>
    </w:p>
    <w:p w14:paraId="42AEFBBB" w14:textId="77777777"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CFC8602" w14:textId="77777777" w:rsidR="007D4452" w:rsidRPr="00EF6F0B" w:rsidRDefault="007D4452" w:rsidP="007D4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Que la Sección Quinta del Código del Menor fija las normas sustantivas y procesales que rigen la adopción en Colombia.</w:t>
      </w:r>
    </w:p>
    <w:p w14:paraId="0EADEC19" w14:textId="77777777" w:rsidR="007D4452" w:rsidRPr="00EF6F0B" w:rsidRDefault="007D4452" w:rsidP="007D4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Que el Programa de Adopción cumple una noble función en el restablecimiento de los derechos fundamentales de los niños a tener una familia y no ser separados de ella y al cuidado y al amor que deben recibir de sus padres y su familia.</w:t>
      </w:r>
    </w:p>
    <w:p w14:paraId="414727BD" w14:textId="77777777" w:rsidR="007D4452" w:rsidRPr="00EF6F0B" w:rsidRDefault="007D4452" w:rsidP="007D4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Que las disposiciones nacionales, internacionales y la doctrina constitucional coinciden en señalar que todas las actuaciones de carácter administrativo y judicial del proceso de adopción se deben realizar en consideración al interés superior del niño y al respeto de sus derechos fundamentales.</w:t>
      </w:r>
    </w:p>
    <w:p w14:paraId="61CC6163" w14:textId="77777777" w:rsidR="007D4452" w:rsidRPr="00EF6F0B" w:rsidRDefault="007D4452" w:rsidP="007D4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Que la Dirección General del Instituto Colombiano de Bienestar Familiar expide los Lineamientos Técnicos del Programa de Adopción en cumplimento de las directrices que ha fijado la H. Corte Constitucional respecto del deber institucional de precisar, divulgar e implementar una política pública, tendiente a humanizar el proceso de adopción.</w:t>
      </w:r>
    </w:p>
    <w:p w14:paraId="78C10A19" w14:textId="77777777" w:rsidR="007D4452" w:rsidRPr="00EF6F0B" w:rsidRDefault="007D4452" w:rsidP="007D4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 xml:space="preserve">Que en esa línea el Instituto emprendió la tarea de convocar a los servidores públicos y a las Instituciones Autorizadas para desarrollar el Programa de Adopción, así como a otros actores coadyuvantes, para construir un marco </w:t>
      </w:r>
      <w:r w:rsidRPr="00EF6F0B">
        <w:rPr>
          <w:rFonts w:ascii="Verdana" w:hAnsi="Verdana"/>
          <w:color w:val="000000" w:themeColor="text1"/>
          <w:spacing w:val="2"/>
          <w:sz w:val="22"/>
          <w:szCs w:val="22"/>
        </w:rPr>
        <w:lastRenderedPageBreak/>
        <w:t>de autorregulación con los más altos criterios éticos conducentes al mejoramiento permanente de su gestión.</w:t>
      </w:r>
    </w:p>
    <w:p w14:paraId="20AD59F2" w14:textId="77777777" w:rsidR="007D4452" w:rsidRPr="00EF6F0B" w:rsidRDefault="007D4452" w:rsidP="007D4452">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Que los Lineamientos Técnicos del Programa de Adopción son un instrumento de política pública conducente a señalar los parámetros que deben seguir, especialmente, el Instituto y las Instituciones Autorizadas para desarrollar el programa de adopción.</w:t>
      </w:r>
    </w:p>
    <w:p w14:paraId="35604BF1" w14:textId="160D4C36"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F6F0B">
        <w:rPr>
          <w:rFonts w:ascii="Verdana" w:hAnsi="Verdana"/>
          <w:color w:val="000000" w:themeColor="text1"/>
          <w:spacing w:val="2"/>
          <w:sz w:val="22"/>
          <w:szCs w:val="22"/>
        </w:rPr>
        <w:t>Que de acuerdo con la Resolución No.</w:t>
      </w:r>
      <w:r w:rsidRPr="00EF6F0B">
        <w:rPr>
          <w:rStyle w:val="apple-converted-space"/>
          <w:rFonts w:ascii="Verdana" w:eastAsiaTheme="majorEastAsia" w:hAnsi="Verdana"/>
          <w:color w:val="000000" w:themeColor="text1"/>
          <w:spacing w:val="2"/>
          <w:sz w:val="22"/>
          <w:szCs w:val="22"/>
        </w:rPr>
        <w:t> </w:t>
      </w:r>
      <w:r w:rsidRPr="00EF6F0B">
        <w:rPr>
          <w:rFonts w:ascii="Verdana" w:eastAsiaTheme="majorEastAsia" w:hAnsi="Verdana"/>
          <w:color w:val="000000" w:themeColor="text1"/>
          <w:spacing w:val="2"/>
          <w:sz w:val="22"/>
          <w:szCs w:val="22"/>
        </w:rPr>
        <w:t>2623</w:t>
      </w:r>
      <w:r w:rsidRPr="00EF6F0B">
        <w:rPr>
          <w:rStyle w:val="apple-converted-space"/>
          <w:rFonts w:ascii="Verdana" w:eastAsiaTheme="majorEastAsia" w:hAnsi="Verdana"/>
          <w:color w:val="000000" w:themeColor="text1"/>
          <w:spacing w:val="2"/>
          <w:sz w:val="22"/>
          <w:szCs w:val="22"/>
        </w:rPr>
        <w:t> </w:t>
      </w:r>
      <w:r w:rsidRPr="00EF6F0B">
        <w:rPr>
          <w:rFonts w:ascii="Verdana" w:hAnsi="Verdana"/>
          <w:color w:val="000000" w:themeColor="text1"/>
          <w:spacing w:val="2"/>
          <w:sz w:val="22"/>
          <w:szCs w:val="22"/>
        </w:rPr>
        <w:t>de 2003, expedida por la Dirección General del ICBF, se hace necesario reglamentar la elaboración, revisión y aprobación de los manuales, lineamientos, procesos, procedimientos, formatos e instructivos en el Instituto.</w:t>
      </w:r>
    </w:p>
    <w:p w14:paraId="22D4179C" w14:textId="77777777"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A4E2AC7" w14:textId="77777777" w:rsidR="007D4452" w:rsidRPr="00EF6F0B" w:rsidRDefault="007D4452" w:rsidP="007D4452">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EF6F0B">
        <w:rPr>
          <w:rStyle w:val="baj"/>
          <w:rFonts w:ascii="Verdana" w:eastAsiaTheme="majorEastAsia" w:hAnsi="Verdana"/>
          <w:b/>
          <w:bCs/>
          <w:color w:val="000000" w:themeColor="text1"/>
          <w:spacing w:val="2"/>
          <w:sz w:val="22"/>
          <w:szCs w:val="22"/>
        </w:rPr>
        <w:t>RESUELVE:</w:t>
      </w:r>
    </w:p>
    <w:p w14:paraId="3370AD76" w14:textId="77777777" w:rsidR="007D4452" w:rsidRPr="00EF6F0B" w:rsidRDefault="007D4452" w:rsidP="007D4452">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F5EF857" w14:textId="3DCA57F5"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EF6F0B">
        <w:rPr>
          <w:rFonts w:ascii="Verdana" w:hAnsi="Verdana"/>
          <w:b/>
          <w:bCs/>
          <w:color w:val="000000" w:themeColor="text1"/>
          <w:spacing w:val="2"/>
          <w:sz w:val="22"/>
          <w:szCs w:val="22"/>
        </w:rPr>
        <w:t>ARTÍCULO 1o.</w:t>
      </w:r>
      <w:bookmarkEnd w:id="0"/>
      <w:r w:rsidRPr="00EF6F0B">
        <w:rPr>
          <w:rStyle w:val="apple-converted-space"/>
          <w:rFonts w:ascii="Verdana" w:eastAsiaTheme="majorEastAsia" w:hAnsi="Verdana"/>
          <w:color w:val="000000" w:themeColor="text1"/>
          <w:spacing w:val="2"/>
          <w:sz w:val="22"/>
          <w:szCs w:val="22"/>
        </w:rPr>
        <w:t> </w:t>
      </w:r>
      <w:r w:rsidRPr="00EF6F0B">
        <w:rPr>
          <w:rFonts w:ascii="Verdana" w:hAnsi="Verdana"/>
          <w:color w:val="000000" w:themeColor="text1"/>
          <w:spacing w:val="2"/>
          <w:sz w:val="22"/>
          <w:szCs w:val="22"/>
        </w:rPr>
        <w:t xml:space="preserve"> Aprobar, mediante la presente Resolución, los Lineamientos Técnicos del Programa de Adopción.</w:t>
      </w:r>
    </w:p>
    <w:p w14:paraId="1614C0A2" w14:textId="77777777"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D2E8C26" w14:textId="5D7779D3"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EF6F0B">
        <w:rPr>
          <w:rFonts w:ascii="Verdana" w:hAnsi="Verdana"/>
          <w:b/>
          <w:bCs/>
          <w:color w:val="000000" w:themeColor="text1"/>
          <w:spacing w:val="2"/>
          <w:sz w:val="22"/>
          <w:szCs w:val="22"/>
        </w:rPr>
        <w:t>ARTÍCULO 2o.</w:t>
      </w:r>
      <w:bookmarkEnd w:id="1"/>
      <w:r w:rsidRPr="00EF6F0B">
        <w:rPr>
          <w:rStyle w:val="apple-converted-space"/>
          <w:rFonts w:ascii="Verdana" w:eastAsiaTheme="majorEastAsia" w:hAnsi="Verdana"/>
          <w:color w:val="000000" w:themeColor="text1"/>
          <w:spacing w:val="2"/>
          <w:sz w:val="22"/>
          <w:szCs w:val="22"/>
        </w:rPr>
        <w:t> </w:t>
      </w:r>
      <w:r w:rsidRPr="00EF6F0B">
        <w:rPr>
          <w:rFonts w:ascii="Verdana" w:hAnsi="Verdana"/>
          <w:color w:val="000000" w:themeColor="text1"/>
          <w:spacing w:val="2"/>
          <w:sz w:val="22"/>
          <w:szCs w:val="22"/>
        </w:rPr>
        <w:t>Los Lineamientos Técnicos del Programa de Adopción aprobados por la presente Resolución y sus anexos son de obligatorio cumplimiento y hacen parte del presente acto administrativo.</w:t>
      </w:r>
    </w:p>
    <w:p w14:paraId="07D95FFB" w14:textId="77777777"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DC33D16" w14:textId="60C139A3"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EF6F0B">
        <w:rPr>
          <w:rFonts w:ascii="Verdana" w:hAnsi="Verdana"/>
          <w:b/>
          <w:bCs/>
          <w:color w:val="000000" w:themeColor="text1"/>
          <w:spacing w:val="2"/>
          <w:sz w:val="22"/>
          <w:szCs w:val="22"/>
        </w:rPr>
        <w:t>ARTÍCULO 3o.</w:t>
      </w:r>
      <w:bookmarkEnd w:id="2"/>
      <w:r w:rsidRPr="00EF6F0B">
        <w:rPr>
          <w:rFonts w:ascii="Verdana" w:hAnsi="Verdana"/>
          <w:color w:val="000000" w:themeColor="text1"/>
          <w:spacing w:val="2"/>
          <w:sz w:val="22"/>
          <w:szCs w:val="22"/>
        </w:rPr>
        <w:t xml:space="preserve"> La presente Resolución rige a partir de la fecha de su expedición y deroga las disposiciones que le sean contrarias.</w:t>
      </w:r>
    </w:p>
    <w:p w14:paraId="281C1DAC" w14:textId="77777777" w:rsidR="007D4452" w:rsidRPr="00EF6F0B" w:rsidRDefault="007D4452" w:rsidP="007D4452">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60B4011" w14:textId="77777777" w:rsidR="007D4452" w:rsidRPr="00425318" w:rsidRDefault="007D4452" w:rsidP="007D4452">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425318">
        <w:rPr>
          <w:rFonts w:ascii="Verdana" w:hAnsi="Verdana"/>
          <w:b/>
          <w:bCs/>
          <w:color w:val="000000" w:themeColor="text1"/>
          <w:spacing w:val="2"/>
          <w:sz w:val="22"/>
          <w:szCs w:val="22"/>
        </w:rPr>
        <w:t>COMUNÍQUESE Y CÚMPLASE</w:t>
      </w:r>
    </w:p>
    <w:p w14:paraId="58A5CC87" w14:textId="14C54D14" w:rsidR="007D4452" w:rsidRPr="00EF6F0B" w:rsidRDefault="007D4452" w:rsidP="007D4452">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F6F0B">
        <w:rPr>
          <w:rFonts w:ascii="Verdana" w:hAnsi="Verdana"/>
          <w:color w:val="000000" w:themeColor="text1"/>
          <w:spacing w:val="2"/>
          <w:sz w:val="22"/>
          <w:szCs w:val="22"/>
        </w:rPr>
        <w:t>Dada en Bogotá D. C. a los 12 días del mes de julio de 2006</w:t>
      </w:r>
    </w:p>
    <w:p w14:paraId="6BA436A6" w14:textId="0AC018BE" w:rsidR="007D4452" w:rsidRPr="00EF6F0B" w:rsidRDefault="007D4452" w:rsidP="007D4452">
      <w:pPr>
        <w:pStyle w:val="centrado"/>
        <w:shd w:val="clear" w:color="auto" w:fill="FFFFFF"/>
        <w:tabs>
          <w:tab w:val="center" w:pos="4252"/>
          <w:tab w:val="left" w:pos="6606"/>
        </w:tabs>
        <w:spacing w:before="0" w:beforeAutospacing="0" w:after="0" w:afterAutospacing="0"/>
        <w:rPr>
          <w:rStyle w:val="baj"/>
          <w:rFonts w:ascii="Verdana" w:eastAsiaTheme="majorEastAsia" w:hAnsi="Verdana"/>
          <w:b/>
          <w:bCs/>
          <w:color w:val="000000" w:themeColor="text1"/>
          <w:spacing w:val="2"/>
          <w:sz w:val="22"/>
          <w:szCs w:val="22"/>
        </w:rPr>
      </w:pPr>
      <w:r w:rsidRPr="00EF6F0B">
        <w:rPr>
          <w:rStyle w:val="baj"/>
          <w:rFonts w:ascii="Verdana" w:eastAsiaTheme="majorEastAsia" w:hAnsi="Verdana"/>
          <w:b/>
          <w:bCs/>
          <w:color w:val="000000" w:themeColor="text1"/>
          <w:spacing w:val="2"/>
          <w:sz w:val="22"/>
          <w:szCs w:val="22"/>
        </w:rPr>
        <w:tab/>
        <w:t>BEATRÍZ LONDOÑO SOTO</w:t>
      </w:r>
      <w:r w:rsidRPr="00EF6F0B">
        <w:rPr>
          <w:rStyle w:val="baj"/>
          <w:rFonts w:ascii="Verdana" w:eastAsiaTheme="majorEastAsia" w:hAnsi="Verdana"/>
          <w:b/>
          <w:bCs/>
          <w:color w:val="000000" w:themeColor="text1"/>
          <w:spacing w:val="2"/>
          <w:sz w:val="22"/>
          <w:szCs w:val="22"/>
        </w:rPr>
        <w:tab/>
      </w:r>
    </w:p>
    <w:p w14:paraId="3EFCE19F" w14:textId="77777777" w:rsidR="007D4452" w:rsidRPr="00EF6F0B" w:rsidRDefault="007D4452" w:rsidP="007D4452">
      <w:pPr>
        <w:pStyle w:val="centrado"/>
        <w:shd w:val="clear" w:color="auto" w:fill="FFFFFF"/>
        <w:tabs>
          <w:tab w:val="center" w:pos="4252"/>
          <w:tab w:val="left" w:pos="6606"/>
        </w:tabs>
        <w:spacing w:before="0" w:beforeAutospacing="0" w:after="0" w:afterAutospacing="0"/>
        <w:rPr>
          <w:rFonts w:ascii="Verdana" w:hAnsi="Verdana"/>
          <w:color w:val="000000" w:themeColor="text1"/>
          <w:spacing w:val="2"/>
          <w:sz w:val="22"/>
          <w:szCs w:val="22"/>
        </w:rPr>
      </w:pPr>
    </w:p>
    <w:p w14:paraId="15D175D1" w14:textId="77777777" w:rsidR="007D4452" w:rsidRPr="00EF6F0B" w:rsidRDefault="007D4452" w:rsidP="007D4452">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F6F0B">
        <w:rPr>
          <w:rFonts w:ascii="Verdana" w:hAnsi="Verdana"/>
          <w:color w:val="000000" w:themeColor="text1"/>
          <w:spacing w:val="2"/>
          <w:sz w:val="22"/>
          <w:szCs w:val="22"/>
        </w:rPr>
        <w:t>Directora General</w:t>
      </w:r>
    </w:p>
    <w:p w14:paraId="1FA1A1FA" w14:textId="77777777" w:rsidR="007D4452" w:rsidRPr="00EF6F0B" w:rsidRDefault="007D4452" w:rsidP="007D4452">
      <w:pPr>
        <w:rPr>
          <w:rFonts w:ascii="Verdana" w:hAnsi="Verdana"/>
          <w:sz w:val="22"/>
          <w:szCs w:val="22"/>
        </w:rPr>
      </w:pPr>
    </w:p>
    <w:p w14:paraId="5194AC17" w14:textId="77777777" w:rsidR="00714079" w:rsidRPr="003E7BBF" w:rsidRDefault="00714079" w:rsidP="00AD6596">
      <w:pPr>
        <w:jc w:val="center"/>
        <w:rPr>
          <w:rFonts w:ascii="Verdana" w:hAnsi="Verdana"/>
          <w:color w:val="000000" w:themeColor="text1"/>
          <w:sz w:val="22"/>
          <w:szCs w:val="22"/>
        </w:rPr>
      </w:pPr>
    </w:p>
    <w:sectPr w:rsidR="00714079" w:rsidRPr="003E7B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4"/>
  </w:num>
  <w:num w:numId="2" w16cid:durableId="676659541">
    <w:abstractNumId w:val="3"/>
  </w:num>
  <w:num w:numId="3" w16cid:durableId="1545364374">
    <w:abstractNumId w:val="2"/>
  </w:num>
  <w:num w:numId="4" w16cid:durableId="292371856">
    <w:abstractNumId w:val="0"/>
  </w:num>
  <w:num w:numId="5" w16cid:durableId="119847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B572E"/>
    <w:rsid w:val="000C0BE8"/>
    <w:rsid w:val="001A3485"/>
    <w:rsid w:val="002541F6"/>
    <w:rsid w:val="002A50A8"/>
    <w:rsid w:val="003E7BBF"/>
    <w:rsid w:val="00425318"/>
    <w:rsid w:val="00452985"/>
    <w:rsid w:val="0045464C"/>
    <w:rsid w:val="005D49B7"/>
    <w:rsid w:val="006255A6"/>
    <w:rsid w:val="006859F6"/>
    <w:rsid w:val="00714079"/>
    <w:rsid w:val="007205CC"/>
    <w:rsid w:val="00725A52"/>
    <w:rsid w:val="00794FA2"/>
    <w:rsid w:val="007D4452"/>
    <w:rsid w:val="00915F50"/>
    <w:rsid w:val="009848C4"/>
    <w:rsid w:val="009874F7"/>
    <w:rsid w:val="009A4B1D"/>
    <w:rsid w:val="009F54F9"/>
    <w:rsid w:val="00AC7D97"/>
    <w:rsid w:val="00AD6596"/>
    <w:rsid w:val="00BA5832"/>
    <w:rsid w:val="00BD6908"/>
    <w:rsid w:val="00D768E5"/>
    <w:rsid w:val="00EF6F0B"/>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AC7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539320339">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8B687-28DC-410E-8DBC-E7B3BD0D1D44}"/>
</file>

<file path=customXml/itemProps2.xml><?xml version="1.0" encoding="utf-8"?>
<ds:datastoreItem xmlns:ds="http://schemas.openxmlformats.org/officeDocument/2006/customXml" ds:itemID="{B31515CD-D769-4C17-B60D-49BC8AA944B0}"/>
</file>

<file path=customXml/itemProps3.xml><?xml version="1.0" encoding="utf-8"?>
<ds:datastoreItem xmlns:ds="http://schemas.openxmlformats.org/officeDocument/2006/customXml" ds:itemID="{E714D1E8-9B13-407A-AB14-B2B0BDC98BD2}"/>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2833</Characters>
  <Application>Microsoft Office Word</Application>
  <DocSecurity>0</DocSecurity>
  <Lines>76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2025-12-13T15:48:00Z</dcterms:created>
  <dcterms:modified xsi:type="dcterms:W3CDTF">2026-01-21T19:07:00Z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