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FD26B" w14:textId="77777777" w:rsidR="00A94CDA" w:rsidRPr="001F36F6" w:rsidRDefault="00000000">
      <w:pPr>
        <w:shd w:val="clear" w:color="auto" w:fill="FFFFFF"/>
        <w:spacing w:after="240"/>
        <w:jc w:val="center"/>
        <w:rPr>
          <w:rFonts w:ascii="Verdana" w:eastAsia="Verdana" w:hAnsi="Verdana" w:cs="Verdana"/>
          <w:b/>
          <w:bCs/>
        </w:rPr>
      </w:pPr>
      <w:r w:rsidRPr="001F36F6">
        <w:rPr>
          <w:rFonts w:ascii="Verdana" w:eastAsia="Verdana" w:hAnsi="Verdana" w:cs="Verdana"/>
          <w:b/>
          <w:bCs/>
        </w:rPr>
        <w:t>RESOLUCIÓN 1435 DE 2015</w:t>
      </w:r>
    </w:p>
    <w:p w14:paraId="6AB82F2E" w14:textId="77777777" w:rsidR="00A94CDA" w:rsidRPr="001F36F6" w:rsidRDefault="00000000">
      <w:pPr>
        <w:spacing w:line="240" w:lineRule="auto"/>
        <w:rPr>
          <w:rFonts w:ascii="Verdana" w:eastAsia="Verdana" w:hAnsi="Verdana" w:cs="Verdana"/>
        </w:rPr>
      </w:pPr>
      <w:r w:rsidRPr="001F36F6">
        <w:rPr>
          <w:rFonts w:ascii="Verdana" w:eastAsia="Verdana" w:hAnsi="Verdana" w:cs="Verdana"/>
        </w:rPr>
        <w:t>Fecha de Expedición: 24 de marzo de 2015</w:t>
      </w:r>
    </w:p>
    <w:p w14:paraId="36F6EF86" w14:textId="77777777" w:rsidR="00A94CDA" w:rsidRPr="001F36F6" w:rsidRDefault="00000000">
      <w:pPr>
        <w:spacing w:line="240" w:lineRule="auto"/>
        <w:rPr>
          <w:rFonts w:ascii="Verdana" w:eastAsia="Verdana" w:hAnsi="Verdana" w:cs="Verdana"/>
        </w:rPr>
      </w:pPr>
      <w:r w:rsidRPr="001F36F6">
        <w:rPr>
          <w:rFonts w:ascii="Verdana" w:eastAsia="Verdana" w:hAnsi="Verdana" w:cs="Verdana"/>
        </w:rPr>
        <w:t xml:space="preserve">Fecha de </w:t>
      </w:r>
      <w:proofErr w:type="gramStart"/>
      <w:r w:rsidRPr="001F36F6">
        <w:rPr>
          <w:rFonts w:ascii="Verdana" w:eastAsia="Verdana" w:hAnsi="Verdana" w:cs="Verdana"/>
        </w:rPr>
        <w:t>entrada en vigencia</w:t>
      </w:r>
      <w:proofErr w:type="gramEnd"/>
      <w:r w:rsidRPr="001F36F6">
        <w:rPr>
          <w:rFonts w:ascii="Verdana" w:eastAsia="Verdana" w:hAnsi="Verdana" w:cs="Verdana"/>
        </w:rPr>
        <w:t xml:space="preserve">: </w:t>
      </w:r>
      <w:r w:rsidRPr="001F36F6">
        <w:rPr>
          <w:rFonts w:ascii="Verdana" w:eastAsia="Verdana" w:hAnsi="Verdana" w:cs="Verdana"/>
          <w:highlight w:val="white"/>
        </w:rPr>
        <w:t>24 de marzo de 2015</w:t>
      </w:r>
    </w:p>
    <w:p w14:paraId="3A4FAC2A" w14:textId="77777777" w:rsidR="00A94CDA" w:rsidRPr="001F36F6" w:rsidRDefault="00000000">
      <w:pPr>
        <w:spacing w:line="240" w:lineRule="auto"/>
        <w:rPr>
          <w:rFonts w:ascii="Verdana" w:eastAsia="Verdana" w:hAnsi="Verdana" w:cs="Verdana"/>
        </w:rPr>
      </w:pPr>
      <w:r w:rsidRPr="001F36F6">
        <w:rPr>
          <w:rFonts w:ascii="Verdana" w:eastAsia="Verdana" w:hAnsi="Verdana" w:cs="Verdana"/>
        </w:rPr>
        <w:t xml:space="preserve">Estado de la vigencia: </w:t>
      </w:r>
      <w:r w:rsidRPr="001F36F6">
        <w:rPr>
          <w:rFonts w:ascii="Verdana" w:eastAsia="Verdana" w:hAnsi="Verdana" w:cs="Verdana"/>
          <w:highlight w:val="white"/>
        </w:rPr>
        <w:t>Vigente</w:t>
      </w:r>
    </w:p>
    <w:p w14:paraId="1D8CA1D9" w14:textId="77777777" w:rsidR="00A94CDA" w:rsidRPr="001F36F6" w:rsidRDefault="00A94CDA">
      <w:pPr>
        <w:spacing w:line="240" w:lineRule="auto"/>
        <w:rPr>
          <w:rFonts w:ascii="Verdana" w:eastAsia="Verdana" w:hAnsi="Verdana" w:cs="Verdana"/>
        </w:rPr>
      </w:pPr>
    </w:p>
    <w:p w14:paraId="3729CC76" w14:textId="77777777" w:rsidR="00A94CDA" w:rsidRPr="001F36F6" w:rsidRDefault="00000000">
      <w:pPr>
        <w:spacing w:line="240" w:lineRule="auto"/>
        <w:rPr>
          <w:rFonts w:ascii="Verdana" w:eastAsia="Verdana" w:hAnsi="Verdana" w:cs="Verdana"/>
          <w:highlight w:val="white"/>
        </w:rPr>
      </w:pPr>
      <w:r w:rsidRPr="001F36F6">
        <w:rPr>
          <w:rFonts w:ascii="Verdana" w:eastAsia="Verdana" w:hAnsi="Verdana" w:cs="Verdana"/>
        </w:rPr>
        <w:t xml:space="preserve">Fecha de publicación en Diario Oficial: </w:t>
      </w:r>
      <w:r w:rsidRPr="001F36F6">
        <w:rPr>
          <w:rFonts w:ascii="Verdana" w:eastAsia="Verdana" w:hAnsi="Verdana" w:cs="Verdana"/>
          <w:highlight w:val="white"/>
        </w:rPr>
        <w:t xml:space="preserve">49.476 </w:t>
      </w:r>
    </w:p>
    <w:p w14:paraId="5995A168" w14:textId="77777777" w:rsidR="00A94CDA" w:rsidRPr="001F36F6" w:rsidRDefault="00000000">
      <w:pPr>
        <w:spacing w:line="240" w:lineRule="auto"/>
        <w:rPr>
          <w:rFonts w:ascii="Verdana" w:eastAsia="Verdana" w:hAnsi="Verdana" w:cs="Verdana"/>
          <w:highlight w:val="white"/>
        </w:rPr>
      </w:pPr>
      <w:r w:rsidRPr="001F36F6">
        <w:rPr>
          <w:rFonts w:ascii="Verdana" w:eastAsia="Verdana" w:hAnsi="Verdana" w:cs="Verdana"/>
        </w:rPr>
        <w:t>Número del Diario Oficial:</w:t>
      </w:r>
      <w:r w:rsidRPr="001F36F6">
        <w:rPr>
          <w:rFonts w:ascii="Verdana" w:eastAsia="Verdana" w:hAnsi="Verdana" w:cs="Verdana"/>
          <w:highlight w:val="white"/>
        </w:rPr>
        <w:t xml:space="preserve"> 8 de abril de 2015</w:t>
      </w:r>
    </w:p>
    <w:p w14:paraId="5C5E0B1D" w14:textId="77777777" w:rsidR="00A94CDA" w:rsidRPr="001F36F6" w:rsidRDefault="00A94CDA">
      <w:pPr>
        <w:spacing w:line="240" w:lineRule="auto"/>
        <w:rPr>
          <w:rFonts w:ascii="Verdana" w:eastAsia="Verdana" w:hAnsi="Verdana" w:cs="Verdana"/>
          <w:highlight w:val="white"/>
        </w:rPr>
      </w:pPr>
    </w:p>
    <w:p w14:paraId="1EDD4CCD" w14:textId="77777777" w:rsidR="00A94CDA" w:rsidRPr="001F36F6" w:rsidRDefault="00A94CDA">
      <w:pPr>
        <w:spacing w:line="240" w:lineRule="auto"/>
        <w:rPr>
          <w:rFonts w:ascii="Verdana" w:eastAsia="Verdana" w:hAnsi="Verdana" w:cs="Verdana"/>
        </w:rPr>
      </w:pPr>
    </w:p>
    <w:p w14:paraId="2AD81237" w14:textId="77777777" w:rsidR="00A94CDA" w:rsidRPr="001F36F6" w:rsidRDefault="00000000">
      <w:pPr>
        <w:shd w:val="clear" w:color="auto" w:fill="FFFFFF"/>
        <w:spacing w:after="240"/>
        <w:jc w:val="center"/>
        <w:rPr>
          <w:rFonts w:ascii="Verdana" w:eastAsia="Verdana" w:hAnsi="Verdana" w:cs="Verdana"/>
          <w:b/>
          <w:bCs/>
        </w:rPr>
      </w:pPr>
      <w:r w:rsidRPr="001F36F6">
        <w:rPr>
          <w:rFonts w:ascii="Verdana" w:eastAsia="Verdana" w:hAnsi="Verdana" w:cs="Verdana"/>
          <w:b/>
          <w:bCs/>
        </w:rPr>
        <w:t>RESOLUCIÓN 1435 DE 2015</w:t>
      </w:r>
    </w:p>
    <w:p w14:paraId="3E3F953B" w14:textId="77777777" w:rsidR="00A94CDA" w:rsidRPr="001F36F6" w:rsidRDefault="00000000">
      <w:pPr>
        <w:shd w:val="clear" w:color="auto" w:fill="FFFFFF"/>
        <w:spacing w:after="240"/>
        <w:jc w:val="center"/>
        <w:rPr>
          <w:rFonts w:ascii="Verdana" w:eastAsia="Verdana" w:hAnsi="Verdana" w:cs="Verdana"/>
        </w:rPr>
      </w:pPr>
      <w:r w:rsidRPr="001F36F6">
        <w:rPr>
          <w:rFonts w:ascii="Verdana" w:eastAsia="Verdana" w:hAnsi="Verdana" w:cs="Verdana"/>
          <w:highlight w:val="white"/>
        </w:rPr>
        <w:t>(marzo 24)</w:t>
      </w:r>
    </w:p>
    <w:p w14:paraId="284CDCB0" w14:textId="77777777" w:rsidR="00A94CDA" w:rsidRPr="001F36F6" w:rsidRDefault="00000000">
      <w:pPr>
        <w:shd w:val="clear" w:color="auto" w:fill="FFFFFF"/>
        <w:spacing w:after="240"/>
        <w:jc w:val="center"/>
        <w:rPr>
          <w:rFonts w:ascii="Verdana" w:eastAsia="Verdana" w:hAnsi="Verdana" w:cs="Verdana"/>
          <w:b/>
          <w:bCs/>
        </w:rPr>
      </w:pPr>
      <w:r w:rsidRPr="001F36F6">
        <w:rPr>
          <w:rFonts w:ascii="Verdana" w:eastAsia="Verdana" w:hAnsi="Verdana" w:cs="Verdana"/>
          <w:b/>
          <w:bCs/>
        </w:rPr>
        <w:t>INSTITUTO COLOMBIANO DE BIENESTAR FAMILIAR</w:t>
      </w:r>
    </w:p>
    <w:p w14:paraId="27BB2721" w14:textId="7D866B9B" w:rsidR="00A94CDA" w:rsidRPr="001F36F6" w:rsidRDefault="00000000">
      <w:pPr>
        <w:shd w:val="clear" w:color="auto" w:fill="FFFFFF"/>
        <w:spacing w:after="240"/>
        <w:jc w:val="center"/>
        <w:rPr>
          <w:rFonts w:ascii="Verdana" w:eastAsia="Verdana" w:hAnsi="Verdana" w:cs="Verdana"/>
          <w:highlight w:val="white"/>
        </w:rPr>
      </w:pPr>
      <w:r w:rsidRPr="001F36F6">
        <w:rPr>
          <w:rFonts w:ascii="Verdana" w:eastAsia="Verdana" w:hAnsi="Verdana" w:cs="Verdana"/>
          <w:highlight w:val="white"/>
        </w:rPr>
        <w:t xml:space="preserve">Por la cual se autoriza la enajenación de bienes muebles que no se requieren para el normal funcionamiento de la entidad por inservibles o por no ser de utilidad para el ICBF ubicados en la Planta de Producción de </w:t>
      </w:r>
      <w:proofErr w:type="spellStart"/>
      <w:r w:rsidRPr="001F36F6">
        <w:rPr>
          <w:rFonts w:ascii="Verdana" w:eastAsia="Verdana" w:hAnsi="Verdana" w:cs="Verdana"/>
          <w:highlight w:val="white"/>
        </w:rPr>
        <w:t>Bienestarina</w:t>
      </w:r>
      <w:proofErr w:type="spellEnd"/>
      <w:r w:rsidRPr="001F36F6">
        <w:rPr>
          <w:rFonts w:ascii="Verdana" w:eastAsia="Verdana" w:hAnsi="Verdana" w:cs="Verdana"/>
          <w:highlight w:val="white"/>
        </w:rPr>
        <w:t>, Cartago, Valle, a través de los mecanismos establecidos en el Decreto número 1510 de 2013.</w:t>
      </w:r>
    </w:p>
    <w:p w14:paraId="51D8D2A3" w14:textId="77777777" w:rsidR="00A94CDA" w:rsidRPr="001F36F6" w:rsidRDefault="00000000">
      <w:pPr>
        <w:shd w:val="clear" w:color="auto" w:fill="FFFFFF"/>
        <w:spacing w:after="240"/>
        <w:jc w:val="center"/>
        <w:rPr>
          <w:rFonts w:ascii="Verdana" w:eastAsia="Verdana" w:hAnsi="Verdana" w:cs="Verdana"/>
        </w:rPr>
      </w:pPr>
      <w:r w:rsidRPr="001F36F6">
        <w:rPr>
          <w:rFonts w:ascii="Verdana" w:eastAsia="Verdana" w:hAnsi="Verdana" w:cs="Verdana"/>
          <w:b/>
          <w:bCs/>
        </w:rPr>
        <w:t>LA DIRECTORA GENERAL DEL INSTITUTO COLOMBIANO DE BIENESTAR FAMILIAR CECILIA DE LA FUENTE DE LLERAS,</w:t>
      </w:r>
    </w:p>
    <w:p w14:paraId="06159328" w14:textId="70AA3715" w:rsidR="00A94CDA" w:rsidRPr="001F36F6" w:rsidRDefault="00000000">
      <w:pPr>
        <w:shd w:val="clear" w:color="auto" w:fill="FFFFFF"/>
        <w:spacing w:after="240"/>
        <w:jc w:val="center"/>
        <w:rPr>
          <w:rFonts w:ascii="Verdana" w:eastAsia="Verdana" w:hAnsi="Verdana" w:cs="Verdana"/>
          <w:highlight w:val="white"/>
        </w:rPr>
      </w:pPr>
      <w:r w:rsidRPr="001F36F6">
        <w:rPr>
          <w:rFonts w:ascii="Verdana" w:eastAsia="Verdana" w:hAnsi="Verdana" w:cs="Verdana"/>
          <w:highlight w:val="white"/>
        </w:rPr>
        <w:t>en uso de las facultades legales, especialmente las conferidas en la Ley 1150 de 2007, el Decreto Reglamentario 1510 de 2013, la Resolución número 3146 de 2014 y la Guía para la Gestión de los Bienes en el ICBF, y</w:t>
      </w:r>
    </w:p>
    <w:p w14:paraId="04BB1424" w14:textId="77777777" w:rsidR="00A94CDA" w:rsidRPr="001F36F6" w:rsidRDefault="00000000">
      <w:pPr>
        <w:shd w:val="clear" w:color="auto" w:fill="FFFFFF"/>
        <w:spacing w:after="240"/>
        <w:jc w:val="center"/>
        <w:rPr>
          <w:rFonts w:ascii="Verdana" w:eastAsia="Verdana" w:hAnsi="Verdana" w:cs="Verdana"/>
          <w:b/>
          <w:bCs/>
        </w:rPr>
      </w:pPr>
      <w:r w:rsidRPr="001F36F6">
        <w:rPr>
          <w:rFonts w:ascii="Verdana" w:eastAsia="Verdana" w:hAnsi="Verdana" w:cs="Verdana"/>
          <w:b/>
          <w:bCs/>
        </w:rPr>
        <w:t>CONSIDERANDO:</w:t>
      </w:r>
    </w:p>
    <w:p w14:paraId="18005BCF" w14:textId="69AC8735" w:rsidR="00A94CDA" w:rsidRPr="001F36F6" w:rsidRDefault="00000000">
      <w:pPr>
        <w:shd w:val="clear" w:color="auto" w:fill="FFFFFF"/>
        <w:jc w:val="both"/>
        <w:rPr>
          <w:rFonts w:ascii="Verdana" w:eastAsia="Verdana" w:hAnsi="Verdana" w:cs="Verdana"/>
        </w:rPr>
      </w:pPr>
      <w:r w:rsidRPr="001F36F6">
        <w:rPr>
          <w:rFonts w:ascii="Verdana" w:eastAsia="Verdana" w:hAnsi="Verdana" w:cs="Verdana"/>
        </w:rPr>
        <w:t>Que de conformidad con el artículo 26911 &lt;sic, es 269&gt; de la Constitución Política, las Entidades Públicas y las autoridades correspondientes están obligadas a diseñar y aplicar, según la naturaleza de sus funciones, métodos y procedimientos de control interno, y que con fundamento en los principios de eficacia y economía establecidos en el artículo 20912 &lt;sic, es 209&gt; de la Constitución Política, se hace necesario, fortalecer el Control Interno sobre las propiedades, planta y equipo del Instituto.</w:t>
      </w:r>
    </w:p>
    <w:p w14:paraId="60CEC68D" w14:textId="00F00FAF" w:rsidR="00A94CDA" w:rsidRPr="001F36F6" w:rsidRDefault="00000000">
      <w:pPr>
        <w:shd w:val="clear" w:color="auto" w:fill="FFFFFF"/>
        <w:jc w:val="both"/>
        <w:rPr>
          <w:rFonts w:ascii="Verdana" w:eastAsia="Verdana" w:hAnsi="Verdana" w:cs="Verdana"/>
        </w:rPr>
      </w:pPr>
      <w:r w:rsidRPr="001F36F6">
        <w:rPr>
          <w:rFonts w:ascii="Verdana" w:eastAsia="Verdana" w:hAnsi="Verdana" w:cs="Verdana"/>
        </w:rPr>
        <w:t xml:space="preserve">Que el artículo 60 de la Ley 780 de 2002 establece, que cuando los órganos que conforman el Presupuesto General de la </w:t>
      </w:r>
      <w:proofErr w:type="gramStart"/>
      <w:r w:rsidRPr="001F36F6">
        <w:rPr>
          <w:rFonts w:ascii="Verdana" w:eastAsia="Verdana" w:hAnsi="Verdana" w:cs="Verdana"/>
        </w:rPr>
        <w:t>Nación,</w:t>
      </w:r>
      <w:proofErr w:type="gramEnd"/>
      <w:r w:rsidRPr="001F36F6">
        <w:rPr>
          <w:rFonts w:ascii="Verdana" w:eastAsia="Verdana" w:hAnsi="Verdana" w:cs="Verdana"/>
        </w:rPr>
        <w:t xml:space="preserve"> posean bienes muebles que en la actualidad no se estén utilizando o que no sean necesarios para el desarrollo normal de sus funciones, deberán adelantar todas las actividades tendientes a enajenarlos o arrendarlos.</w:t>
      </w:r>
    </w:p>
    <w:p w14:paraId="77A3EB75" w14:textId="7F4B6E40" w:rsidR="00A94CDA" w:rsidRPr="001F36F6" w:rsidRDefault="00000000">
      <w:pPr>
        <w:shd w:val="clear" w:color="auto" w:fill="FFFFFF"/>
        <w:jc w:val="both"/>
        <w:rPr>
          <w:rFonts w:ascii="Verdana" w:eastAsia="Verdana" w:hAnsi="Verdana" w:cs="Verdana"/>
        </w:rPr>
      </w:pPr>
      <w:r w:rsidRPr="001F36F6">
        <w:rPr>
          <w:rFonts w:ascii="Verdana" w:eastAsia="Verdana" w:hAnsi="Verdana" w:cs="Verdana"/>
        </w:rPr>
        <w:t>Que mediante el Decreto número 1510 de 2013, por el cual se reglamenta el sistema de compras y contratación pública, se establecen los mecanismos para la enajenación de bienes del Estado.</w:t>
      </w:r>
    </w:p>
    <w:p w14:paraId="668CD858" w14:textId="79981CDE" w:rsidR="00A94CDA" w:rsidRPr="001F36F6" w:rsidRDefault="00000000">
      <w:pPr>
        <w:shd w:val="clear" w:color="auto" w:fill="FFFFFF"/>
        <w:jc w:val="both"/>
        <w:rPr>
          <w:rFonts w:ascii="Verdana" w:eastAsia="Verdana" w:hAnsi="Verdana" w:cs="Verdana"/>
        </w:rPr>
      </w:pPr>
      <w:r w:rsidRPr="001F36F6">
        <w:rPr>
          <w:rFonts w:ascii="Verdana" w:eastAsia="Verdana" w:hAnsi="Verdana" w:cs="Verdana"/>
        </w:rPr>
        <w:t xml:space="preserve">Que de conformidad con el artículo 88 del Decreto número 1510 de 2013, “La selección abreviada es la modalidad para la enajenación de bienes del Estado, la </w:t>
      </w:r>
      <w:r w:rsidRPr="001F36F6">
        <w:rPr>
          <w:rFonts w:ascii="Verdana" w:eastAsia="Verdana" w:hAnsi="Verdana" w:cs="Verdana"/>
        </w:rPr>
        <w:lastRenderedPageBreak/>
        <w:t>cual se rige por las disposiciones contenidas en el presente capítulo, salvo por las normas aplicables a la enajenación de los bienes a cargo del Fondo para la Rehabilitación, Inversión Social y Lucha contra el Crimen Organizado y la enajenación de que tratan la Ley 226 de 1995, el Decreto-ley 254 de 2000 y la Ley 1105 de 2006”.</w:t>
      </w:r>
    </w:p>
    <w:p w14:paraId="0CD51AD5" w14:textId="77777777" w:rsidR="001F36F6" w:rsidRPr="001F36F6" w:rsidRDefault="001F36F6">
      <w:pPr>
        <w:shd w:val="clear" w:color="auto" w:fill="FFFFFF"/>
        <w:jc w:val="both"/>
        <w:rPr>
          <w:rFonts w:ascii="Verdana" w:eastAsia="Verdana" w:hAnsi="Verdana" w:cs="Verdana"/>
        </w:rPr>
      </w:pPr>
    </w:p>
    <w:p w14:paraId="44549716" w14:textId="0BDE985D" w:rsidR="00A94CDA" w:rsidRPr="001F36F6" w:rsidRDefault="00000000">
      <w:pPr>
        <w:shd w:val="clear" w:color="auto" w:fill="FFFFFF"/>
        <w:jc w:val="both"/>
        <w:rPr>
          <w:rFonts w:ascii="Verdana" w:eastAsia="Verdana" w:hAnsi="Verdana" w:cs="Verdana"/>
        </w:rPr>
      </w:pPr>
      <w:r w:rsidRPr="001F36F6">
        <w:rPr>
          <w:rFonts w:ascii="Verdana" w:eastAsia="Verdana" w:hAnsi="Verdana" w:cs="Verdana"/>
        </w:rPr>
        <w:t>Que el artículo 91 del Decreto número 1510 de 2013 señala que las entidades estatales que no están obligadas a la enajenación de sus bienes a la Central de Inversiones (CISA S.A.), de acuerdo con lo dispuesto en el artículo 90 del mismo decreto, pueden realizar directamente la enajenación, o contratar para ello promotores, bancas de inversión, martillos, comisionistas de bolsas de bienes y productos, o cualquier otro intermediario idóneo, según corresponda al tipo de bien a enajenar.</w:t>
      </w:r>
    </w:p>
    <w:p w14:paraId="7C350F24" w14:textId="4D737D93" w:rsidR="00A94CDA" w:rsidRPr="001F36F6" w:rsidRDefault="00000000">
      <w:pPr>
        <w:shd w:val="clear" w:color="auto" w:fill="FFFFFF"/>
        <w:jc w:val="both"/>
        <w:rPr>
          <w:rFonts w:ascii="Verdana" w:eastAsia="Verdana" w:hAnsi="Verdana" w:cs="Verdana"/>
        </w:rPr>
      </w:pPr>
      <w:r w:rsidRPr="001F36F6">
        <w:rPr>
          <w:rFonts w:ascii="Verdana" w:eastAsia="Verdana" w:hAnsi="Verdana" w:cs="Verdana"/>
        </w:rPr>
        <w:t>Que mediante Resolución número 3042 de 2012, se aprobó el Manual del Sistema Integrado de Gestión versión 7.0 y se adoptaron los Macroprocesos y Procesos del ICBF.</w:t>
      </w:r>
    </w:p>
    <w:p w14:paraId="1A92C45A" w14:textId="77777777" w:rsidR="00A94CDA" w:rsidRPr="001F36F6" w:rsidRDefault="00000000">
      <w:pPr>
        <w:shd w:val="clear" w:color="auto" w:fill="FFFFFF"/>
        <w:spacing w:after="240"/>
        <w:jc w:val="both"/>
        <w:rPr>
          <w:rFonts w:ascii="Verdana" w:eastAsia="Verdana" w:hAnsi="Verdana" w:cs="Verdana"/>
        </w:rPr>
      </w:pPr>
      <w:r w:rsidRPr="001F36F6">
        <w:rPr>
          <w:rFonts w:ascii="Verdana" w:eastAsia="Verdana" w:hAnsi="Verdana" w:cs="Verdana"/>
        </w:rPr>
        <w:t>Que teniendo en cuenta lo anterior, el ICBF adoptó la Guía para la Gestión de los Bienes V5 del Instituto G2 MPA1 P5, con la finalidad de desarrollar labores inherentes a la administración de los bienes muebles e inmuebles de su propiedad y de aquellos que reciba a cualquier otro título.</w:t>
      </w:r>
    </w:p>
    <w:p w14:paraId="0B83764F" w14:textId="77777777" w:rsidR="00A94CDA" w:rsidRPr="001F36F6" w:rsidRDefault="00000000">
      <w:pPr>
        <w:shd w:val="clear" w:color="auto" w:fill="FFFFFF"/>
        <w:spacing w:after="240"/>
        <w:jc w:val="both"/>
        <w:rPr>
          <w:rFonts w:ascii="Verdana" w:eastAsia="Verdana" w:hAnsi="Verdana" w:cs="Verdana"/>
        </w:rPr>
      </w:pPr>
      <w:proofErr w:type="gramStart"/>
      <w:r w:rsidRPr="001F36F6">
        <w:rPr>
          <w:rFonts w:ascii="Verdana" w:eastAsia="Verdana" w:hAnsi="Verdana" w:cs="Verdana"/>
        </w:rPr>
        <w:t>Que</w:t>
      </w:r>
      <w:proofErr w:type="gramEnd"/>
      <w:r w:rsidRPr="001F36F6">
        <w:rPr>
          <w:rFonts w:ascii="Verdana" w:eastAsia="Verdana" w:hAnsi="Verdana" w:cs="Verdana"/>
        </w:rPr>
        <w:t xml:space="preserve"> de conformidad con lo establecido en los estándares de calidad exigidos por la Dirección de Planeación y Control de Gestión del ICBF, la Dirección Administrativa en sus macroprocesos cuenta con procedimientos internos y con la Guía de Gestión de Bienes V5, en los cuales se señala el trámite a seguir para definir la destinación y enajenación bienes muebles de su propiedad que no se requieran para su servicio.</w:t>
      </w:r>
    </w:p>
    <w:p w14:paraId="4D5E5E5C" w14:textId="77777777" w:rsidR="00A94CDA" w:rsidRPr="001F36F6" w:rsidRDefault="00000000">
      <w:pPr>
        <w:shd w:val="clear" w:color="auto" w:fill="FFFFFF"/>
        <w:spacing w:after="240"/>
        <w:jc w:val="both"/>
        <w:rPr>
          <w:rFonts w:ascii="Verdana" w:eastAsia="Verdana" w:hAnsi="Verdana" w:cs="Verdana"/>
        </w:rPr>
      </w:pPr>
      <w:r w:rsidRPr="001F36F6">
        <w:rPr>
          <w:rFonts w:ascii="Verdana" w:eastAsia="Verdana" w:hAnsi="Verdana" w:cs="Verdana"/>
        </w:rPr>
        <w:t>Que dando cumplimiento al procedimiento número PR4 MPA1 P5 que define la destinación de bienes muebles y el trámite de baja definitiva de bienes muebles que no son requeridos para el desarrollo del servicio, establecido en el procedimiento número PR6 MPA1 P5, los bienes objeto de venta en la presente resolución se encuentran dentro de los inventarios de la Sede de la Dirección General y han sido clasificados por grupos, de acuerdo con sus características con costo histórico, depreciación acumulada, valor registrado en gasto y saldo en libros como consta en el acta de inspección ocular en la cual se encuentran relacionados los bienes inservibles en tres (3) folios con corte a 30 de septiembre de 2014 y acta de revisión y consolidación de inventario de bienes efectuada entre el 27 al 29 de agosto de 2014, suscrita por el almacenista de la Sede de la Dirección General, la cual hace parte integral de la presente Resolución.</w:t>
      </w:r>
    </w:p>
    <w:p w14:paraId="3856C8F6" w14:textId="77777777" w:rsidR="00A94CDA" w:rsidRPr="001F36F6" w:rsidRDefault="00000000">
      <w:pPr>
        <w:shd w:val="clear" w:color="auto" w:fill="FFFFFF"/>
        <w:spacing w:after="240"/>
        <w:jc w:val="both"/>
        <w:rPr>
          <w:rFonts w:ascii="Verdana" w:eastAsia="Verdana" w:hAnsi="Verdana" w:cs="Verdana"/>
        </w:rPr>
      </w:pPr>
      <w:r w:rsidRPr="001F36F6">
        <w:rPr>
          <w:rFonts w:ascii="Verdana" w:eastAsia="Verdana" w:hAnsi="Verdana" w:cs="Verdana"/>
        </w:rPr>
        <w:t>Que a 30 de septiembre de 2014 se encuentran contabilizados algunos bienes muebles de la Sede de la Dirección General cuyo costo histórico es de $501.282.930, una depreciación acumulada de $443.935.585.43, un valor registrado en gastos de $57.347.344.57, y un saldo en libros de $0.00, los cuales son considerados como elementos inservibles.</w:t>
      </w:r>
    </w:p>
    <w:p w14:paraId="74686187" w14:textId="77777777" w:rsidR="00A94CDA" w:rsidRPr="001F36F6" w:rsidRDefault="00000000">
      <w:pPr>
        <w:shd w:val="clear" w:color="auto" w:fill="FFFFFF"/>
        <w:spacing w:after="240"/>
        <w:jc w:val="both"/>
        <w:rPr>
          <w:rFonts w:ascii="Verdana" w:eastAsia="Verdana" w:hAnsi="Verdana" w:cs="Verdana"/>
        </w:rPr>
      </w:pPr>
      <w:r w:rsidRPr="001F36F6">
        <w:rPr>
          <w:rFonts w:ascii="Verdana" w:eastAsia="Verdana" w:hAnsi="Verdana" w:cs="Verdana"/>
        </w:rPr>
        <w:lastRenderedPageBreak/>
        <w:t xml:space="preserve">Que la </w:t>
      </w:r>
      <w:proofErr w:type="gramStart"/>
      <w:r w:rsidRPr="001F36F6">
        <w:rPr>
          <w:rFonts w:ascii="Verdana" w:eastAsia="Verdana" w:hAnsi="Verdana" w:cs="Verdana"/>
        </w:rPr>
        <w:t>Directora</w:t>
      </w:r>
      <w:proofErr w:type="gramEnd"/>
      <w:r w:rsidRPr="001F36F6">
        <w:rPr>
          <w:rFonts w:ascii="Verdana" w:eastAsia="Verdana" w:hAnsi="Verdana" w:cs="Verdana"/>
        </w:rPr>
        <w:t xml:space="preserve"> Administrativa, mediante certificación de fecha 27 de octubre de 2014, hace constar que estos bienes no son necesarios para el normal funcionamiento de la entidad, de acuerdo con el concepto del Acta de Inspección Ocular del 30 de septiembre de 2014, suscrito por el servidor público, Roberto Osorio Vargas, en su condición de almacenista de la Sede de la Dirección General.</w:t>
      </w:r>
    </w:p>
    <w:p w14:paraId="637261EA" w14:textId="51967170" w:rsidR="00A94CDA" w:rsidRPr="001F36F6" w:rsidRDefault="00000000">
      <w:pPr>
        <w:shd w:val="clear" w:color="auto" w:fill="FFFFFF"/>
        <w:jc w:val="both"/>
        <w:rPr>
          <w:rFonts w:ascii="Verdana" w:eastAsia="Verdana" w:hAnsi="Verdana" w:cs="Verdana"/>
        </w:rPr>
      </w:pPr>
      <w:r w:rsidRPr="001F36F6">
        <w:rPr>
          <w:rFonts w:ascii="Verdana" w:eastAsia="Verdana" w:hAnsi="Verdana" w:cs="Verdana"/>
        </w:rPr>
        <w:t>Que en virtud de lo dispuesto en el Decreto número 1510 de 2013, el ICBF podrá enajenar sus bienes a través de los mecanismos de oferta en sobre cerrado, subasta pública o contratar un intermediario idóneo para que realice la Intermediación Comercial tendiente al logro y perfeccionamiento de la enajenación mediante procedimientos de subasta pública de los bienes muebles e inmuebles, de propiedad del Instituto Colombiano de Bienestar Familiar, (ICBF), en todo el territorio nacional, y así mismo brinde asesoría en la creación de los lotes y determinación del precio mínimo de venta con base en las condiciones del mercado, el estado de los bienes muebles y el registro en libros.</w:t>
      </w:r>
    </w:p>
    <w:p w14:paraId="3623412C" w14:textId="7032E140" w:rsidR="00A94CDA" w:rsidRPr="001F36F6" w:rsidRDefault="00000000">
      <w:pPr>
        <w:shd w:val="clear" w:color="auto" w:fill="FFFFFF"/>
        <w:jc w:val="both"/>
        <w:rPr>
          <w:rFonts w:ascii="Verdana" w:eastAsia="Verdana" w:hAnsi="Verdana" w:cs="Verdana"/>
        </w:rPr>
      </w:pPr>
      <w:r w:rsidRPr="001F36F6">
        <w:rPr>
          <w:rFonts w:ascii="Verdana" w:eastAsia="Verdana" w:hAnsi="Verdana" w:cs="Verdana"/>
        </w:rPr>
        <w:t>Que de conformidad con lo dispuesto en el artículo 100 del Decreto número 1510 de 2013, la enajenación de bienes mediante intermediarios debe realizarse a través de subasta pública, o mediante el mecanismo de derecho privado que se convenga con el intermediario.</w:t>
      </w:r>
    </w:p>
    <w:p w14:paraId="018815CC" w14:textId="77777777" w:rsidR="00A94CDA" w:rsidRPr="001F36F6" w:rsidRDefault="00000000">
      <w:pPr>
        <w:shd w:val="clear" w:color="auto" w:fill="FFFFFF"/>
        <w:spacing w:after="240"/>
        <w:jc w:val="both"/>
        <w:rPr>
          <w:rFonts w:ascii="Verdana" w:eastAsia="Verdana" w:hAnsi="Verdana" w:cs="Verdana"/>
        </w:rPr>
      </w:pPr>
      <w:r w:rsidRPr="001F36F6">
        <w:rPr>
          <w:rFonts w:ascii="Verdana" w:eastAsia="Verdana" w:hAnsi="Verdana" w:cs="Verdana"/>
        </w:rPr>
        <w:t>Por lo anteriormente expuesto,</w:t>
      </w:r>
    </w:p>
    <w:p w14:paraId="5CB8DA4C" w14:textId="77777777" w:rsidR="00A94CDA" w:rsidRPr="001F36F6" w:rsidRDefault="00000000">
      <w:pPr>
        <w:shd w:val="clear" w:color="auto" w:fill="FFFFFF"/>
        <w:jc w:val="center"/>
        <w:rPr>
          <w:rFonts w:ascii="Verdana" w:eastAsia="Verdana" w:hAnsi="Verdana" w:cs="Verdana"/>
          <w:b/>
          <w:bCs/>
        </w:rPr>
      </w:pPr>
      <w:r w:rsidRPr="001F36F6">
        <w:rPr>
          <w:rFonts w:ascii="Verdana" w:eastAsia="Verdana" w:hAnsi="Verdana" w:cs="Verdana"/>
          <w:b/>
          <w:bCs/>
        </w:rPr>
        <w:t>RESUELVE:</w:t>
      </w:r>
    </w:p>
    <w:p w14:paraId="3A9B6F60" w14:textId="64E41872" w:rsidR="00A94CDA" w:rsidRPr="001F36F6" w:rsidRDefault="00000000">
      <w:pPr>
        <w:shd w:val="clear" w:color="auto" w:fill="FFFFFF"/>
        <w:jc w:val="both"/>
        <w:rPr>
          <w:rFonts w:ascii="Verdana" w:eastAsia="Verdana" w:hAnsi="Verdana" w:cs="Verdana"/>
        </w:rPr>
      </w:pPr>
      <w:r w:rsidRPr="001F36F6">
        <w:rPr>
          <w:rFonts w:ascii="Verdana" w:eastAsia="Verdana" w:hAnsi="Verdana" w:cs="Verdana"/>
          <w:b/>
          <w:bCs/>
        </w:rPr>
        <w:t>ARTÍCULO PRIMERO.</w:t>
      </w:r>
      <w:r w:rsidRPr="001F36F6">
        <w:rPr>
          <w:rFonts w:ascii="Verdana" w:eastAsia="Verdana" w:hAnsi="Verdana" w:cs="Verdana"/>
        </w:rPr>
        <w:t xml:space="preserve"> Autorizar la enajenación de los bienes muebles que no se requieren para el funcionamiento de la entidad por inservibles o por no ser de utilidad para el ICBF ubicados en la Planta de Producción de </w:t>
      </w:r>
      <w:proofErr w:type="spellStart"/>
      <w:r w:rsidRPr="001F36F6">
        <w:rPr>
          <w:rFonts w:ascii="Verdana" w:eastAsia="Verdana" w:hAnsi="Verdana" w:cs="Verdana"/>
        </w:rPr>
        <w:t>Bienestarina</w:t>
      </w:r>
      <w:proofErr w:type="spellEnd"/>
      <w:r w:rsidRPr="001F36F6">
        <w:rPr>
          <w:rFonts w:ascii="Verdana" w:eastAsia="Verdana" w:hAnsi="Verdana" w:cs="Verdana"/>
        </w:rPr>
        <w:t xml:space="preserve"> Cartago, Valle, en la calle 13 No 55-120 del municipio de Zaragoza y descritos en la Relación de bienes inservibles, con corte a 30 de septiembre de 2014, Bodega de Inservibles - número </w:t>
      </w:r>
      <w:r w:rsidRPr="001F36F6">
        <w:rPr>
          <w:rFonts w:ascii="Verdana" w:eastAsia="Verdana" w:hAnsi="Verdana" w:cs="Verdana"/>
          <w:b/>
          <w:bCs/>
        </w:rPr>
        <w:t xml:space="preserve">1003 </w:t>
      </w:r>
      <w:r w:rsidRPr="001F36F6">
        <w:rPr>
          <w:rFonts w:ascii="Verdana" w:eastAsia="Verdana" w:hAnsi="Verdana" w:cs="Verdana"/>
        </w:rPr>
        <w:t>a través de los mecanismos dispuestos en el Decreto 1510 de 2013.</w:t>
      </w:r>
    </w:p>
    <w:p w14:paraId="780C8C0A" w14:textId="77777777" w:rsidR="00A94CDA" w:rsidRPr="001F36F6" w:rsidRDefault="00A94CDA">
      <w:pPr>
        <w:shd w:val="clear" w:color="auto" w:fill="FFFFFF"/>
        <w:jc w:val="both"/>
        <w:rPr>
          <w:rFonts w:ascii="Verdana" w:eastAsia="Verdana" w:hAnsi="Verdana" w:cs="Verdana"/>
        </w:rPr>
      </w:pPr>
    </w:p>
    <w:p w14:paraId="1465577E" w14:textId="659CE746" w:rsidR="00A94CDA" w:rsidRPr="001F36F6" w:rsidRDefault="00000000">
      <w:pPr>
        <w:shd w:val="clear" w:color="auto" w:fill="FFFFFF"/>
        <w:jc w:val="both"/>
        <w:rPr>
          <w:rFonts w:ascii="Verdana" w:eastAsia="Verdana" w:hAnsi="Verdana" w:cs="Verdana"/>
        </w:rPr>
      </w:pPr>
      <w:r w:rsidRPr="001F36F6">
        <w:rPr>
          <w:rFonts w:ascii="Verdana" w:eastAsia="Verdana" w:hAnsi="Verdana" w:cs="Verdana"/>
          <w:b/>
          <w:bCs/>
        </w:rPr>
        <w:t>ARTÍCULO SEGUNDO.</w:t>
      </w:r>
      <w:r w:rsidRPr="001F36F6">
        <w:rPr>
          <w:rFonts w:ascii="Verdana" w:eastAsia="Verdana" w:hAnsi="Verdana" w:cs="Verdana"/>
        </w:rPr>
        <w:t xml:space="preserve"> El precio mínimo de venta se establecerá de conformidad con lo señalado en el artículo 106 del citado decreto.</w:t>
      </w:r>
    </w:p>
    <w:p w14:paraId="0EDA39FE" w14:textId="77777777" w:rsidR="00A94CDA" w:rsidRPr="001F36F6" w:rsidRDefault="00A94CDA">
      <w:pPr>
        <w:shd w:val="clear" w:color="auto" w:fill="FFFFFF"/>
        <w:jc w:val="both"/>
        <w:rPr>
          <w:rFonts w:ascii="Verdana" w:eastAsia="Verdana" w:hAnsi="Verdana" w:cs="Verdana"/>
        </w:rPr>
      </w:pPr>
    </w:p>
    <w:p w14:paraId="64EF881C" w14:textId="77777777" w:rsidR="00A94CDA" w:rsidRPr="001F36F6" w:rsidRDefault="00000000">
      <w:pPr>
        <w:shd w:val="clear" w:color="auto" w:fill="FFFFFF"/>
        <w:jc w:val="both"/>
        <w:rPr>
          <w:rFonts w:ascii="Verdana" w:eastAsia="Verdana" w:hAnsi="Verdana" w:cs="Verdana"/>
        </w:rPr>
      </w:pPr>
      <w:r w:rsidRPr="001F36F6">
        <w:rPr>
          <w:rFonts w:ascii="Verdana" w:eastAsia="Verdana" w:hAnsi="Verdana" w:cs="Verdana"/>
          <w:b/>
          <w:bCs/>
        </w:rPr>
        <w:t>ARTÍCULO TERCERO.</w:t>
      </w:r>
      <w:r w:rsidRPr="001F36F6">
        <w:rPr>
          <w:rFonts w:ascii="Verdana" w:eastAsia="Verdana" w:hAnsi="Verdana" w:cs="Verdana"/>
        </w:rPr>
        <w:t xml:space="preserve"> Una vez se perfeccione la enajenación serán dados de baja definitiva los bienes muebles en el sistema de información SEVEN/ERP, elementos que previamente fueron identificados en el acta de inspección ocular con la relación de bienes inservibles, con corte a 30 de septiembre de 2014 en tres (3) folios, Bodega de Inservibles -1003, la cual forma parte integral de la presente resolución, y que se encuentran físicamente en la Planta de Producción de </w:t>
      </w:r>
      <w:proofErr w:type="spellStart"/>
      <w:r w:rsidRPr="001F36F6">
        <w:rPr>
          <w:rFonts w:ascii="Verdana" w:eastAsia="Verdana" w:hAnsi="Verdana" w:cs="Verdana"/>
        </w:rPr>
        <w:t>Bienestarina</w:t>
      </w:r>
      <w:proofErr w:type="spellEnd"/>
      <w:r w:rsidRPr="001F36F6">
        <w:rPr>
          <w:rFonts w:ascii="Verdana" w:eastAsia="Verdana" w:hAnsi="Verdana" w:cs="Verdana"/>
        </w:rPr>
        <w:t xml:space="preserve"> Cartago, determinados por Grupo, Placa, Elemento, Serial, Marca, Modelo, Costo Histórico, Depreciación Acumulada, Valor Registrado en Gasto y Saldo en libros, elementos que se relacionan por agrupación así:</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4"/>
        <w:gridCol w:w="1190"/>
        <w:gridCol w:w="1451"/>
        <w:gridCol w:w="1480"/>
        <w:gridCol w:w="1480"/>
        <w:gridCol w:w="1363"/>
        <w:gridCol w:w="667"/>
      </w:tblGrid>
      <w:tr w:rsidR="00A94CDA" w:rsidRPr="001F36F6" w14:paraId="33B17979" w14:textId="77777777">
        <w:trPr>
          <w:trHeight w:val="810"/>
        </w:trPr>
        <w:tc>
          <w:tcPr>
            <w:tcW w:w="1393" w:type="dxa"/>
            <w:tcMar>
              <w:top w:w="0" w:type="dxa"/>
              <w:left w:w="0" w:type="dxa"/>
              <w:bottom w:w="0" w:type="dxa"/>
              <w:right w:w="0" w:type="dxa"/>
            </w:tcMar>
          </w:tcPr>
          <w:p w14:paraId="544574E9" w14:textId="77777777" w:rsidR="00A94CDA" w:rsidRPr="001F36F6" w:rsidRDefault="00000000">
            <w:pPr>
              <w:spacing w:line="270" w:lineRule="auto"/>
              <w:jc w:val="center"/>
              <w:rPr>
                <w:rFonts w:ascii="Verdana" w:eastAsia="Verdana" w:hAnsi="Verdana" w:cs="Verdana"/>
                <w:b/>
                <w:bCs/>
              </w:rPr>
            </w:pPr>
            <w:r w:rsidRPr="001F36F6">
              <w:rPr>
                <w:rFonts w:ascii="Verdana" w:eastAsia="Verdana" w:hAnsi="Verdana" w:cs="Verdana"/>
                <w:b/>
                <w:bCs/>
              </w:rPr>
              <w:t>Bodega</w:t>
            </w:r>
          </w:p>
        </w:tc>
        <w:tc>
          <w:tcPr>
            <w:tcW w:w="1189" w:type="dxa"/>
            <w:tcMar>
              <w:top w:w="0" w:type="dxa"/>
              <w:left w:w="0" w:type="dxa"/>
              <w:bottom w:w="0" w:type="dxa"/>
              <w:right w:w="0" w:type="dxa"/>
            </w:tcMar>
          </w:tcPr>
          <w:p w14:paraId="07A2E737" w14:textId="77777777" w:rsidR="00A94CDA" w:rsidRPr="001F36F6" w:rsidRDefault="00000000">
            <w:pPr>
              <w:spacing w:line="270" w:lineRule="auto"/>
              <w:jc w:val="center"/>
              <w:rPr>
                <w:rFonts w:ascii="Verdana" w:eastAsia="Verdana" w:hAnsi="Verdana" w:cs="Verdana"/>
                <w:b/>
                <w:bCs/>
              </w:rPr>
            </w:pPr>
            <w:r w:rsidRPr="001F36F6">
              <w:rPr>
                <w:rFonts w:ascii="Verdana" w:eastAsia="Verdana" w:hAnsi="Verdana" w:cs="Verdana"/>
                <w:b/>
                <w:bCs/>
              </w:rPr>
              <w:t>Agrupación</w:t>
            </w:r>
          </w:p>
        </w:tc>
        <w:tc>
          <w:tcPr>
            <w:tcW w:w="1451" w:type="dxa"/>
            <w:tcMar>
              <w:top w:w="0" w:type="dxa"/>
              <w:left w:w="0" w:type="dxa"/>
              <w:bottom w:w="0" w:type="dxa"/>
              <w:right w:w="0" w:type="dxa"/>
            </w:tcMar>
          </w:tcPr>
          <w:p w14:paraId="0F8CD0EC" w14:textId="77777777" w:rsidR="00A94CDA" w:rsidRPr="001F36F6" w:rsidRDefault="00000000">
            <w:pPr>
              <w:spacing w:line="270" w:lineRule="auto"/>
              <w:jc w:val="center"/>
              <w:rPr>
                <w:rFonts w:ascii="Verdana" w:eastAsia="Verdana" w:hAnsi="Verdana" w:cs="Verdana"/>
                <w:b/>
                <w:bCs/>
              </w:rPr>
            </w:pPr>
            <w:r w:rsidRPr="001F36F6">
              <w:rPr>
                <w:rFonts w:ascii="Verdana" w:eastAsia="Verdana" w:hAnsi="Verdana" w:cs="Verdana"/>
                <w:b/>
                <w:bCs/>
              </w:rPr>
              <w:t>Nombre de Agrupación</w:t>
            </w:r>
          </w:p>
        </w:tc>
        <w:tc>
          <w:tcPr>
            <w:tcW w:w="1480" w:type="dxa"/>
            <w:tcMar>
              <w:top w:w="0" w:type="dxa"/>
              <w:left w:w="0" w:type="dxa"/>
              <w:bottom w:w="0" w:type="dxa"/>
              <w:right w:w="0" w:type="dxa"/>
            </w:tcMar>
          </w:tcPr>
          <w:p w14:paraId="28379A18" w14:textId="77777777" w:rsidR="00A94CDA" w:rsidRPr="001F36F6" w:rsidRDefault="00000000">
            <w:pPr>
              <w:spacing w:line="270" w:lineRule="auto"/>
              <w:jc w:val="center"/>
              <w:rPr>
                <w:rFonts w:ascii="Verdana" w:eastAsia="Verdana" w:hAnsi="Verdana" w:cs="Verdana"/>
                <w:b/>
                <w:bCs/>
              </w:rPr>
            </w:pPr>
            <w:r w:rsidRPr="001F36F6">
              <w:rPr>
                <w:rFonts w:ascii="Verdana" w:eastAsia="Verdana" w:hAnsi="Verdana" w:cs="Verdana"/>
                <w:b/>
                <w:bCs/>
              </w:rPr>
              <w:t>Costo Histórico</w:t>
            </w:r>
          </w:p>
        </w:tc>
        <w:tc>
          <w:tcPr>
            <w:tcW w:w="1480" w:type="dxa"/>
            <w:tcMar>
              <w:top w:w="0" w:type="dxa"/>
              <w:left w:w="0" w:type="dxa"/>
              <w:bottom w:w="0" w:type="dxa"/>
              <w:right w:w="0" w:type="dxa"/>
            </w:tcMar>
          </w:tcPr>
          <w:p w14:paraId="781F5292" w14:textId="77777777" w:rsidR="00A94CDA" w:rsidRPr="001F36F6" w:rsidRDefault="00000000">
            <w:pPr>
              <w:spacing w:line="270" w:lineRule="auto"/>
              <w:jc w:val="center"/>
              <w:rPr>
                <w:rFonts w:ascii="Verdana" w:eastAsia="Verdana" w:hAnsi="Verdana" w:cs="Verdana"/>
                <w:b/>
                <w:bCs/>
              </w:rPr>
            </w:pPr>
            <w:r w:rsidRPr="001F36F6">
              <w:rPr>
                <w:rFonts w:ascii="Verdana" w:eastAsia="Verdana" w:hAnsi="Verdana" w:cs="Verdana"/>
                <w:b/>
                <w:bCs/>
              </w:rPr>
              <w:t>Depreciación Acumulada</w:t>
            </w:r>
          </w:p>
        </w:tc>
        <w:tc>
          <w:tcPr>
            <w:tcW w:w="1363" w:type="dxa"/>
            <w:tcMar>
              <w:top w:w="0" w:type="dxa"/>
              <w:left w:w="0" w:type="dxa"/>
              <w:bottom w:w="0" w:type="dxa"/>
              <w:right w:w="0" w:type="dxa"/>
            </w:tcMar>
          </w:tcPr>
          <w:p w14:paraId="64AFB2A8" w14:textId="77777777" w:rsidR="00A94CDA" w:rsidRPr="001F36F6" w:rsidRDefault="00000000">
            <w:pPr>
              <w:spacing w:line="270" w:lineRule="auto"/>
              <w:jc w:val="center"/>
              <w:rPr>
                <w:rFonts w:ascii="Verdana" w:eastAsia="Verdana" w:hAnsi="Verdana" w:cs="Verdana"/>
                <w:b/>
                <w:bCs/>
              </w:rPr>
            </w:pPr>
            <w:r w:rsidRPr="001F36F6">
              <w:rPr>
                <w:rFonts w:ascii="Verdana" w:eastAsia="Verdana" w:hAnsi="Verdana" w:cs="Verdana"/>
                <w:b/>
                <w:bCs/>
              </w:rPr>
              <w:t>Valor registrado en Gasto*</w:t>
            </w:r>
          </w:p>
        </w:tc>
        <w:tc>
          <w:tcPr>
            <w:tcW w:w="667" w:type="dxa"/>
            <w:tcMar>
              <w:top w:w="0" w:type="dxa"/>
              <w:left w:w="0" w:type="dxa"/>
              <w:bottom w:w="0" w:type="dxa"/>
              <w:right w:w="0" w:type="dxa"/>
            </w:tcMar>
          </w:tcPr>
          <w:p w14:paraId="4365CE8B" w14:textId="77777777" w:rsidR="00A94CDA" w:rsidRPr="001F36F6" w:rsidRDefault="00000000">
            <w:pPr>
              <w:spacing w:line="270" w:lineRule="auto"/>
              <w:jc w:val="center"/>
              <w:rPr>
                <w:rFonts w:ascii="Verdana" w:eastAsia="Verdana" w:hAnsi="Verdana" w:cs="Verdana"/>
                <w:b/>
                <w:bCs/>
              </w:rPr>
            </w:pPr>
            <w:r w:rsidRPr="001F36F6">
              <w:rPr>
                <w:rFonts w:ascii="Verdana" w:eastAsia="Verdana" w:hAnsi="Verdana" w:cs="Verdana"/>
                <w:b/>
                <w:bCs/>
              </w:rPr>
              <w:t xml:space="preserve">Saldo en </w:t>
            </w:r>
            <w:r w:rsidRPr="001F36F6">
              <w:rPr>
                <w:rFonts w:ascii="Verdana" w:eastAsia="Verdana" w:hAnsi="Verdana" w:cs="Verdana"/>
                <w:b/>
                <w:bCs/>
              </w:rPr>
              <w:lastRenderedPageBreak/>
              <w:t>Libros</w:t>
            </w:r>
          </w:p>
        </w:tc>
      </w:tr>
      <w:tr w:rsidR="00A94CDA" w:rsidRPr="001F36F6" w14:paraId="5E403D31" w14:textId="77777777">
        <w:trPr>
          <w:trHeight w:val="810"/>
        </w:trPr>
        <w:tc>
          <w:tcPr>
            <w:tcW w:w="1393" w:type="dxa"/>
            <w:tcMar>
              <w:top w:w="0" w:type="dxa"/>
              <w:left w:w="0" w:type="dxa"/>
              <w:bottom w:w="0" w:type="dxa"/>
              <w:right w:w="0" w:type="dxa"/>
            </w:tcMar>
          </w:tcPr>
          <w:p w14:paraId="3A8DDBAB"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lastRenderedPageBreak/>
              <w:t>1003</w:t>
            </w:r>
          </w:p>
        </w:tc>
        <w:tc>
          <w:tcPr>
            <w:tcW w:w="1189" w:type="dxa"/>
            <w:tcMar>
              <w:top w:w="0" w:type="dxa"/>
              <w:left w:w="0" w:type="dxa"/>
              <w:bottom w:w="0" w:type="dxa"/>
              <w:right w:w="0" w:type="dxa"/>
            </w:tcMar>
          </w:tcPr>
          <w:p w14:paraId="6F30F840"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203</w:t>
            </w:r>
          </w:p>
        </w:tc>
        <w:tc>
          <w:tcPr>
            <w:tcW w:w="1451" w:type="dxa"/>
            <w:tcMar>
              <w:top w:w="0" w:type="dxa"/>
              <w:left w:w="0" w:type="dxa"/>
              <w:bottom w:w="0" w:type="dxa"/>
              <w:right w:w="0" w:type="dxa"/>
            </w:tcMar>
          </w:tcPr>
          <w:p w14:paraId="44B093E1"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Equipos de Procesamiento de Datos</w:t>
            </w:r>
          </w:p>
        </w:tc>
        <w:tc>
          <w:tcPr>
            <w:tcW w:w="1480" w:type="dxa"/>
            <w:tcMar>
              <w:top w:w="0" w:type="dxa"/>
              <w:left w:w="0" w:type="dxa"/>
              <w:bottom w:w="0" w:type="dxa"/>
              <w:right w:w="0" w:type="dxa"/>
            </w:tcMar>
          </w:tcPr>
          <w:p w14:paraId="4525F67B"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33.158.294,00</w:t>
            </w:r>
          </w:p>
        </w:tc>
        <w:tc>
          <w:tcPr>
            <w:tcW w:w="1480" w:type="dxa"/>
            <w:tcMar>
              <w:top w:w="0" w:type="dxa"/>
              <w:left w:w="0" w:type="dxa"/>
              <w:bottom w:w="0" w:type="dxa"/>
              <w:right w:w="0" w:type="dxa"/>
            </w:tcMar>
          </w:tcPr>
          <w:p w14:paraId="5C6D9B0F"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33.158.294,00</w:t>
            </w:r>
          </w:p>
        </w:tc>
        <w:tc>
          <w:tcPr>
            <w:tcW w:w="1363" w:type="dxa"/>
            <w:tcMar>
              <w:top w:w="0" w:type="dxa"/>
              <w:left w:w="0" w:type="dxa"/>
              <w:bottom w:w="0" w:type="dxa"/>
              <w:right w:w="0" w:type="dxa"/>
            </w:tcMar>
          </w:tcPr>
          <w:p w14:paraId="73E26823"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0,00</w:t>
            </w:r>
          </w:p>
        </w:tc>
        <w:tc>
          <w:tcPr>
            <w:tcW w:w="667" w:type="dxa"/>
            <w:tcMar>
              <w:top w:w="0" w:type="dxa"/>
              <w:left w:w="0" w:type="dxa"/>
              <w:bottom w:w="0" w:type="dxa"/>
              <w:right w:w="0" w:type="dxa"/>
            </w:tcMar>
          </w:tcPr>
          <w:p w14:paraId="4FC1F0D0"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0,00</w:t>
            </w:r>
          </w:p>
        </w:tc>
      </w:tr>
      <w:tr w:rsidR="00A94CDA" w:rsidRPr="001F36F6" w14:paraId="51079D2D" w14:textId="77777777">
        <w:trPr>
          <w:trHeight w:val="1350"/>
        </w:trPr>
        <w:tc>
          <w:tcPr>
            <w:tcW w:w="1393" w:type="dxa"/>
            <w:tcMar>
              <w:top w:w="0" w:type="dxa"/>
              <w:left w:w="0" w:type="dxa"/>
              <w:bottom w:w="0" w:type="dxa"/>
              <w:right w:w="0" w:type="dxa"/>
            </w:tcMar>
          </w:tcPr>
          <w:p w14:paraId="617874A3"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1003</w:t>
            </w:r>
          </w:p>
        </w:tc>
        <w:tc>
          <w:tcPr>
            <w:tcW w:w="1189" w:type="dxa"/>
            <w:tcMar>
              <w:top w:w="0" w:type="dxa"/>
              <w:left w:w="0" w:type="dxa"/>
              <w:bottom w:w="0" w:type="dxa"/>
              <w:right w:w="0" w:type="dxa"/>
            </w:tcMar>
          </w:tcPr>
          <w:p w14:paraId="651F8A5F"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206</w:t>
            </w:r>
          </w:p>
        </w:tc>
        <w:tc>
          <w:tcPr>
            <w:tcW w:w="1451" w:type="dxa"/>
            <w:tcMar>
              <w:top w:w="0" w:type="dxa"/>
              <w:left w:w="0" w:type="dxa"/>
              <w:bottom w:w="0" w:type="dxa"/>
              <w:right w:w="0" w:type="dxa"/>
            </w:tcMar>
          </w:tcPr>
          <w:p w14:paraId="060C53B4"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Equipos y Máquinas para Comedor Cocina y Despensa</w:t>
            </w:r>
          </w:p>
        </w:tc>
        <w:tc>
          <w:tcPr>
            <w:tcW w:w="1480" w:type="dxa"/>
            <w:tcMar>
              <w:top w:w="0" w:type="dxa"/>
              <w:left w:w="0" w:type="dxa"/>
              <w:bottom w:w="0" w:type="dxa"/>
              <w:right w:w="0" w:type="dxa"/>
            </w:tcMar>
          </w:tcPr>
          <w:p w14:paraId="21F3D72A"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648.300,00</w:t>
            </w:r>
          </w:p>
        </w:tc>
        <w:tc>
          <w:tcPr>
            <w:tcW w:w="1480" w:type="dxa"/>
            <w:tcMar>
              <w:top w:w="0" w:type="dxa"/>
              <w:left w:w="0" w:type="dxa"/>
              <w:bottom w:w="0" w:type="dxa"/>
              <w:right w:w="0" w:type="dxa"/>
            </w:tcMar>
          </w:tcPr>
          <w:p w14:paraId="229237A2"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648.300,00</w:t>
            </w:r>
          </w:p>
        </w:tc>
        <w:tc>
          <w:tcPr>
            <w:tcW w:w="1363" w:type="dxa"/>
            <w:tcMar>
              <w:top w:w="0" w:type="dxa"/>
              <w:left w:w="0" w:type="dxa"/>
              <w:bottom w:w="0" w:type="dxa"/>
              <w:right w:w="0" w:type="dxa"/>
            </w:tcMar>
          </w:tcPr>
          <w:p w14:paraId="5E6CFF5E"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0,00</w:t>
            </w:r>
          </w:p>
        </w:tc>
        <w:tc>
          <w:tcPr>
            <w:tcW w:w="667" w:type="dxa"/>
            <w:tcMar>
              <w:top w:w="0" w:type="dxa"/>
              <w:left w:w="0" w:type="dxa"/>
              <w:bottom w:w="0" w:type="dxa"/>
              <w:right w:w="0" w:type="dxa"/>
            </w:tcMar>
          </w:tcPr>
          <w:p w14:paraId="168D97DC"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0,00</w:t>
            </w:r>
          </w:p>
        </w:tc>
      </w:tr>
      <w:tr w:rsidR="00A94CDA" w:rsidRPr="001F36F6" w14:paraId="3EF33D1D" w14:textId="77777777">
        <w:trPr>
          <w:trHeight w:val="1080"/>
        </w:trPr>
        <w:tc>
          <w:tcPr>
            <w:tcW w:w="1393" w:type="dxa"/>
            <w:tcMar>
              <w:top w:w="0" w:type="dxa"/>
              <w:left w:w="0" w:type="dxa"/>
              <w:bottom w:w="0" w:type="dxa"/>
              <w:right w:w="0" w:type="dxa"/>
            </w:tcMar>
          </w:tcPr>
          <w:p w14:paraId="2C25A16A"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1003</w:t>
            </w:r>
          </w:p>
        </w:tc>
        <w:tc>
          <w:tcPr>
            <w:tcW w:w="1189" w:type="dxa"/>
            <w:tcMar>
              <w:top w:w="0" w:type="dxa"/>
              <w:left w:w="0" w:type="dxa"/>
              <w:bottom w:w="0" w:type="dxa"/>
              <w:right w:w="0" w:type="dxa"/>
            </w:tcMar>
          </w:tcPr>
          <w:p w14:paraId="3AAE1FB9"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207</w:t>
            </w:r>
          </w:p>
        </w:tc>
        <w:tc>
          <w:tcPr>
            <w:tcW w:w="1451" w:type="dxa"/>
            <w:tcMar>
              <w:top w:w="0" w:type="dxa"/>
              <w:left w:w="0" w:type="dxa"/>
              <w:bottom w:w="0" w:type="dxa"/>
              <w:right w:w="0" w:type="dxa"/>
            </w:tcMar>
          </w:tcPr>
          <w:p w14:paraId="4503C93C"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Equipos, Máquinas y elementos para Comunicación</w:t>
            </w:r>
          </w:p>
        </w:tc>
        <w:tc>
          <w:tcPr>
            <w:tcW w:w="1480" w:type="dxa"/>
            <w:tcMar>
              <w:top w:w="0" w:type="dxa"/>
              <w:left w:w="0" w:type="dxa"/>
              <w:bottom w:w="0" w:type="dxa"/>
              <w:right w:w="0" w:type="dxa"/>
            </w:tcMar>
          </w:tcPr>
          <w:p w14:paraId="3D4BD225"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2.929.393,00</w:t>
            </w:r>
          </w:p>
        </w:tc>
        <w:tc>
          <w:tcPr>
            <w:tcW w:w="1480" w:type="dxa"/>
            <w:tcMar>
              <w:top w:w="0" w:type="dxa"/>
              <w:left w:w="0" w:type="dxa"/>
              <w:bottom w:w="0" w:type="dxa"/>
              <w:right w:w="0" w:type="dxa"/>
            </w:tcMar>
          </w:tcPr>
          <w:p w14:paraId="20C9BCFF"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2.929.393,00</w:t>
            </w:r>
          </w:p>
        </w:tc>
        <w:tc>
          <w:tcPr>
            <w:tcW w:w="1363" w:type="dxa"/>
            <w:tcMar>
              <w:top w:w="0" w:type="dxa"/>
              <w:left w:w="0" w:type="dxa"/>
              <w:bottom w:w="0" w:type="dxa"/>
              <w:right w:w="0" w:type="dxa"/>
            </w:tcMar>
          </w:tcPr>
          <w:p w14:paraId="76643729"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0,00</w:t>
            </w:r>
          </w:p>
        </w:tc>
        <w:tc>
          <w:tcPr>
            <w:tcW w:w="667" w:type="dxa"/>
            <w:tcMar>
              <w:top w:w="0" w:type="dxa"/>
              <w:left w:w="0" w:type="dxa"/>
              <w:bottom w:w="0" w:type="dxa"/>
              <w:right w:w="0" w:type="dxa"/>
            </w:tcMar>
          </w:tcPr>
          <w:p w14:paraId="7DA50665"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0,00</w:t>
            </w:r>
          </w:p>
        </w:tc>
      </w:tr>
      <w:tr w:rsidR="00A94CDA" w:rsidRPr="001F36F6" w14:paraId="117235EF" w14:textId="77777777">
        <w:trPr>
          <w:trHeight w:val="1080"/>
        </w:trPr>
        <w:tc>
          <w:tcPr>
            <w:tcW w:w="1393" w:type="dxa"/>
            <w:tcMar>
              <w:top w:w="0" w:type="dxa"/>
              <w:left w:w="0" w:type="dxa"/>
              <w:bottom w:w="0" w:type="dxa"/>
              <w:right w:w="0" w:type="dxa"/>
            </w:tcMar>
          </w:tcPr>
          <w:p w14:paraId="147C5515"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1003</w:t>
            </w:r>
          </w:p>
        </w:tc>
        <w:tc>
          <w:tcPr>
            <w:tcW w:w="1189" w:type="dxa"/>
            <w:tcMar>
              <w:top w:w="0" w:type="dxa"/>
              <w:left w:w="0" w:type="dxa"/>
              <w:bottom w:w="0" w:type="dxa"/>
              <w:right w:w="0" w:type="dxa"/>
            </w:tcMar>
          </w:tcPr>
          <w:p w14:paraId="00D8CE6A"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208</w:t>
            </w:r>
          </w:p>
        </w:tc>
        <w:tc>
          <w:tcPr>
            <w:tcW w:w="1451" w:type="dxa"/>
            <w:tcMar>
              <w:top w:w="0" w:type="dxa"/>
              <w:left w:w="0" w:type="dxa"/>
              <w:bottom w:w="0" w:type="dxa"/>
              <w:right w:w="0" w:type="dxa"/>
            </w:tcMar>
          </w:tcPr>
          <w:p w14:paraId="18736C70"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Equipos y Máquinas para Producción y Mantenimiento</w:t>
            </w:r>
          </w:p>
        </w:tc>
        <w:tc>
          <w:tcPr>
            <w:tcW w:w="1480" w:type="dxa"/>
            <w:tcMar>
              <w:top w:w="0" w:type="dxa"/>
              <w:left w:w="0" w:type="dxa"/>
              <w:bottom w:w="0" w:type="dxa"/>
              <w:right w:w="0" w:type="dxa"/>
            </w:tcMar>
          </w:tcPr>
          <w:p w14:paraId="1F13B372"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424.485.864,00</w:t>
            </w:r>
          </w:p>
        </w:tc>
        <w:tc>
          <w:tcPr>
            <w:tcW w:w="1480" w:type="dxa"/>
            <w:tcMar>
              <w:top w:w="0" w:type="dxa"/>
              <w:left w:w="0" w:type="dxa"/>
              <w:bottom w:w="0" w:type="dxa"/>
              <w:right w:w="0" w:type="dxa"/>
            </w:tcMar>
          </w:tcPr>
          <w:p w14:paraId="51D7E894"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367.609.420,14</w:t>
            </w:r>
          </w:p>
        </w:tc>
        <w:tc>
          <w:tcPr>
            <w:tcW w:w="1363" w:type="dxa"/>
            <w:tcMar>
              <w:top w:w="0" w:type="dxa"/>
              <w:left w:w="0" w:type="dxa"/>
              <w:bottom w:w="0" w:type="dxa"/>
              <w:right w:w="0" w:type="dxa"/>
            </w:tcMar>
          </w:tcPr>
          <w:p w14:paraId="630254E3"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56.876.443,86</w:t>
            </w:r>
          </w:p>
        </w:tc>
        <w:tc>
          <w:tcPr>
            <w:tcW w:w="667" w:type="dxa"/>
            <w:tcMar>
              <w:top w:w="0" w:type="dxa"/>
              <w:left w:w="0" w:type="dxa"/>
              <w:bottom w:w="0" w:type="dxa"/>
              <w:right w:w="0" w:type="dxa"/>
            </w:tcMar>
          </w:tcPr>
          <w:p w14:paraId="6B7F65D3"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0,00</w:t>
            </w:r>
          </w:p>
        </w:tc>
      </w:tr>
      <w:tr w:rsidR="00A94CDA" w:rsidRPr="001F36F6" w14:paraId="7FF3DC07" w14:textId="77777777">
        <w:trPr>
          <w:trHeight w:val="1080"/>
        </w:trPr>
        <w:tc>
          <w:tcPr>
            <w:tcW w:w="1393" w:type="dxa"/>
            <w:tcMar>
              <w:top w:w="0" w:type="dxa"/>
              <w:left w:w="0" w:type="dxa"/>
              <w:bottom w:w="0" w:type="dxa"/>
              <w:right w:w="0" w:type="dxa"/>
            </w:tcMar>
          </w:tcPr>
          <w:p w14:paraId="658BC30D"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1003</w:t>
            </w:r>
          </w:p>
        </w:tc>
        <w:tc>
          <w:tcPr>
            <w:tcW w:w="1189" w:type="dxa"/>
            <w:tcMar>
              <w:top w:w="0" w:type="dxa"/>
              <w:left w:w="0" w:type="dxa"/>
              <w:bottom w:w="0" w:type="dxa"/>
              <w:right w:w="0" w:type="dxa"/>
            </w:tcMar>
          </w:tcPr>
          <w:p w14:paraId="3DC6B086"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210</w:t>
            </w:r>
          </w:p>
        </w:tc>
        <w:tc>
          <w:tcPr>
            <w:tcW w:w="1451" w:type="dxa"/>
            <w:tcMar>
              <w:top w:w="0" w:type="dxa"/>
              <w:left w:w="0" w:type="dxa"/>
              <w:bottom w:w="0" w:type="dxa"/>
              <w:right w:w="0" w:type="dxa"/>
            </w:tcMar>
          </w:tcPr>
          <w:p w14:paraId="0A6EE69D"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Equipos y Máquinas para Deporte y sus Accesorios</w:t>
            </w:r>
          </w:p>
        </w:tc>
        <w:tc>
          <w:tcPr>
            <w:tcW w:w="1480" w:type="dxa"/>
            <w:tcMar>
              <w:top w:w="0" w:type="dxa"/>
              <w:left w:w="0" w:type="dxa"/>
              <w:bottom w:w="0" w:type="dxa"/>
              <w:right w:w="0" w:type="dxa"/>
            </w:tcMar>
          </w:tcPr>
          <w:p w14:paraId="5B91D805"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33.679.033,00</w:t>
            </w:r>
          </w:p>
        </w:tc>
        <w:tc>
          <w:tcPr>
            <w:tcW w:w="1480" w:type="dxa"/>
            <w:tcMar>
              <w:top w:w="0" w:type="dxa"/>
              <w:left w:w="0" w:type="dxa"/>
              <w:bottom w:w="0" w:type="dxa"/>
              <w:right w:w="0" w:type="dxa"/>
            </w:tcMar>
          </w:tcPr>
          <w:p w14:paraId="0519207F"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33.579.604,22</w:t>
            </w:r>
          </w:p>
        </w:tc>
        <w:tc>
          <w:tcPr>
            <w:tcW w:w="1363" w:type="dxa"/>
            <w:tcMar>
              <w:top w:w="0" w:type="dxa"/>
              <w:left w:w="0" w:type="dxa"/>
              <w:bottom w:w="0" w:type="dxa"/>
              <w:right w:w="0" w:type="dxa"/>
            </w:tcMar>
          </w:tcPr>
          <w:p w14:paraId="30005219"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99.428,78</w:t>
            </w:r>
          </w:p>
        </w:tc>
        <w:tc>
          <w:tcPr>
            <w:tcW w:w="667" w:type="dxa"/>
            <w:tcMar>
              <w:top w:w="0" w:type="dxa"/>
              <w:left w:w="0" w:type="dxa"/>
              <w:bottom w:w="0" w:type="dxa"/>
              <w:right w:w="0" w:type="dxa"/>
            </w:tcMar>
          </w:tcPr>
          <w:p w14:paraId="175A5822"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0,00</w:t>
            </w:r>
          </w:p>
        </w:tc>
      </w:tr>
      <w:tr w:rsidR="00A94CDA" w:rsidRPr="001F36F6" w14:paraId="0C927D9C" w14:textId="77777777">
        <w:trPr>
          <w:trHeight w:val="1350"/>
        </w:trPr>
        <w:tc>
          <w:tcPr>
            <w:tcW w:w="1393" w:type="dxa"/>
            <w:tcMar>
              <w:top w:w="0" w:type="dxa"/>
              <w:left w:w="0" w:type="dxa"/>
              <w:bottom w:w="0" w:type="dxa"/>
              <w:right w:w="0" w:type="dxa"/>
            </w:tcMar>
          </w:tcPr>
          <w:p w14:paraId="494CE3EA"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1003</w:t>
            </w:r>
          </w:p>
        </w:tc>
        <w:tc>
          <w:tcPr>
            <w:tcW w:w="1189" w:type="dxa"/>
            <w:tcMar>
              <w:top w:w="0" w:type="dxa"/>
              <w:left w:w="0" w:type="dxa"/>
              <w:bottom w:w="0" w:type="dxa"/>
              <w:right w:w="0" w:type="dxa"/>
            </w:tcMar>
          </w:tcPr>
          <w:p w14:paraId="25D06D17"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212</w:t>
            </w:r>
          </w:p>
        </w:tc>
        <w:tc>
          <w:tcPr>
            <w:tcW w:w="1451" w:type="dxa"/>
            <w:tcMar>
              <w:top w:w="0" w:type="dxa"/>
              <w:left w:w="0" w:type="dxa"/>
              <w:bottom w:w="0" w:type="dxa"/>
              <w:right w:w="0" w:type="dxa"/>
            </w:tcMar>
          </w:tcPr>
          <w:p w14:paraId="47F5C01B"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Equipos y Máquinas Manuales y Eléctricas para Oficina</w:t>
            </w:r>
          </w:p>
        </w:tc>
        <w:tc>
          <w:tcPr>
            <w:tcW w:w="1480" w:type="dxa"/>
            <w:tcMar>
              <w:top w:w="0" w:type="dxa"/>
              <w:left w:w="0" w:type="dxa"/>
              <w:bottom w:w="0" w:type="dxa"/>
              <w:right w:w="0" w:type="dxa"/>
            </w:tcMar>
          </w:tcPr>
          <w:p w14:paraId="39D7A0DA"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45.240,00</w:t>
            </w:r>
          </w:p>
        </w:tc>
        <w:tc>
          <w:tcPr>
            <w:tcW w:w="1480" w:type="dxa"/>
            <w:tcMar>
              <w:top w:w="0" w:type="dxa"/>
              <w:left w:w="0" w:type="dxa"/>
              <w:bottom w:w="0" w:type="dxa"/>
              <w:right w:w="0" w:type="dxa"/>
            </w:tcMar>
          </w:tcPr>
          <w:p w14:paraId="2042AB41"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45.240,00</w:t>
            </w:r>
          </w:p>
        </w:tc>
        <w:tc>
          <w:tcPr>
            <w:tcW w:w="1363" w:type="dxa"/>
            <w:tcMar>
              <w:top w:w="0" w:type="dxa"/>
              <w:left w:w="0" w:type="dxa"/>
              <w:bottom w:w="0" w:type="dxa"/>
              <w:right w:w="0" w:type="dxa"/>
            </w:tcMar>
          </w:tcPr>
          <w:p w14:paraId="38B0B135"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0,00</w:t>
            </w:r>
          </w:p>
        </w:tc>
        <w:tc>
          <w:tcPr>
            <w:tcW w:w="667" w:type="dxa"/>
            <w:tcMar>
              <w:top w:w="0" w:type="dxa"/>
              <w:left w:w="0" w:type="dxa"/>
              <w:bottom w:w="0" w:type="dxa"/>
              <w:right w:w="0" w:type="dxa"/>
            </w:tcMar>
          </w:tcPr>
          <w:p w14:paraId="6D8B1ADD"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0,00</w:t>
            </w:r>
          </w:p>
        </w:tc>
      </w:tr>
      <w:tr w:rsidR="00A94CDA" w:rsidRPr="001F36F6" w14:paraId="3F0018B9" w14:textId="77777777">
        <w:trPr>
          <w:trHeight w:val="810"/>
        </w:trPr>
        <w:tc>
          <w:tcPr>
            <w:tcW w:w="1393" w:type="dxa"/>
            <w:tcMar>
              <w:top w:w="0" w:type="dxa"/>
              <w:left w:w="0" w:type="dxa"/>
              <w:bottom w:w="0" w:type="dxa"/>
              <w:right w:w="0" w:type="dxa"/>
            </w:tcMar>
          </w:tcPr>
          <w:p w14:paraId="6AE97DBF"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1003</w:t>
            </w:r>
          </w:p>
        </w:tc>
        <w:tc>
          <w:tcPr>
            <w:tcW w:w="1189" w:type="dxa"/>
            <w:tcMar>
              <w:top w:w="0" w:type="dxa"/>
              <w:left w:w="0" w:type="dxa"/>
              <w:bottom w:w="0" w:type="dxa"/>
              <w:right w:w="0" w:type="dxa"/>
            </w:tcMar>
          </w:tcPr>
          <w:p w14:paraId="1A89EB72"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214</w:t>
            </w:r>
          </w:p>
        </w:tc>
        <w:tc>
          <w:tcPr>
            <w:tcW w:w="1451" w:type="dxa"/>
            <w:tcMar>
              <w:top w:w="0" w:type="dxa"/>
              <w:left w:w="0" w:type="dxa"/>
              <w:bottom w:w="0" w:type="dxa"/>
              <w:right w:w="0" w:type="dxa"/>
            </w:tcMar>
          </w:tcPr>
          <w:p w14:paraId="381A2CFC"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Herramientas y sus Accesorios</w:t>
            </w:r>
          </w:p>
        </w:tc>
        <w:tc>
          <w:tcPr>
            <w:tcW w:w="1480" w:type="dxa"/>
            <w:tcMar>
              <w:top w:w="0" w:type="dxa"/>
              <w:left w:w="0" w:type="dxa"/>
              <w:bottom w:w="0" w:type="dxa"/>
              <w:right w:w="0" w:type="dxa"/>
            </w:tcMar>
          </w:tcPr>
          <w:p w14:paraId="5F3C9EB4"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441.700,00</w:t>
            </w:r>
          </w:p>
        </w:tc>
        <w:tc>
          <w:tcPr>
            <w:tcW w:w="1480" w:type="dxa"/>
            <w:tcMar>
              <w:top w:w="0" w:type="dxa"/>
              <w:left w:w="0" w:type="dxa"/>
              <w:bottom w:w="0" w:type="dxa"/>
              <w:right w:w="0" w:type="dxa"/>
            </w:tcMar>
          </w:tcPr>
          <w:p w14:paraId="33A15375"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441.700,00</w:t>
            </w:r>
          </w:p>
        </w:tc>
        <w:tc>
          <w:tcPr>
            <w:tcW w:w="1363" w:type="dxa"/>
            <w:tcMar>
              <w:top w:w="0" w:type="dxa"/>
              <w:left w:w="0" w:type="dxa"/>
              <w:bottom w:w="0" w:type="dxa"/>
              <w:right w:w="0" w:type="dxa"/>
            </w:tcMar>
          </w:tcPr>
          <w:p w14:paraId="4F0B70D7"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0,00</w:t>
            </w:r>
          </w:p>
        </w:tc>
        <w:tc>
          <w:tcPr>
            <w:tcW w:w="667" w:type="dxa"/>
            <w:tcMar>
              <w:top w:w="0" w:type="dxa"/>
              <w:left w:w="0" w:type="dxa"/>
              <w:bottom w:w="0" w:type="dxa"/>
              <w:right w:w="0" w:type="dxa"/>
            </w:tcMar>
          </w:tcPr>
          <w:p w14:paraId="04F4D0EF"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0,00</w:t>
            </w:r>
          </w:p>
        </w:tc>
      </w:tr>
      <w:tr w:rsidR="00A94CDA" w:rsidRPr="001F36F6" w14:paraId="1048BD35" w14:textId="77777777">
        <w:trPr>
          <w:trHeight w:val="540"/>
        </w:trPr>
        <w:tc>
          <w:tcPr>
            <w:tcW w:w="1393" w:type="dxa"/>
            <w:tcMar>
              <w:top w:w="0" w:type="dxa"/>
              <w:left w:w="0" w:type="dxa"/>
              <w:bottom w:w="0" w:type="dxa"/>
              <w:right w:w="0" w:type="dxa"/>
            </w:tcMar>
          </w:tcPr>
          <w:p w14:paraId="01C13805"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1003</w:t>
            </w:r>
          </w:p>
        </w:tc>
        <w:tc>
          <w:tcPr>
            <w:tcW w:w="1189" w:type="dxa"/>
            <w:tcMar>
              <w:top w:w="0" w:type="dxa"/>
              <w:left w:w="0" w:type="dxa"/>
              <w:bottom w:w="0" w:type="dxa"/>
              <w:right w:w="0" w:type="dxa"/>
            </w:tcMar>
          </w:tcPr>
          <w:p w14:paraId="6C8EBDE1"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218</w:t>
            </w:r>
          </w:p>
        </w:tc>
        <w:tc>
          <w:tcPr>
            <w:tcW w:w="1451" w:type="dxa"/>
            <w:tcMar>
              <w:top w:w="0" w:type="dxa"/>
              <w:left w:w="0" w:type="dxa"/>
              <w:bottom w:w="0" w:type="dxa"/>
              <w:right w:w="0" w:type="dxa"/>
            </w:tcMar>
          </w:tcPr>
          <w:p w14:paraId="3B174512"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Mobiliario y Enseres</w:t>
            </w:r>
          </w:p>
        </w:tc>
        <w:tc>
          <w:tcPr>
            <w:tcW w:w="1480" w:type="dxa"/>
            <w:tcMar>
              <w:top w:w="0" w:type="dxa"/>
              <w:left w:w="0" w:type="dxa"/>
              <w:bottom w:w="0" w:type="dxa"/>
              <w:right w:w="0" w:type="dxa"/>
            </w:tcMar>
          </w:tcPr>
          <w:p w14:paraId="06C19657"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5.895.106,00</w:t>
            </w:r>
          </w:p>
        </w:tc>
        <w:tc>
          <w:tcPr>
            <w:tcW w:w="1480" w:type="dxa"/>
            <w:tcMar>
              <w:top w:w="0" w:type="dxa"/>
              <w:left w:w="0" w:type="dxa"/>
              <w:bottom w:w="0" w:type="dxa"/>
              <w:right w:w="0" w:type="dxa"/>
            </w:tcMar>
          </w:tcPr>
          <w:p w14:paraId="4BB13011"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5.523.634,07</w:t>
            </w:r>
          </w:p>
        </w:tc>
        <w:tc>
          <w:tcPr>
            <w:tcW w:w="1363" w:type="dxa"/>
            <w:tcMar>
              <w:top w:w="0" w:type="dxa"/>
              <w:left w:w="0" w:type="dxa"/>
              <w:bottom w:w="0" w:type="dxa"/>
              <w:right w:w="0" w:type="dxa"/>
            </w:tcMar>
          </w:tcPr>
          <w:p w14:paraId="678DD94F"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371.471,93</w:t>
            </w:r>
          </w:p>
        </w:tc>
        <w:tc>
          <w:tcPr>
            <w:tcW w:w="667" w:type="dxa"/>
            <w:tcMar>
              <w:top w:w="0" w:type="dxa"/>
              <w:left w:w="0" w:type="dxa"/>
              <w:bottom w:w="0" w:type="dxa"/>
              <w:right w:w="0" w:type="dxa"/>
            </w:tcMar>
          </w:tcPr>
          <w:p w14:paraId="47D6A36F"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0,00</w:t>
            </w:r>
          </w:p>
        </w:tc>
      </w:tr>
      <w:tr w:rsidR="00A94CDA" w:rsidRPr="001F36F6" w14:paraId="76D655FA" w14:textId="77777777">
        <w:trPr>
          <w:trHeight w:val="540"/>
        </w:trPr>
        <w:tc>
          <w:tcPr>
            <w:tcW w:w="1393" w:type="dxa"/>
            <w:tcMar>
              <w:top w:w="0" w:type="dxa"/>
              <w:left w:w="0" w:type="dxa"/>
              <w:bottom w:w="0" w:type="dxa"/>
              <w:right w:w="0" w:type="dxa"/>
            </w:tcMar>
          </w:tcPr>
          <w:p w14:paraId="518F5299" w14:textId="77777777" w:rsidR="00A94CDA" w:rsidRPr="001F36F6" w:rsidRDefault="00000000">
            <w:pPr>
              <w:spacing w:line="270" w:lineRule="auto"/>
              <w:jc w:val="center"/>
              <w:rPr>
                <w:rFonts w:ascii="Verdana" w:eastAsia="Verdana" w:hAnsi="Verdana" w:cs="Verdana"/>
                <w:b/>
                <w:bCs/>
              </w:rPr>
            </w:pPr>
            <w:proofErr w:type="gramStart"/>
            <w:r w:rsidRPr="001F36F6">
              <w:rPr>
                <w:rFonts w:ascii="Verdana" w:eastAsia="Verdana" w:hAnsi="Verdana" w:cs="Verdana"/>
                <w:b/>
                <w:bCs/>
              </w:rPr>
              <w:t>Total</w:t>
            </w:r>
            <w:proofErr w:type="gramEnd"/>
            <w:r w:rsidRPr="001F36F6">
              <w:rPr>
                <w:rFonts w:ascii="Verdana" w:eastAsia="Verdana" w:hAnsi="Verdana" w:cs="Verdana"/>
                <w:b/>
                <w:bCs/>
              </w:rPr>
              <w:t xml:space="preserve"> Agrupaciones</w:t>
            </w:r>
          </w:p>
        </w:tc>
        <w:tc>
          <w:tcPr>
            <w:tcW w:w="2640" w:type="dxa"/>
            <w:gridSpan w:val="2"/>
            <w:tcMar>
              <w:top w:w="0" w:type="dxa"/>
              <w:left w:w="0" w:type="dxa"/>
              <w:bottom w:w="0" w:type="dxa"/>
              <w:right w:w="0" w:type="dxa"/>
            </w:tcMar>
          </w:tcPr>
          <w:p w14:paraId="0260A834" w14:textId="77777777" w:rsidR="00A94CDA" w:rsidRPr="001F36F6" w:rsidRDefault="00000000">
            <w:pPr>
              <w:spacing w:line="270" w:lineRule="auto"/>
              <w:jc w:val="center"/>
              <w:rPr>
                <w:rFonts w:ascii="Verdana" w:eastAsia="Verdana" w:hAnsi="Verdana" w:cs="Verdana"/>
              </w:rPr>
            </w:pPr>
            <w:r w:rsidRPr="001F36F6">
              <w:rPr>
                <w:rFonts w:ascii="Verdana" w:eastAsia="Verdana" w:hAnsi="Verdana" w:cs="Verdana"/>
              </w:rPr>
              <w:t xml:space="preserve"> </w:t>
            </w:r>
          </w:p>
        </w:tc>
        <w:tc>
          <w:tcPr>
            <w:tcW w:w="1480" w:type="dxa"/>
            <w:shd w:val="clear" w:color="auto" w:fill="auto"/>
            <w:tcMar>
              <w:top w:w="0" w:type="dxa"/>
              <w:left w:w="0" w:type="dxa"/>
              <w:bottom w:w="0" w:type="dxa"/>
              <w:right w:w="0" w:type="dxa"/>
            </w:tcMar>
          </w:tcPr>
          <w:p w14:paraId="51218697" w14:textId="77777777" w:rsidR="00A94CDA" w:rsidRPr="001F36F6" w:rsidRDefault="00000000">
            <w:pPr>
              <w:spacing w:line="270" w:lineRule="auto"/>
              <w:jc w:val="center"/>
              <w:rPr>
                <w:rFonts w:ascii="Verdana" w:eastAsia="Verdana" w:hAnsi="Verdana" w:cs="Verdana"/>
                <w:b/>
                <w:bCs/>
              </w:rPr>
            </w:pPr>
            <w:r w:rsidRPr="001F36F6">
              <w:rPr>
                <w:rFonts w:ascii="Verdana" w:eastAsia="Verdana" w:hAnsi="Verdana" w:cs="Verdana"/>
                <w:b/>
                <w:bCs/>
              </w:rPr>
              <w:t>501.282.930,00</w:t>
            </w:r>
          </w:p>
        </w:tc>
        <w:tc>
          <w:tcPr>
            <w:tcW w:w="1480" w:type="dxa"/>
            <w:shd w:val="clear" w:color="auto" w:fill="auto"/>
            <w:tcMar>
              <w:top w:w="0" w:type="dxa"/>
              <w:left w:w="0" w:type="dxa"/>
              <w:bottom w:w="0" w:type="dxa"/>
              <w:right w:w="0" w:type="dxa"/>
            </w:tcMar>
          </w:tcPr>
          <w:p w14:paraId="0E353570" w14:textId="77777777" w:rsidR="00A94CDA" w:rsidRPr="001F36F6" w:rsidRDefault="00000000">
            <w:pPr>
              <w:spacing w:line="270" w:lineRule="auto"/>
              <w:jc w:val="center"/>
              <w:rPr>
                <w:rFonts w:ascii="Verdana" w:eastAsia="Verdana" w:hAnsi="Verdana" w:cs="Verdana"/>
                <w:b/>
                <w:bCs/>
              </w:rPr>
            </w:pPr>
            <w:r w:rsidRPr="001F36F6">
              <w:rPr>
                <w:rFonts w:ascii="Verdana" w:eastAsia="Verdana" w:hAnsi="Verdana" w:cs="Verdana"/>
                <w:b/>
                <w:bCs/>
              </w:rPr>
              <w:t>443.935.585,43</w:t>
            </w:r>
          </w:p>
        </w:tc>
        <w:tc>
          <w:tcPr>
            <w:tcW w:w="1363" w:type="dxa"/>
            <w:shd w:val="clear" w:color="auto" w:fill="auto"/>
            <w:tcMar>
              <w:top w:w="0" w:type="dxa"/>
              <w:left w:w="0" w:type="dxa"/>
              <w:bottom w:w="0" w:type="dxa"/>
              <w:right w:w="0" w:type="dxa"/>
            </w:tcMar>
          </w:tcPr>
          <w:p w14:paraId="2A4FC75B" w14:textId="77777777" w:rsidR="00A94CDA" w:rsidRPr="001F36F6" w:rsidRDefault="00000000">
            <w:pPr>
              <w:spacing w:line="270" w:lineRule="auto"/>
              <w:jc w:val="center"/>
              <w:rPr>
                <w:rFonts w:ascii="Verdana" w:eastAsia="Verdana" w:hAnsi="Verdana" w:cs="Verdana"/>
                <w:b/>
                <w:bCs/>
              </w:rPr>
            </w:pPr>
            <w:r w:rsidRPr="001F36F6">
              <w:rPr>
                <w:rFonts w:ascii="Verdana" w:eastAsia="Verdana" w:hAnsi="Verdana" w:cs="Verdana"/>
                <w:b/>
                <w:bCs/>
              </w:rPr>
              <w:t>57.347.344,57</w:t>
            </w:r>
          </w:p>
        </w:tc>
        <w:tc>
          <w:tcPr>
            <w:tcW w:w="667" w:type="dxa"/>
            <w:shd w:val="clear" w:color="auto" w:fill="auto"/>
            <w:tcMar>
              <w:top w:w="0" w:type="dxa"/>
              <w:left w:w="0" w:type="dxa"/>
              <w:bottom w:w="0" w:type="dxa"/>
              <w:right w:w="0" w:type="dxa"/>
            </w:tcMar>
          </w:tcPr>
          <w:p w14:paraId="519FB457" w14:textId="77777777" w:rsidR="00A94CDA" w:rsidRPr="001F36F6" w:rsidRDefault="00000000">
            <w:pPr>
              <w:spacing w:line="270" w:lineRule="auto"/>
              <w:jc w:val="center"/>
              <w:rPr>
                <w:rFonts w:ascii="Verdana" w:eastAsia="Verdana" w:hAnsi="Verdana" w:cs="Verdana"/>
                <w:b/>
                <w:bCs/>
              </w:rPr>
            </w:pPr>
            <w:r w:rsidRPr="001F36F6">
              <w:rPr>
                <w:rFonts w:ascii="Verdana" w:eastAsia="Verdana" w:hAnsi="Verdana" w:cs="Verdana"/>
                <w:b/>
                <w:bCs/>
              </w:rPr>
              <w:t>0,00</w:t>
            </w:r>
          </w:p>
        </w:tc>
      </w:tr>
    </w:tbl>
    <w:p w14:paraId="17AD5900" w14:textId="77777777" w:rsidR="00A94CDA" w:rsidRPr="001F36F6" w:rsidRDefault="00A94CDA">
      <w:pPr>
        <w:shd w:val="clear" w:color="auto" w:fill="FFFFFF"/>
        <w:jc w:val="both"/>
        <w:rPr>
          <w:rFonts w:ascii="Verdana" w:eastAsia="Verdana" w:hAnsi="Verdana" w:cs="Verdana"/>
          <w:b/>
          <w:bCs/>
        </w:rPr>
      </w:pPr>
    </w:p>
    <w:p w14:paraId="703C0E2B" w14:textId="77777777" w:rsidR="00A94CDA" w:rsidRPr="001F36F6" w:rsidRDefault="00A94CDA">
      <w:pPr>
        <w:shd w:val="clear" w:color="auto" w:fill="FFFFFF"/>
        <w:jc w:val="both"/>
        <w:rPr>
          <w:rFonts w:ascii="Verdana" w:eastAsia="Verdana" w:hAnsi="Verdana" w:cs="Verdana"/>
          <w:b/>
          <w:bCs/>
        </w:rPr>
      </w:pPr>
    </w:p>
    <w:p w14:paraId="4AF8782A" w14:textId="77777777" w:rsidR="00A94CDA" w:rsidRPr="001F36F6" w:rsidRDefault="00000000">
      <w:pPr>
        <w:shd w:val="clear" w:color="auto" w:fill="FFFFFF"/>
        <w:jc w:val="both"/>
        <w:rPr>
          <w:rFonts w:ascii="Verdana" w:eastAsia="Verdana" w:hAnsi="Verdana" w:cs="Verdana"/>
        </w:rPr>
      </w:pPr>
      <w:r w:rsidRPr="001F36F6">
        <w:rPr>
          <w:rFonts w:ascii="Verdana" w:eastAsia="Verdana" w:hAnsi="Verdana" w:cs="Verdana"/>
          <w:b/>
          <w:bCs/>
        </w:rPr>
        <w:lastRenderedPageBreak/>
        <w:t>ARTÍCULO CUARTO.</w:t>
      </w:r>
      <w:r w:rsidRPr="001F36F6">
        <w:rPr>
          <w:rFonts w:ascii="Verdana" w:eastAsia="Verdana" w:hAnsi="Verdana" w:cs="Verdana"/>
        </w:rPr>
        <w:t xml:space="preserve"> Designar y autorizar al Almacenista de la Sede de la Dirección General para realizar la entrega de los bienes enajenados a los adjudicatarios, previa elaboración de las correspondientes órdenes de salida de Almacén soportadas en el acta de adjudicación y del documento que confirme el pago de los bienes vendidos a los adjudicatarios.</w:t>
      </w:r>
    </w:p>
    <w:p w14:paraId="3926B681" w14:textId="77777777" w:rsidR="00A94CDA" w:rsidRPr="001F36F6" w:rsidRDefault="00A94CDA">
      <w:pPr>
        <w:shd w:val="clear" w:color="auto" w:fill="FFFFFF"/>
        <w:jc w:val="both"/>
        <w:rPr>
          <w:rFonts w:ascii="Verdana" w:eastAsia="Verdana" w:hAnsi="Verdana" w:cs="Verdana"/>
        </w:rPr>
      </w:pPr>
    </w:p>
    <w:p w14:paraId="1D344523" w14:textId="77777777" w:rsidR="00A94CDA" w:rsidRPr="001F36F6" w:rsidRDefault="00000000">
      <w:pPr>
        <w:shd w:val="clear" w:color="auto" w:fill="FFFFFF"/>
        <w:jc w:val="both"/>
        <w:rPr>
          <w:rFonts w:ascii="Verdana" w:eastAsia="Verdana" w:hAnsi="Verdana" w:cs="Verdana"/>
        </w:rPr>
      </w:pPr>
      <w:r w:rsidRPr="001F36F6">
        <w:rPr>
          <w:rFonts w:ascii="Verdana" w:eastAsia="Verdana" w:hAnsi="Verdana" w:cs="Verdana"/>
          <w:b/>
          <w:bCs/>
        </w:rPr>
        <w:t>ARTÍCULO QUINTO.</w:t>
      </w:r>
      <w:r w:rsidRPr="001F36F6">
        <w:rPr>
          <w:rFonts w:ascii="Verdana" w:eastAsia="Verdana" w:hAnsi="Verdana" w:cs="Verdana"/>
        </w:rPr>
        <w:t xml:space="preserve"> Los bienes que no sean enajenados volverán a surtir el mismo procedimiento hasta que se logre la baja definitiva por dicho concepto.</w:t>
      </w:r>
    </w:p>
    <w:p w14:paraId="794D141F" w14:textId="77777777" w:rsidR="00A94CDA" w:rsidRPr="001F36F6" w:rsidRDefault="00A94CDA">
      <w:pPr>
        <w:shd w:val="clear" w:color="auto" w:fill="FFFFFF"/>
        <w:jc w:val="both"/>
        <w:rPr>
          <w:rFonts w:ascii="Verdana" w:eastAsia="Verdana" w:hAnsi="Verdana" w:cs="Verdana"/>
        </w:rPr>
      </w:pPr>
    </w:p>
    <w:p w14:paraId="1D09E33F" w14:textId="77777777" w:rsidR="00A94CDA" w:rsidRPr="001F36F6" w:rsidRDefault="00000000">
      <w:pPr>
        <w:shd w:val="clear" w:color="auto" w:fill="FFFFFF"/>
        <w:jc w:val="both"/>
        <w:rPr>
          <w:rFonts w:ascii="Verdana" w:eastAsia="Verdana" w:hAnsi="Verdana" w:cs="Verdana"/>
        </w:rPr>
      </w:pPr>
      <w:r w:rsidRPr="001F36F6">
        <w:rPr>
          <w:rFonts w:ascii="Verdana" w:eastAsia="Verdana" w:hAnsi="Verdana" w:cs="Verdana"/>
          <w:b/>
          <w:bCs/>
        </w:rPr>
        <w:t>ARTÍCULO SEXTO.</w:t>
      </w:r>
      <w:r w:rsidRPr="001F36F6">
        <w:rPr>
          <w:rFonts w:ascii="Verdana" w:eastAsia="Verdana" w:hAnsi="Verdana" w:cs="Verdana"/>
        </w:rPr>
        <w:t xml:space="preserve"> La presente resolución rige a partir de la fecha de su expedición.</w:t>
      </w:r>
    </w:p>
    <w:p w14:paraId="1F5FB6A4" w14:textId="77777777" w:rsidR="00A94CDA" w:rsidRPr="001F36F6" w:rsidRDefault="00A94CDA">
      <w:pPr>
        <w:shd w:val="clear" w:color="auto" w:fill="FFFFFF"/>
        <w:spacing w:after="240"/>
        <w:jc w:val="center"/>
        <w:rPr>
          <w:rFonts w:ascii="Verdana" w:eastAsia="Verdana" w:hAnsi="Verdana" w:cs="Verdana"/>
        </w:rPr>
      </w:pPr>
    </w:p>
    <w:p w14:paraId="35EE6162" w14:textId="77777777" w:rsidR="00A94CDA" w:rsidRPr="001F36F6" w:rsidRDefault="00000000">
      <w:pPr>
        <w:shd w:val="clear" w:color="auto" w:fill="FFFFFF"/>
        <w:spacing w:after="240"/>
        <w:jc w:val="center"/>
        <w:rPr>
          <w:rFonts w:ascii="Verdana" w:eastAsia="Verdana" w:hAnsi="Verdana" w:cs="Verdana"/>
        </w:rPr>
      </w:pPr>
      <w:r w:rsidRPr="001F36F6">
        <w:rPr>
          <w:rFonts w:ascii="Verdana" w:eastAsia="Verdana" w:hAnsi="Verdana" w:cs="Verdana"/>
        </w:rPr>
        <w:t>PUBLÍQUESE Y CÚMPLASE</w:t>
      </w:r>
    </w:p>
    <w:p w14:paraId="151AC219" w14:textId="77777777" w:rsidR="00A94CDA" w:rsidRPr="001F36F6" w:rsidRDefault="00000000">
      <w:pPr>
        <w:shd w:val="clear" w:color="auto" w:fill="FFFFFF"/>
        <w:spacing w:after="240"/>
        <w:jc w:val="center"/>
        <w:rPr>
          <w:rFonts w:ascii="Verdana" w:eastAsia="Verdana" w:hAnsi="Verdana" w:cs="Verdana"/>
        </w:rPr>
      </w:pPr>
      <w:r w:rsidRPr="001F36F6">
        <w:rPr>
          <w:rFonts w:ascii="Verdana" w:eastAsia="Verdana" w:hAnsi="Verdana" w:cs="Verdana"/>
        </w:rPr>
        <w:t>Dada en Bogotá, D.C., a los 24 días de marzo de 2015.</w:t>
      </w:r>
    </w:p>
    <w:p w14:paraId="3E94F639" w14:textId="77777777" w:rsidR="00A94CDA" w:rsidRPr="001F36F6" w:rsidRDefault="00000000">
      <w:pPr>
        <w:shd w:val="clear" w:color="auto" w:fill="FFFFFF"/>
        <w:jc w:val="center"/>
        <w:rPr>
          <w:rFonts w:ascii="Verdana" w:eastAsia="Verdana" w:hAnsi="Verdana" w:cs="Verdana"/>
          <w:b/>
          <w:bCs/>
        </w:rPr>
      </w:pPr>
      <w:r w:rsidRPr="001F36F6">
        <w:rPr>
          <w:rFonts w:ascii="Verdana" w:eastAsia="Verdana" w:hAnsi="Verdana" w:cs="Verdana"/>
          <w:b/>
          <w:bCs/>
        </w:rPr>
        <w:t>CRISTINA PLAZAS MICHELSEN.</w:t>
      </w:r>
    </w:p>
    <w:p w14:paraId="73B6CAEF" w14:textId="77777777" w:rsidR="00A94CDA" w:rsidRPr="001F36F6" w:rsidRDefault="00A94CDA">
      <w:pPr>
        <w:shd w:val="clear" w:color="auto" w:fill="FFFFFF"/>
        <w:jc w:val="center"/>
        <w:rPr>
          <w:rFonts w:ascii="Verdana" w:eastAsia="Verdana" w:hAnsi="Verdana" w:cs="Verdana"/>
          <w:b/>
          <w:bCs/>
        </w:rPr>
      </w:pPr>
    </w:p>
    <w:p w14:paraId="4694380C" w14:textId="77777777" w:rsidR="00A94CDA" w:rsidRPr="001F36F6" w:rsidRDefault="00000000">
      <w:pPr>
        <w:shd w:val="clear" w:color="auto" w:fill="FFFFFF"/>
        <w:jc w:val="center"/>
        <w:rPr>
          <w:rFonts w:ascii="Verdana" w:eastAsia="Verdana" w:hAnsi="Verdana" w:cs="Verdana"/>
        </w:rPr>
      </w:pPr>
      <w:r w:rsidRPr="001F36F6">
        <w:rPr>
          <w:rFonts w:ascii="Verdana" w:eastAsia="Verdana" w:hAnsi="Verdana" w:cs="Verdana"/>
        </w:rPr>
        <w:t>DIRECTORA GENERAL</w:t>
      </w:r>
    </w:p>
    <w:p w14:paraId="3F36FCB3" w14:textId="77777777" w:rsidR="00A94CDA" w:rsidRPr="001F36F6" w:rsidRDefault="00000000">
      <w:pPr>
        <w:shd w:val="clear" w:color="auto" w:fill="FFFFFF"/>
        <w:spacing w:after="240"/>
        <w:jc w:val="both"/>
        <w:rPr>
          <w:rFonts w:ascii="Verdana" w:eastAsia="Verdana" w:hAnsi="Verdana" w:cs="Verdana"/>
          <w:b/>
          <w:bCs/>
        </w:rPr>
      </w:pPr>
      <w:r w:rsidRPr="001F36F6">
        <w:rPr>
          <w:rFonts w:ascii="Verdana" w:eastAsia="Verdana" w:hAnsi="Verdana" w:cs="Verdana"/>
          <w:b/>
          <w:bCs/>
          <w:noProof/>
        </w:rPr>
        <w:drawing>
          <wp:inline distT="114300" distB="114300" distL="114300" distR="114300" wp14:anchorId="7FCF87F3" wp14:editId="579F8417">
            <wp:extent cx="4216400" cy="4902200"/>
            <wp:effectExtent l="0" t="0" r="0" b="0"/>
            <wp:docPr id="1"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4"/>
                    <a:srcRect/>
                    <a:stretch>
                      <a:fillRect/>
                    </a:stretch>
                  </pic:blipFill>
                  <pic:spPr>
                    <a:xfrm>
                      <a:off x="0" y="0"/>
                      <a:ext cx="4216400" cy="4902200"/>
                    </a:xfrm>
                    <a:prstGeom prst="rect">
                      <a:avLst/>
                    </a:prstGeom>
                    <a:ln/>
                  </pic:spPr>
                </pic:pic>
              </a:graphicData>
            </a:graphic>
          </wp:inline>
        </w:drawing>
      </w:r>
    </w:p>
    <w:p w14:paraId="3B893EC9" w14:textId="77777777" w:rsidR="00A94CDA" w:rsidRPr="001F36F6" w:rsidRDefault="00000000">
      <w:pPr>
        <w:shd w:val="clear" w:color="auto" w:fill="FFFFFF"/>
        <w:spacing w:after="240"/>
        <w:jc w:val="both"/>
        <w:rPr>
          <w:rFonts w:ascii="Verdana" w:eastAsia="Verdana" w:hAnsi="Verdana" w:cs="Verdana"/>
          <w:b/>
          <w:bCs/>
        </w:rPr>
      </w:pPr>
      <w:r w:rsidRPr="001F36F6">
        <w:rPr>
          <w:rFonts w:ascii="Verdana" w:eastAsia="Verdana" w:hAnsi="Verdana" w:cs="Verdana"/>
          <w:b/>
          <w:bCs/>
          <w:noProof/>
        </w:rPr>
        <w:lastRenderedPageBreak/>
        <w:drawing>
          <wp:inline distT="114300" distB="114300" distL="114300" distR="114300" wp14:anchorId="1D9B484A" wp14:editId="693101DE">
            <wp:extent cx="4216400" cy="5283200"/>
            <wp:effectExtent l="0" t="0" r="0" b="0"/>
            <wp:docPr id="2"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5"/>
                    <a:srcRect/>
                    <a:stretch>
                      <a:fillRect/>
                    </a:stretch>
                  </pic:blipFill>
                  <pic:spPr>
                    <a:xfrm>
                      <a:off x="0" y="0"/>
                      <a:ext cx="4216400" cy="5283200"/>
                    </a:xfrm>
                    <a:prstGeom prst="rect">
                      <a:avLst/>
                    </a:prstGeom>
                    <a:ln/>
                  </pic:spPr>
                </pic:pic>
              </a:graphicData>
            </a:graphic>
          </wp:inline>
        </w:drawing>
      </w:r>
    </w:p>
    <w:p w14:paraId="1B3A841B" w14:textId="77777777" w:rsidR="00A94CDA" w:rsidRPr="001F36F6" w:rsidRDefault="00000000">
      <w:pPr>
        <w:rPr>
          <w:rFonts w:ascii="Verdana" w:eastAsia="Verdana" w:hAnsi="Verdana" w:cs="Verdana"/>
        </w:rPr>
      </w:pPr>
      <w:r w:rsidRPr="001F36F6">
        <w:rPr>
          <w:rFonts w:ascii="Verdana" w:eastAsia="Verdana" w:hAnsi="Verdana" w:cs="Verdana"/>
        </w:rPr>
        <w:t xml:space="preserve"> </w:t>
      </w:r>
    </w:p>
    <w:p w14:paraId="2EEAC68B" w14:textId="77777777" w:rsidR="00A94CDA" w:rsidRPr="001F36F6" w:rsidRDefault="00A94CDA">
      <w:pPr>
        <w:rPr>
          <w:rFonts w:ascii="Verdana" w:eastAsia="Verdana" w:hAnsi="Verdana" w:cs="Verdana"/>
        </w:rPr>
      </w:pPr>
    </w:p>
    <w:sectPr w:rsidR="00A94CDA" w:rsidRPr="001F36F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2AE13E5-A144-4CC8-A404-48022B1AE3B4}"/>
    <w:embedBold r:id="rId2" w:fontKey="{C8B52905-D81D-4DD4-862E-50AFAF9588BB}"/>
  </w:font>
  <w:font w:name="Calibri">
    <w:panose1 w:val="020F0502020204030204"/>
    <w:charset w:val="00"/>
    <w:family w:val="swiss"/>
    <w:pitch w:val="variable"/>
    <w:sig w:usb0="E4002EFF" w:usb1="C000247B" w:usb2="00000009" w:usb3="00000000" w:csb0="000001FF" w:csb1="00000000"/>
    <w:embedRegular r:id="rId3" w:fontKey="{A38A7072-BAE5-4B1D-A420-49465143E841}"/>
  </w:font>
  <w:font w:name="Cambria">
    <w:panose1 w:val="02040503050406030204"/>
    <w:charset w:val="00"/>
    <w:family w:val="roman"/>
    <w:pitch w:val="variable"/>
    <w:sig w:usb0="E00006FF" w:usb1="420024FF" w:usb2="02000000" w:usb3="00000000" w:csb0="0000019F" w:csb1="00000000"/>
    <w:embedRegular r:id="rId4" w:fontKey="{536AB242-A54B-470A-9E97-07817D9A726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CDA"/>
    <w:rsid w:val="00046E5E"/>
    <w:rsid w:val="001F36F6"/>
    <w:rsid w:val="00A94C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B5531"/>
  <w15:docId w15:val="{F61F521F-74EA-4C7A-A650-4D7917EAE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gif"/><Relationship Id="rId10" Type="http://schemas.openxmlformats.org/officeDocument/2006/relationships/customXml" Target="../customXml/item3.xml"/><Relationship Id="rId4" Type="http://schemas.openxmlformats.org/officeDocument/2006/relationships/image" Target="media/image1.gif"/><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B06A4D-7205-485F-A3CB-702C639DA910}"/>
</file>

<file path=customXml/itemProps2.xml><?xml version="1.0" encoding="utf-8"?>
<ds:datastoreItem xmlns:ds="http://schemas.openxmlformats.org/officeDocument/2006/customXml" ds:itemID="{C0FE560F-D308-46E7-BA6C-BC128971AC62}"/>
</file>

<file path=customXml/itemProps3.xml><?xml version="1.0" encoding="utf-8"?>
<ds:datastoreItem xmlns:ds="http://schemas.openxmlformats.org/officeDocument/2006/customXml" ds:itemID="{50B9EF5D-BEB7-437A-ADF1-CA899905E6CB}"/>
</file>

<file path=docProps/app.xml><?xml version="1.0" encoding="utf-8"?>
<Properties xmlns="http://schemas.openxmlformats.org/officeDocument/2006/extended-properties" xmlns:vt="http://schemas.openxmlformats.org/officeDocument/2006/docPropsVTypes">
  <Template>Normal</Template>
  <TotalTime>2</TotalTime>
  <Pages>1</Pages>
  <Words>1452</Words>
  <Characters>7986</Characters>
  <Application>Microsoft Office Word</Application>
  <DocSecurity>0</DocSecurity>
  <Lines>66</Lines>
  <Paragraphs>18</Paragraphs>
  <ScaleCrop>false</ScaleCrop>
  <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2026-02-10T16:35:00Z</dcterms:created>
  <dcterms:modified xsi:type="dcterms:W3CDTF">2026-02-10T16:37:00Z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