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1434 DE 2015</w:t>
      </w:r>
    </w:p>
    <w:p w14:paraId="00000002" w14:textId="77777777" w:rsidR="008C15DD" w:rsidRDefault="005D3C66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19 de marzo de 2015</w:t>
      </w:r>
    </w:p>
    <w:p w14:paraId="00000003" w14:textId="77777777" w:rsidR="008C15DD" w:rsidRDefault="005D3C66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19 de marzo de 2015</w:t>
      </w:r>
    </w:p>
    <w:p w14:paraId="00000004" w14:textId="77777777" w:rsidR="008C15DD" w:rsidRDefault="005D3C66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>Vigente</w:t>
      </w:r>
    </w:p>
    <w:p w14:paraId="00000005" w14:textId="77777777" w:rsidR="008C15DD" w:rsidRDefault="008C15DD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8C15DD" w:rsidRDefault="005D3C66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7" w14:textId="77777777" w:rsidR="008C15DD" w:rsidRDefault="005D3C66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00000008" w14:textId="77777777" w:rsidR="008C15DD" w:rsidRDefault="008C15DD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8C15DD" w:rsidRDefault="008C15DD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1434 DE 2015</w:t>
      </w:r>
    </w:p>
    <w:p w14:paraId="0000000B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19)</w:t>
      </w:r>
    </w:p>
    <w:p w14:paraId="0000000C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Por la cual se hace una delegación</w:t>
      </w:r>
    </w:p>
    <w:p w14:paraId="0000000E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6C8A92B6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ejercicio de sus facultades legales y estatutarias, en especial las conferidas por los artículos </w:t>
      </w:r>
      <w:r w:rsidR="008C15DD">
        <w:rPr>
          <w:rFonts w:ascii="Verdana" w:eastAsia="Verdana" w:hAnsi="Verdana" w:cs="Verdana"/>
          <w:highlight w:val="white"/>
        </w:rPr>
        <w:t>9</w:t>
      </w:r>
      <w:r>
        <w:rPr>
          <w:rFonts w:ascii="Verdana" w:eastAsia="Verdana" w:hAnsi="Verdana" w:cs="Verdana"/>
          <w:highlight w:val="white"/>
        </w:rPr>
        <w:t xml:space="preserve">, </w:t>
      </w:r>
      <w:r w:rsidR="008C15DD">
        <w:rPr>
          <w:rFonts w:ascii="Verdana" w:eastAsia="Verdana" w:hAnsi="Verdana" w:cs="Verdana"/>
          <w:highlight w:val="white"/>
        </w:rPr>
        <w:t>10</w:t>
      </w:r>
      <w:r>
        <w:rPr>
          <w:rFonts w:ascii="Verdana" w:eastAsia="Verdana" w:hAnsi="Verdana" w:cs="Verdana"/>
          <w:highlight w:val="white"/>
        </w:rPr>
        <w:t xml:space="preserve"> y </w:t>
      </w:r>
      <w:r w:rsidR="008C15DD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dando cumplimiento a los artículos </w:t>
      </w:r>
      <w:r w:rsidR="008C15DD">
        <w:rPr>
          <w:rFonts w:ascii="Verdana" w:eastAsia="Verdana" w:hAnsi="Verdana" w:cs="Verdana"/>
          <w:highlight w:val="white"/>
        </w:rPr>
        <w:t>165</w:t>
      </w:r>
      <w:r>
        <w:rPr>
          <w:rFonts w:ascii="Verdana" w:eastAsia="Verdana" w:hAnsi="Verdana" w:cs="Verdana"/>
          <w:highlight w:val="white"/>
        </w:rPr>
        <w:t xml:space="preserve"> de la Ley 1448 de 2011 y </w:t>
      </w:r>
      <w:r w:rsidR="008C15DD">
        <w:rPr>
          <w:rFonts w:ascii="Verdana" w:eastAsia="Verdana" w:hAnsi="Verdana" w:cs="Verdana"/>
          <w:highlight w:val="white"/>
        </w:rPr>
        <w:t>239</w:t>
      </w:r>
      <w:r>
        <w:rPr>
          <w:rFonts w:ascii="Verdana" w:eastAsia="Verdana" w:hAnsi="Verdana" w:cs="Verdana"/>
          <w:highlight w:val="white"/>
        </w:rPr>
        <w:t xml:space="preserve"> y </w:t>
      </w:r>
      <w:r w:rsidR="008C15DD">
        <w:rPr>
          <w:rFonts w:ascii="Verdana" w:eastAsia="Verdana" w:hAnsi="Verdana" w:cs="Verdana"/>
          <w:highlight w:val="white"/>
        </w:rPr>
        <w:t>241</w:t>
      </w:r>
      <w:r>
        <w:rPr>
          <w:rFonts w:ascii="Verdana" w:eastAsia="Verdana" w:hAnsi="Verdana" w:cs="Verdana"/>
          <w:highlight w:val="white"/>
        </w:rPr>
        <w:t xml:space="preserve"> del Decreto 4800 de 2011 y,</w:t>
      </w:r>
    </w:p>
    <w:p w14:paraId="00000010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5AF3FCFC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Ley </w:t>
      </w:r>
      <w:r w:rsidR="008C15DD">
        <w:rPr>
          <w:rFonts w:ascii="Verdana" w:eastAsia="Verdana" w:hAnsi="Verdana" w:cs="Verdana"/>
        </w:rPr>
        <w:t>1448</w:t>
      </w:r>
      <w:r>
        <w:rPr>
          <w:rFonts w:ascii="Verdana" w:eastAsia="Verdana" w:hAnsi="Verdana" w:cs="Verdana"/>
        </w:rPr>
        <w:t xml:space="preserve"> de 2011 se creó el Comité Ejecutivo para la Atención y Reparación a las Víctimas, el cual cuenta con los subcomités técnicos que se requieran para el diseño de la política pública de atención y reparación integral.</w:t>
      </w:r>
    </w:p>
    <w:p w14:paraId="00000012" w14:textId="41295DF2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conformidad con el artículo </w:t>
      </w:r>
      <w:r w:rsidR="008C15DD">
        <w:rPr>
          <w:rFonts w:ascii="Verdana" w:eastAsia="Verdana" w:hAnsi="Verdana" w:cs="Verdana"/>
        </w:rPr>
        <w:t>241</w:t>
      </w:r>
      <w:r>
        <w:rPr>
          <w:rFonts w:ascii="Verdana" w:eastAsia="Verdana" w:hAnsi="Verdana" w:cs="Verdana"/>
        </w:rPr>
        <w:t xml:space="preserve"> del Decreto 4800 de 2011, entre otras instituciones, el Instituto Colombiano de Bienestar Familiar hace parte de los subcomités de Atención y Asistencia; de </w:t>
      </w:r>
      <w:r>
        <w:rPr>
          <w:rFonts w:ascii="Verdana" w:eastAsia="Verdana" w:hAnsi="Verdana" w:cs="Verdana"/>
        </w:rPr>
        <w:lastRenderedPageBreak/>
        <w:t>Medidas de Rehabilitación; de Prevención, Protección y Garantías de No Repetición y de Enfoque Diferencial.</w:t>
      </w:r>
    </w:p>
    <w:p w14:paraId="00000013" w14:textId="3E3591AB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según el artículo </w:t>
      </w:r>
      <w:r w:rsidR="008C15DD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987 de 2012, entre otras funciones, a la Subdirección de Restablecimiento de Derechos le compete </w:t>
      </w:r>
      <w:r>
        <w:rPr>
          <w:rFonts w:ascii="Verdana" w:eastAsia="Verdana" w:hAnsi="Verdana" w:cs="Verdana"/>
          <w:i/>
          <w:iCs/>
        </w:rPr>
        <w:t>“participar en el diseño de las políticas públicas de atención a niños, niñas y adolescentes víctimas de la violencia generada por los grupos armados al margen de la ley, así como de atención a la población infantil, jóvenes y familias en situación de desplazamiento forzado o víctima de desastres”.</w:t>
      </w:r>
    </w:p>
    <w:p w14:paraId="00000014" w14:textId="77777777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5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16" w14:textId="77777777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Designar como delegado del ICBF ante los subcomités de Atención y Asistencia; de Medidas de Rehabilitación; de Prevención, Protección y Garantías de No Repetición y de Enfoque Diferencial del Comité Ejecutivo para la Atención y Reparación a las Víctimas, a la persona que se desempeñe en el cargo de Subdirector de Restablecimiento de Derechos en el Instituto Colombiano de Bienestar Familiar.</w:t>
      </w:r>
    </w:p>
    <w:p w14:paraId="00000017" w14:textId="77777777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El delegado deberá presentar a esta Dirección General, informes sobre su gestión, dentro de la semana siguiente a cada sesión.</w:t>
      </w:r>
    </w:p>
    <w:p w14:paraId="00000018" w14:textId="77777777" w:rsidR="008C15DD" w:rsidRDefault="005D3C6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00000019" w14:textId="77777777" w:rsidR="008C15DD" w:rsidRPr="00456037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56037">
        <w:rPr>
          <w:rFonts w:ascii="Verdana" w:eastAsia="Verdana" w:hAnsi="Verdana" w:cs="Verdana"/>
          <w:b/>
          <w:bCs/>
        </w:rPr>
        <w:t>COMUNÍQUESE Y CÚMPLASE</w:t>
      </w:r>
    </w:p>
    <w:p w14:paraId="0000001A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 a los 24 días de marzo de 2015</w:t>
      </w:r>
    </w:p>
    <w:p w14:paraId="0000001B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1C" w14:textId="77777777" w:rsidR="008C15DD" w:rsidRDefault="005D3C6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D" w14:textId="77777777" w:rsidR="008C15DD" w:rsidRDefault="008C15DD">
      <w:pPr>
        <w:rPr>
          <w:rFonts w:ascii="Verdana" w:eastAsia="Verdana" w:hAnsi="Verdana" w:cs="Verdana"/>
        </w:rPr>
      </w:pPr>
    </w:p>
    <w:sectPr w:rsidR="008C15D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9E61845-5E18-4709-B55F-2604B63FD9D7}"/>
    <w:embedBold r:id="rId2" w:fontKey="{D9717D9F-A25B-4604-842E-B040DC6CBF79}"/>
    <w:embedItalic r:id="rId3" w:fontKey="{3E50BE5E-B2BB-4C1D-8DCF-FE85BB46C3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744141-8BFC-4434-A2F5-D436F6FEE9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9AB30B-5008-427C-925E-C333E911B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DD"/>
    <w:rsid w:val="00456037"/>
    <w:rsid w:val="005D3C66"/>
    <w:rsid w:val="00665FDA"/>
    <w:rsid w:val="006F481E"/>
    <w:rsid w:val="008C15DD"/>
    <w:rsid w:val="0092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C1646F-7C1B-4A78-AEAC-4A6EC12B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8BAD1A-EACF-4DEC-A48D-DEEF76A76CAB}"/>
</file>

<file path=customXml/itemProps2.xml><?xml version="1.0" encoding="utf-8"?>
<ds:datastoreItem xmlns:ds="http://schemas.openxmlformats.org/officeDocument/2006/customXml" ds:itemID="{E26AB39D-9268-469C-BCB9-2FE26FA43100}"/>
</file>

<file path=customXml/itemProps3.xml><?xml version="1.0" encoding="utf-8"?>
<ds:datastoreItem xmlns:ds="http://schemas.openxmlformats.org/officeDocument/2006/customXml" ds:itemID="{6E336648-2FE3-4EE3-8A15-C96425D4E5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2026-02-10T16:34:00Z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