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32826" w:rsidRDefault="002C6B21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13505 DE 2016</w:t>
      </w:r>
    </w:p>
    <w:p w14:paraId="00000002" w14:textId="77777777" w:rsidR="00D32826" w:rsidRDefault="002C6B21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29 de diciembre de 2016</w:t>
      </w:r>
    </w:p>
    <w:p w14:paraId="00000003" w14:textId="77777777" w:rsidR="00D32826" w:rsidRDefault="002C6B21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Fecha de entrada en vigencia: 29 de diciembre de 2016</w:t>
      </w:r>
    </w:p>
    <w:p w14:paraId="00000004" w14:textId="276AE8C2" w:rsidR="00D32826" w:rsidRDefault="002C6B21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Estado de la vigencia: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 xml:space="preserve">Derogada por el artículo </w:t>
      </w:r>
      <w:r w:rsidR="00D32826">
        <w:rPr>
          <w:rFonts w:ascii="Verdana" w:eastAsia="Verdana" w:hAnsi="Verdana" w:cs="Verdana"/>
        </w:rPr>
        <w:t>8</w:t>
      </w:r>
      <w:r>
        <w:rPr>
          <w:rFonts w:ascii="Verdana" w:eastAsia="Verdana" w:hAnsi="Verdana" w:cs="Verdana"/>
        </w:rPr>
        <w:t xml:space="preserve"> de la Resolución 10715 de 2019</w:t>
      </w:r>
    </w:p>
    <w:p w14:paraId="00000005" w14:textId="77777777" w:rsidR="00D32826" w:rsidRDefault="00D32826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6" w14:textId="77777777" w:rsidR="00D32826" w:rsidRDefault="002C6B21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Fecha de publicación en Diario Oficial: N/A</w:t>
      </w:r>
    </w:p>
    <w:p w14:paraId="00000007" w14:textId="77777777" w:rsidR="00D32826" w:rsidRDefault="002C6B21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</w:t>
      </w:r>
      <w:r>
        <w:rPr>
          <w:rFonts w:ascii="Verdana" w:eastAsia="Verdana" w:hAnsi="Verdana" w:cs="Verdana"/>
        </w:rPr>
        <w:t>N/A</w:t>
      </w:r>
    </w:p>
    <w:p w14:paraId="00000008" w14:textId="77777777" w:rsidR="00D32826" w:rsidRDefault="00D32826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9" w14:textId="77777777" w:rsidR="00D32826" w:rsidRDefault="00D32826">
      <w:pPr>
        <w:rPr>
          <w:rFonts w:ascii="Verdana" w:eastAsia="Verdana" w:hAnsi="Verdana" w:cs="Verdana"/>
        </w:rPr>
      </w:pPr>
    </w:p>
    <w:p w14:paraId="0000000A" w14:textId="77777777" w:rsidR="00D32826" w:rsidRDefault="002C6B2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13505 DE 2016</w:t>
      </w:r>
    </w:p>
    <w:p w14:paraId="0000000B" w14:textId="77777777" w:rsidR="00D32826" w:rsidRDefault="002C6B2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29)</w:t>
      </w:r>
    </w:p>
    <w:p w14:paraId="0000000C" w14:textId="77777777" w:rsidR="00D32826" w:rsidRDefault="002C6B2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D" w14:textId="4ED5FAC5" w:rsidR="00D32826" w:rsidRDefault="002C6B2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Por la cual se actualiza el Anexo 1 Tabla de Honorarios, Perfiles y Requisitos establecido en la Resolución No. </w:t>
      </w:r>
      <w:r w:rsidR="00D32826">
        <w:rPr>
          <w:rFonts w:ascii="Verdana" w:eastAsia="Verdana" w:hAnsi="Verdana" w:cs="Verdana"/>
        </w:rPr>
        <w:t>7794</w:t>
      </w:r>
      <w:r>
        <w:rPr>
          <w:rFonts w:ascii="Verdana" w:eastAsia="Verdana" w:hAnsi="Verdana" w:cs="Verdana"/>
        </w:rPr>
        <w:t xml:space="preserve"> del 31 de diciembre de 2014 "Por la cual se determinan los requisitos, perfiles y honorarios para los contratistas del Instituto Colombiano de Bienestar Familiar - Cecilia de la Fuente de Lleras"</w:t>
      </w:r>
    </w:p>
    <w:p w14:paraId="0000000E" w14:textId="77777777" w:rsidR="00D32826" w:rsidRDefault="002C6B2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ENCARGADA DEL INSTITUTO COLOMBIANO DE BIENESTAR FAMILIAR CECILIA DE LA FUENTE DE LLERAS</w:t>
      </w:r>
    </w:p>
    <w:p w14:paraId="0000000F" w14:textId="7E76F24F" w:rsidR="00D32826" w:rsidRDefault="002C6B2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las facultades constitucionales y legales, en especial las conferidas en el artículo </w:t>
      </w:r>
      <w:r w:rsidR="00D32826">
        <w:rPr>
          <w:rFonts w:ascii="Verdana" w:eastAsia="Verdana" w:hAnsi="Verdana" w:cs="Verdana"/>
        </w:rPr>
        <w:t>211</w:t>
      </w:r>
      <w:r>
        <w:rPr>
          <w:rFonts w:ascii="Verdana" w:eastAsia="Verdana" w:hAnsi="Verdana" w:cs="Verdana"/>
        </w:rPr>
        <w:t xml:space="preserve"> de la Constitución Política de Colombia, Ley </w:t>
      </w:r>
      <w:r w:rsidR="00D32826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a de 1979, Ley </w:t>
      </w:r>
      <w:r w:rsidR="00D32826">
        <w:rPr>
          <w:rFonts w:ascii="Verdana" w:eastAsia="Verdana" w:hAnsi="Verdana" w:cs="Verdana"/>
        </w:rPr>
        <w:t>80</w:t>
      </w:r>
      <w:r>
        <w:rPr>
          <w:rFonts w:ascii="Verdana" w:eastAsia="Verdana" w:hAnsi="Verdana" w:cs="Verdana"/>
        </w:rPr>
        <w:t xml:space="preserve"> de 1993, Ley </w:t>
      </w:r>
      <w:r w:rsidR="00D32826">
        <w:rPr>
          <w:rFonts w:ascii="Verdana" w:eastAsia="Verdana" w:hAnsi="Verdana" w:cs="Verdana"/>
        </w:rPr>
        <w:t>1150</w:t>
      </w:r>
      <w:r>
        <w:rPr>
          <w:rFonts w:ascii="Verdana" w:eastAsia="Verdana" w:hAnsi="Verdana" w:cs="Verdana"/>
        </w:rPr>
        <w:t xml:space="preserve"> de 2007, Ley </w:t>
      </w:r>
      <w:r w:rsidR="00D32826">
        <w:rPr>
          <w:rFonts w:ascii="Verdana" w:eastAsia="Verdana" w:hAnsi="Verdana" w:cs="Verdana"/>
        </w:rPr>
        <w:t>489</w:t>
      </w:r>
      <w:r>
        <w:rPr>
          <w:rFonts w:ascii="Verdana" w:eastAsia="Verdana" w:hAnsi="Verdana" w:cs="Verdana"/>
        </w:rPr>
        <w:t xml:space="preserve"> de 1998, Ley </w:t>
      </w:r>
      <w:r w:rsidR="00D32826">
        <w:rPr>
          <w:rFonts w:ascii="Verdana" w:eastAsia="Verdana" w:hAnsi="Verdana" w:cs="Verdana"/>
        </w:rPr>
        <w:t>1474</w:t>
      </w:r>
      <w:r>
        <w:rPr>
          <w:rFonts w:ascii="Verdana" w:eastAsia="Verdana" w:hAnsi="Verdana" w:cs="Verdana"/>
        </w:rPr>
        <w:t xml:space="preserve"> de 2011 y</w:t>
      </w:r>
    </w:p>
    <w:p w14:paraId="00000010" w14:textId="77777777" w:rsidR="00D32826" w:rsidRDefault="002C6B2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1" w14:textId="1FBE3A84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numeral 5 del artículo </w:t>
      </w:r>
      <w:r w:rsidR="00D32826">
        <w:rPr>
          <w:rFonts w:ascii="Verdana" w:eastAsia="Verdana" w:hAnsi="Verdana" w:cs="Verdana"/>
        </w:rPr>
        <w:t>26</w:t>
      </w:r>
      <w:r>
        <w:rPr>
          <w:rFonts w:ascii="Verdana" w:eastAsia="Verdana" w:hAnsi="Verdana" w:cs="Verdana"/>
        </w:rPr>
        <w:t xml:space="preserve"> de </w:t>
      </w:r>
      <w:r>
        <w:rPr>
          <w:rFonts w:ascii="Verdana" w:eastAsia="Verdana" w:hAnsi="Verdana" w:cs="Verdana"/>
        </w:rPr>
        <w:lastRenderedPageBreak/>
        <w:t>la Ley 80 de 1993 establece que es responsabilidad del Jefe o Representante Legal de la Entidad Estatal la dirección y manejo de la actividad contractual.</w:t>
      </w:r>
    </w:p>
    <w:p w14:paraId="00000012" w14:textId="4F4AC995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artículo </w:t>
      </w:r>
      <w:r w:rsidR="00D32826">
        <w:rPr>
          <w:rFonts w:ascii="Verdana" w:eastAsia="Verdana" w:hAnsi="Verdana" w:cs="Verdana"/>
        </w:rPr>
        <w:t>3</w:t>
      </w:r>
      <w:r>
        <w:rPr>
          <w:rFonts w:ascii="Verdana" w:eastAsia="Verdana" w:hAnsi="Verdana" w:cs="Verdana"/>
        </w:rPr>
        <w:t xml:space="preserve"> de la Ley 80 de 1993 establece</w:t>
      </w:r>
      <w:r>
        <w:rPr>
          <w:rFonts w:ascii="Verdana" w:eastAsia="Verdana" w:hAnsi="Verdana" w:cs="Verdana"/>
          <w:i/>
          <w:iCs/>
        </w:rPr>
        <w:t xml:space="preserve"> </w:t>
      </w:r>
      <w:r>
        <w:rPr>
          <w:rFonts w:ascii="Verdana" w:eastAsia="Verdana" w:hAnsi="Verdana" w:cs="Verdana"/>
        </w:rPr>
        <w:t xml:space="preserve">que </w:t>
      </w:r>
      <w:r>
        <w:rPr>
          <w:rFonts w:ascii="Verdana" w:eastAsia="Verdana" w:hAnsi="Verdana" w:cs="Verdana"/>
          <w:i/>
          <w:iCs/>
        </w:rPr>
        <w:t>“Los servidores públicos tendrán en consideración que al celebrar contratos y con la ejecución de los mismos, las entidades buscan el cumplimiento de los fines estatales, la continua y eficiente prestación de los servicios públicos y la efectividad de los derechos e intereses de los administrados que colaboran con ellas en la consecución de dichos fines.</w:t>
      </w:r>
    </w:p>
    <w:p w14:paraId="00000013" w14:textId="77777777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  <w:i/>
          <w:iCs/>
        </w:rPr>
        <w:t>Los particulares, por su parte, tendrán en cuenta al celebrar y ejecutar contratos con las entidades estatales que colaboran con ellas en el logro de sus fines y cumplen una función social que, como tal, implica obligaciones."</w:t>
      </w:r>
    </w:p>
    <w:p w14:paraId="00000014" w14:textId="54574752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numeral 3 del artículo </w:t>
      </w:r>
      <w:r w:rsidR="00D32826">
        <w:rPr>
          <w:rFonts w:ascii="Verdana" w:eastAsia="Verdana" w:hAnsi="Verdana" w:cs="Verdana"/>
        </w:rPr>
        <w:t>32</w:t>
      </w:r>
      <w:r>
        <w:rPr>
          <w:rFonts w:ascii="Verdana" w:eastAsia="Verdana" w:hAnsi="Verdana" w:cs="Verdana"/>
        </w:rPr>
        <w:t xml:space="preserve"> de la ley en comento define el contrato de prestación de servicios como aquellos</w:t>
      </w:r>
      <w:r>
        <w:rPr>
          <w:rFonts w:ascii="Verdana" w:eastAsia="Verdana" w:hAnsi="Verdana" w:cs="Verdana"/>
          <w:i/>
          <w:iCs/>
        </w:rPr>
        <w:t xml:space="preserve"> “(...) que celebren las entidades estatales para desarrollar actividades relacionadas con la administración o funcionamiento de la entidad. Estos contratos sólo podrán celebrarse con personas naturales cuando dichas actividades no puedan realizarse con personal de planta o requieran conocimientos especializados. En ningún caso estos contratos generan relación laboral ni prestaciones sociales y se celebrarán por el término estr</w:t>
      </w:r>
      <w:r>
        <w:rPr>
          <w:rFonts w:ascii="Verdana" w:eastAsia="Verdana" w:hAnsi="Verdana" w:cs="Verdana"/>
          <w:i/>
          <w:iCs/>
        </w:rPr>
        <w:t>ictamente indispensable."</w:t>
      </w:r>
    </w:p>
    <w:p w14:paraId="00000015" w14:textId="7214D974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literal h, numeral 4 del artículo </w:t>
      </w:r>
      <w:r w:rsidR="00D32826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 de la Ley 1150 de 2007 establece como una causal de contratación directa la prestación de servicios profesionales y de apoyo a la gestión, o para la ejecución de trabajos artísticos que sólo puedan encomendarse a determinadas personas naturales.</w:t>
      </w:r>
    </w:p>
    <w:p w14:paraId="00000016" w14:textId="2F82E524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artículo </w:t>
      </w:r>
      <w:r w:rsidR="00D32826">
        <w:rPr>
          <w:rFonts w:ascii="Verdana" w:eastAsia="Verdana" w:hAnsi="Verdana" w:cs="Verdana"/>
        </w:rPr>
        <w:t>2.2.1.2.1.4.9</w:t>
      </w:r>
      <w:r>
        <w:rPr>
          <w:rFonts w:ascii="Verdana" w:eastAsia="Verdana" w:hAnsi="Verdana" w:cs="Verdana"/>
        </w:rPr>
        <w:t xml:space="preserve">. del Decreto 1082 de 2015 establece que </w:t>
      </w:r>
      <w:r>
        <w:rPr>
          <w:rFonts w:ascii="Verdana" w:eastAsia="Verdana" w:hAnsi="Verdana" w:cs="Verdana"/>
          <w:b/>
          <w:bCs/>
        </w:rPr>
        <w:t>“</w:t>
      </w:r>
      <w:r>
        <w:rPr>
          <w:rFonts w:ascii="Verdana" w:eastAsia="Verdana" w:hAnsi="Verdana" w:cs="Verdana"/>
          <w:i/>
          <w:iCs/>
        </w:rPr>
        <w:t>Las entidades estatales pueden contratar bajo la modalidad de contratación directa la prestación de servicios profesionales y de apoyo a la gestión con la persona natural o jurídica que esté en capacidad de ejecutar el objeto del contrato, siempre y cuando la entidad estatal verifique la idoneidad o experiencia requerida y relacionada con el área de que se trate. En este caso, no es necesario que la entidad estatal haya obtenido previamente varias ofertas, de lo cua</w:t>
      </w:r>
      <w:r>
        <w:rPr>
          <w:rFonts w:ascii="Verdana" w:eastAsia="Verdana" w:hAnsi="Verdana" w:cs="Verdana"/>
          <w:i/>
          <w:iCs/>
        </w:rPr>
        <w:t>l el ordenador del gasto debe dejar constancia escrita."</w:t>
      </w:r>
    </w:p>
    <w:p w14:paraId="00000017" w14:textId="1BBC1BF8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D32826"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</w:rPr>
        <w:t xml:space="preserve"> del Decreto 2785 de 2011, que modifica el artículo </w:t>
      </w:r>
      <w:r w:rsidR="00D32826">
        <w:rPr>
          <w:rFonts w:ascii="Verdana" w:eastAsia="Verdana" w:hAnsi="Verdana" w:cs="Verdana"/>
        </w:rPr>
        <w:t>4</w:t>
      </w:r>
      <w:r>
        <w:rPr>
          <w:rFonts w:ascii="Verdana" w:eastAsia="Verdana" w:hAnsi="Verdana" w:cs="Verdana"/>
        </w:rPr>
        <w:t xml:space="preserve"> del Decreto 1737 de 1998, establece la prohibición de pactar remuneración para pago de servicios personales calificados con personas naturales, o jurídicas, encaminados a la prestación de servicios en forma continua para atender asuntos propios de la respectiva entidad, por valor mensual superior a la remuneración total mensual establecida para el jefe de la entidad.</w:t>
      </w:r>
    </w:p>
    <w:p w14:paraId="00000018" w14:textId="689FFB96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No. </w:t>
      </w:r>
      <w:r w:rsidR="00D32826">
        <w:rPr>
          <w:rFonts w:ascii="Verdana" w:eastAsia="Verdana" w:hAnsi="Verdana" w:cs="Verdana"/>
        </w:rPr>
        <w:t>7794</w:t>
      </w:r>
      <w:r>
        <w:rPr>
          <w:rFonts w:ascii="Verdana" w:eastAsia="Verdana" w:hAnsi="Verdana" w:cs="Verdana"/>
        </w:rPr>
        <w:t xml:space="preserve"> del 31 de diciembre 2014, modificada por la Resolución No. </w:t>
      </w:r>
      <w:r w:rsidR="00D32826">
        <w:rPr>
          <w:rFonts w:ascii="Verdana" w:eastAsia="Verdana" w:hAnsi="Verdana" w:cs="Verdana"/>
        </w:rPr>
        <w:t>2062</w:t>
      </w:r>
      <w:r>
        <w:rPr>
          <w:rFonts w:ascii="Verdana" w:eastAsia="Verdana" w:hAnsi="Verdana" w:cs="Verdana"/>
        </w:rPr>
        <w:t xml:space="preserve"> del 27 de abril de 2015 se determinaron los requisitos, perfiles y honorarios para los contratistas de prestación de servicios profesionales y apoyo a la gestión.</w:t>
      </w:r>
    </w:p>
    <w:p w14:paraId="00000019" w14:textId="35C9DC50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D32826"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</w:rPr>
        <w:t xml:space="preserve"> de la Resolución 7794 de 2014 contempló que el Anexo 1 denominado “Tabla de Honorarios, Perfiles y Requisitos”, podría ser objeto de actualización cada vez que resulte necesario.</w:t>
      </w:r>
    </w:p>
    <w:p w14:paraId="0000001A" w14:textId="77777777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para el año 2017 los contratos de prestación de servicios que de manera individual se suscriban por un monto superior a 3.300 UVT cuya unidad está estimada en $31.859, para un valor total de $105.134.700, el contratista deberá pertenecer al régimen común o inscribirse en forma previa a la celebración del contrato, y declarar y pagar el Impuesto al Valor Agregado el cuál se entiende incluido en los honorarios fijados en el contrato.</w:t>
      </w:r>
    </w:p>
    <w:p w14:paraId="0000001B" w14:textId="77777777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para los futuros contratistas que pertenecieran al régimen común para la fecha de suscripción del contrato, y cuyo valor de honorarios no supere las cuantías atrás señaladas será igualmente responsable de facturar y </w:t>
      </w:r>
      <w:r>
        <w:rPr>
          <w:rFonts w:ascii="Verdana" w:eastAsia="Verdana" w:hAnsi="Verdana" w:cs="Verdana"/>
        </w:rPr>
        <w:lastRenderedPageBreak/>
        <w:t>pagar el IVA.</w:t>
      </w:r>
    </w:p>
    <w:p w14:paraId="0000001C" w14:textId="77777777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con sujeción a lo anterior, es necesario actualizar el Anexo 1, en el que se incluya la Tabla de Honorarios, perfiles y requisitos de aquellos contratistas cuyos servicios quedan gravados con IVA, y aclarar que previo a la celebración del contrato, el contratista debe inscribirse en el régimen común en el evento de que para esa fecha no pertenezca a dicho régimen.</w:t>
      </w:r>
    </w:p>
    <w:p w14:paraId="0000001D" w14:textId="77777777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es deber del contratista conocer las normas vigentes para la fecha de suscripción del contrato, entre otras, las que contienen las tarifas de los impuestos, tasas y/o contribuciones a su cargo, entendiéndose con la suscripción del contrato, la aceptación de dichas condiciones por parte del contratista.</w:t>
      </w:r>
    </w:p>
    <w:p w14:paraId="0000001E" w14:textId="77777777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000001F" w14:textId="77777777" w:rsidR="00D32826" w:rsidRDefault="002C6B2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20" w14:textId="4BF174C5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>
        <w:rPr>
          <w:rFonts w:ascii="Verdana" w:eastAsia="Verdana" w:hAnsi="Verdana" w:cs="Verdana"/>
        </w:rPr>
        <w:t xml:space="preserve">Actualizar el Anexo No. 1 de la Resolución No. </w:t>
      </w:r>
      <w:r w:rsidR="00D32826">
        <w:rPr>
          <w:rFonts w:ascii="Verdana" w:eastAsia="Verdana" w:hAnsi="Verdana" w:cs="Verdana"/>
        </w:rPr>
        <w:t>7794</w:t>
      </w:r>
      <w:r>
        <w:rPr>
          <w:rFonts w:ascii="Verdana" w:eastAsia="Verdana" w:hAnsi="Verdana" w:cs="Verdana"/>
        </w:rPr>
        <w:t xml:space="preserve"> del 31 de diciembre 2014, modificada por la Resolución No. </w:t>
      </w:r>
      <w:r w:rsidR="00D32826">
        <w:rPr>
          <w:rFonts w:ascii="Verdana" w:eastAsia="Verdana" w:hAnsi="Verdana" w:cs="Verdana"/>
        </w:rPr>
        <w:t>2062</w:t>
      </w:r>
      <w:r>
        <w:rPr>
          <w:rFonts w:ascii="Verdana" w:eastAsia="Verdana" w:hAnsi="Verdana" w:cs="Verdana"/>
        </w:rPr>
        <w:t xml:space="preserve"> del 27 de abril de 2015, denominado “Tabla de Honorarios, Perfiles y Requisitos”, el cual se adopta en documento adjunto, el cual hace parte integral del presente acto administrativo.</w:t>
      </w:r>
    </w:p>
    <w:p w14:paraId="00000021" w14:textId="77777777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La presente actualización empezará a regir a partir del 1 de enero de 2017 y no afecta la contratación efectuada por el ICBF en la vigencia 2016.</w:t>
      </w:r>
    </w:p>
    <w:p w14:paraId="00000022" w14:textId="0AB860D5" w:rsidR="00D32826" w:rsidRDefault="002C6B2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TERCERO. </w:t>
      </w:r>
      <w:r>
        <w:rPr>
          <w:rFonts w:ascii="Verdana" w:eastAsia="Verdana" w:hAnsi="Verdana" w:cs="Verdana"/>
        </w:rPr>
        <w:t xml:space="preserve">[Resolución derogada por el artículo </w:t>
      </w:r>
      <w:r w:rsidR="00D32826">
        <w:rPr>
          <w:rFonts w:ascii="Verdana" w:eastAsia="Verdana" w:hAnsi="Verdana" w:cs="Verdana"/>
        </w:rPr>
        <w:t>8</w:t>
      </w:r>
      <w:r>
        <w:rPr>
          <w:rFonts w:ascii="Verdana" w:eastAsia="Verdana" w:hAnsi="Verdana" w:cs="Verdana"/>
        </w:rPr>
        <w:t xml:space="preserve"> de la Resolución 10715 de 2019] Las demás disposiciones de la Resolución No. 7794 del 31 de diciembre de 2014 que no fueron modificadas por el presente acto administrativo continúan vigentes.</w:t>
      </w:r>
    </w:p>
    <w:p w14:paraId="00000023" w14:textId="77777777" w:rsidR="00D32826" w:rsidRPr="006D45C2" w:rsidRDefault="002C6B2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6D45C2">
        <w:rPr>
          <w:rFonts w:ascii="Verdana" w:eastAsia="Verdana" w:hAnsi="Verdana" w:cs="Verdana"/>
          <w:b/>
          <w:bCs/>
        </w:rPr>
        <w:t>COMUNÍQUESE Y CÚMPLASE</w:t>
      </w:r>
    </w:p>
    <w:p w14:paraId="00000024" w14:textId="77777777" w:rsidR="00D32826" w:rsidRDefault="002C6B2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a los 29 días de diciembre de 2016</w:t>
      </w:r>
    </w:p>
    <w:p w14:paraId="00000025" w14:textId="77777777" w:rsidR="00D32826" w:rsidRDefault="002C6B2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MARTHA YOLANDA CIRO FLOREZ</w:t>
      </w:r>
    </w:p>
    <w:p w14:paraId="00000026" w14:textId="77777777" w:rsidR="00D32826" w:rsidRDefault="002C6B2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SECRETARIA GENERAL ENCARGADA DE LAS FUNCIONES DE DIRECTORA GENERAL</w:t>
      </w:r>
    </w:p>
    <w:p w14:paraId="00000027" w14:textId="77777777" w:rsidR="00D32826" w:rsidRDefault="00D32826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</w:p>
    <w:p w14:paraId="00000028" w14:textId="77777777" w:rsidR="00D32826" w:rsidRDefault="00D32826">
      <w:pPr>
        <w:rPr>
          <w:rFonts w:ascii="Verdana" w:eastAsia="Verdana" w:hAnsi="Verdana" w:cs="Verdana"/>
        </w:rPr>
      </w:pPr>
    </w:p>
    <w:sectPr w:rsidR="00D3282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82A26B3-62B4-4C43-91DA-F2C0844E636B}"/>
    <w:embedBold r:id="rId2" w:fontKey="{D4AEE55B-4B4B-4AF9-9614-3E83C666F389}"/>
    <w:embedItalic r:id="rId3" w:fontKey="{E57A244A-5F74-42D3-8154-CDCBCDF4BB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10E1430-DB98-4D5B-8FD3-5D2E081400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D61BB0-E364-4E81-884A-F152ED2FEA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826"/>
    <w:rsid w:val="002C6B21"/>
    <w:rsid w:val="00665FDA"/>
    <w:rsid w:val="006D45C2"/>
    <w:rsid w:val="00AA6C54"/>
    <w:rsid w:val="00BC57C1"/>
    <w:rsid w:val="00D3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5A4EA1E-FEB9-41E2-B0F9-8F039C86E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B38E80-8484-4B90-AA6E-D162E0DDED79}"/>
</file>

<file path=customXml/itemProps2.xml><?xml version="1.0" encoding="utf-8"?>
<ds:datastoreItem xmlns:ds="http://schemas.openxmlformats.org/officeDocument/2006/customXml" ds:itemID="{B9347796-2D18-4ADC-8A67-101BF906F73D}"/>
</file>

<file path=customXml/itemProps3.xml><?xml version="1.0" encoding="utf-8"?>
<ds:datastoreItem xmlns:ds="http://schemas.openxmlformats.org/officeDocument/2006/customXml" ds:itemID="{DD9326A3-9FCB-45C8-99F4-8CBE30D52A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1000</Words>
  <Characters>5505</Characters>
  <Application>Microsoft Office Word</Application>
  <DocSecurity>0</DocSecurity>
  <Lines>45</Lines>
  <Paragraphs>12</Paragraphs>
  <ScaleCrop>false</ScaleCrop>
  <Company/>
  <LinksUpToDate>false</LinksUpToDate>
  <CharactersWithSpaces>6493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2026-02-20T19:35:00Z</dcterms:created>
  <dcterms:modified xsi:type="dcterms:W3CDTF">2026-04-16T19:33:00Z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