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1313 DE 2015</w:t>
      </w:r>
    </w:p>
    <w:p w14:paraId="00000002" w14:textId="77777777" w:rsidR="005167DC" w:rsidRDefault="00773EA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19 de marzo de 2015</w:t>
      </w:r>
    </w:p>
    <w:p w14:paraId="00000003" w14:textId="77777777" w:rsidR="005167DC" w:rsidRDefault="00773EA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19 de marzo de 2015</w:t>
      </w:r>
    </w:p>
    <w:p w14:paraId="00000004" w14:textId="3F883CE0" w:rsidR="005167DC" w:rsidRDefault="00773EA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5167DC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highlight w:val="white"/>
        </w:rPr>
        <w:t xml:space="preserve"> de la Resolución 5206 de 2020</w:t>
      </w:r>
    </w:p>
    <w:p w14:paraId="00000005" w14:textId="77777777" w:rsidR="005167DC" w:rsidRDefault="005167DC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5167DC" w:rsidRDefault="00773EA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 xml:space="preserve">49.463 </w:t>
      </w:r>
    </w:p>
    <w:p w14:paraId="00000007" w14:textId="77777777" w:rsidR="005167DC" w:rsidRDefault="00773EA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24 de marzo de 2015</w:t>
      </w:r>
    </w:p>
    <w:p w14:paraId="00000008" w14:textId="77777777" w:rsidR="005167DC" w:rsidRDefault="005167DC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5167DC" w:rsidRDefault="005167DC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1313 DE 2015</w:t>
      </w:r>
    </w:p>
    <w:p w14:paraId="0000000B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19)</w:t>
      </w:r>
    </w:p>
    <w:p w14:paraId="0000000C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6BD81F9D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Por la cual se modifica la Resolución número </w:t>
      </w:r>
      <w:r w:rsidR="005167DC">
        <w:rPr>
          <w:rFonts w:ascii="Verdana" w:eastAsia="Verdana" w:hAnsi="Verdana" w:cs="Verdana"/>
          <w:highlight w:val="white"/>
        </w:rPr>
        <w:t>1100</w:t>
      </w:r>
      <w:r>
        <w:rPr>
          <w:rFonts w:ascii="Verdana" w:eastAsia="Verdana" w:hAnsi="Verdana" w:cs="Verdana"/>
          <w:highlight w:val="white"/>
        </w:rPr>
        <w:t xml:space="preserve"> del 10 de marzo de 2015.</w:t>
      </w:r>
    </w:p>
    <w:p w14:paraId="0000000E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595F9D61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las facultades constitucionales y legales, en especial las conferidas en el artículo </w:t>
      </w:r>
      <w:r w:rsidR="005167DC">
        <w:rPr>
          <w:rFonts w:ascii="Verdana" w:eastAsia="Verdana" w:hAnsi="Verdana" w:cs="Verdana"/>
          <w:highlight w:val="white"/>
        </w:rPr>
        <w:t>211</w:t>
      </w:r>
      <w:r>
        <w:rPr>
          <w:rFonts w:ascii="Verdana" w:eastAsia="Verdana" w:hAnsi="Verdana" w:cs="Verdana"/>
          <w:highlight w:val="white"/>
        </w:rPr>
        <w:t xml:space="preserve"> de la Constitución Política de Colombia, Ley </w:t>
      </w:r>
      <w:r w:rsidR="005167DC">
        <w:rPr>
          <w:rFonts w:ascii="Verdana" w:eastAsia="Verdana" w:hAnsi="Verdana" w:cs="Verdana"/>
          <w:highlight w:val="white"/>
        </w:rPr>
        <w:t>7</w:t>
      </w:r>
      <w:r>
        <w:rPr>
          <w:rFonts w:ascii="Verdana" w:eastAsia="Verdana" w:hAnsi="Verdana" w:cs="Verdana"/>
          <w:highlight w:val="white"/>
        </w:rPr>
        <w:t xml:space="preserve">ª de 1979, Ley </w:t>
      </w:r>
      <w:r w:rsidR="005167DC">
        <w:rPr>
          <w:rFonts w:ascii="Verdana" w:eastAsia="Verdana" w:hAnsi="Verdana" w:cs="Verdana"/>
          <w:highlight w:val="white"/>
        </w:rPr>
        <w:t>80</w:t>
      </w:r>
      <w:r>
        <w:rPr>
          <w:rFonts w:ascii="Verdana" w:eastAsia="Verdana" w:hAnsi="Verdana" w:cs="Verdana"/>
          <w:highlight w:val="white"/>
        </w:rPr>
        <w:t xml:space="preserve"> de 1993, Ley </w:t>
      </w:r>
      <w:r w:rsidR="005167DC">
        <w:rPr>
          <w:rFonts w:ascii="Verdana" w:eastAsia="Verdana" w:hAnsi="Verdana" w:cs="Verdana"/>
          <w:highlight w:val="white"/>
        </w:rPr>
        <w:t>1150</w:t>
      </w:r>
      <w:r>
        <w:rPr>
          <w:rFonts w:ascii="Verdana" w:eastAsia="Verdana" w:hAnsi="Verdana" w:cs="Verdana"/>
          <w:highlight w:val="white"/>
        </w:rPr>
        <w:t xml:space="preserve"> de 2007, Ley </w:t>
      </w:r>
      <w:r w:rsidR="005167DC">
        <w:rPr>
          <w:rFonts w:ascii="Verdana" w:eastAsia="Verdana" w:hAnsi="Verdana" w:cs="Verdana"/>
          <w:highlight w:val="white"/>
        </w:rPr>
        <w:t>489</w:t>
      </w:r>
      <w:r>
        <w:rPr>
          <w:rFonts w:ascii="Verdana" w:eastAsia="Verdana" w:hAnsi="Verdana" w:cs="Verdana"/>
          <w:highlight w:val="white"/>
        </w:rPr>
        <w:t xml:space="preserve"> de 1998, Ley </w:t>
      </w:r>
      <w:r w:rsidR="005167DC">
        <w:rPr>
          <w:rFonts w:ascii="Verdana" w:eastAsia="Verdana" w:hAnsi="Verdana" w:cs="Verdana"/>
          <w:highlight w:val="white"/>
        </w:rPr>
        <w:t>1474</w:t>
      </w:r>
      <w:r>
        <w:rPr>
          <w:rFonts w:ascii="Verdana" w:eastAsia="Verdana" w:hAnsi="Verdana" w:cs="Verdana"/>
          <w:highlight w:val="white"/>
        </w:rPr>
        <w:t xml:space="preserve"> de 2011 y artículo </w:t>
      </w:r>
      <w:r w:rsidR="005167DC">
        <w:rPr>
          <w:rFonts w:ascii="Verdana" w:eastAsia="Verdana" w:hAnsi="Verdana" w:cs="Verdana"/>
          <w:highlight w:val="white"/>
        </w:rPr>
        <w:t>160</w:t>
      </w:r>
      <w:r>
        <w:rPr>
          <w:rFonts w:ascii="Verdana" w:eastAsia="Verdana" w:hAnsi="Verdana" w:cs="Verdana"/>
          <w:highlight w:val="white"/>
        </w:rPr>
        <w:t xml:space="preserve"> del Decreto número 1510 de 2013, y</w:t>
      </w:r>
    </w:p>
    <w:p w14:paraId="00000010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688BCF9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5167DC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ordena que la función administrativa debe estar al servicio de los intereses generales y que se desarrolla con fundamento en los principios de igualdad, moralidad, eficacia, economía, celeridad, imparcialidad y </w:t>
      </w:r>
      <w:r>
        <w:rPr>
          <w:rFonts w:ascii="Verdana" w:eastAsia="Verdana" w:hAnsi="Verdana" w:cs="Verdana"/>
        </w:rPr>
        <w:lastRenderedPageBreak/>
        <w:t>publicidad, mediante la descentralización, delegación y desconcentración de funciones;</w:t>
      </w:r>
    </w:p>
    <w:p w14:paraId="00000012" w14:textId="30DE8108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actividad contractual del Instituto Colombiano de Bienestar Familiar debe regirse por lo establecido en la Ley </w:t>
      </w:r>
      <w:r w:rsidR="005167DC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los artículos </w:t>
      </w:r>
      <w:r w:rsidR="005167DC">
        <w:rPr>
          <w:rFonts w:ascii="Verdana" w:eastAsia="Verdana" w:hAnsi="Verdana" w:cs="Verdana"/>
        </w:rPr>
        <w:t>123</w:t>
      </w:r>
      <w:r>
        <w:rPr>
          <w:rFonts w:ascii="Verdana" w:eastAsia="Verdana" w:hAnsi="Verdana" w:cs="Verdana"/>
        </w:rPr>
        <w:t xml:space="preserve"> y siguientes del Decreto número 2388 de 1979, la Ley </w:t>
      </w:r>
      <w:r w:rsidR="005167DC">
        <w:rPr>
          <w:rFonts w:ascii="Verdana" w:eastAsia="Verdana" w:hAnsi="Verdana" w:cs="Verdana"/>
        </w:rPr>
        <w:t>80</w:t>
      </w:r>
      <w:r>
        <w:rPr>
          <w:rFonts w:ascii="Verdana" w:eastAsia="Verdana" w:hAnsi="Verdana" w:cs="Verdana"/>
        </w:rPr>
        <w:t xml:space="preserve"> de 1993, Ley </w:t>
      </w:r>
      <w:r w:rsidR="005167DC">
        <w:rPr>
          <w:rFonts w:ascii="Verdana" w:eastAsia="Verdana" w:hAnsi="Verdana" w:cs="Verdana"/>
        </w:rPr>
        <w:t>1150</w:t>
      </w:r>
      <w:r>
        <w:rPr>
          <w:rFonts w:ascii="Verdana" w:eastAsia="Verdana" w:hAnsi="Verdana" w:cs="Verdana"/>
        </w:rPr>
        <w:t xml:space="preserve"> de 2007, Ley </w:t>
      </w:r>
      <w:r w:rsidR="005167DC">
        <w:rPr>
          <w:rFonts w:ascii="Verdana" w:eastAsia="Verdana" w:hAnsi="Verdana" w:cs="Verdana"/>
        </w:rPr>
        <w:t>1474</w:t>
      </w:r>
      <w:r>
        <w:rPr>
          <w:rFonts w:ascii="Verdana" w:eastAsia="Verdana" w:hAnsi="Verdana" w:cs="Verdana"/>
        </w:rPr>
        <w:t xml:space="preserve">de 2011, el Decreto número </w:t>
      </w:r>
      <w:r w:rsidR="005167DC">
        <w:rPr>
          <w:rFonts w:ascii="Verdana" w:eastAsia="Verdana" w:hAnsi="Verdana" w:cs="Verdana"/>
        </w:rPr>
        <w:t>1510</w:t>
      </w:r>
      <w:r>
        <w:rPr>
          <w:rFonts w:ascii="Verdana" w:eastAsia="Verdana" w:hAnsi="Verdana" w:cs="Verdana"/>
        </w:rPr>
        <w:t xml:space="preserve"> de 2013 y demás disposiciones que regulan el Régimen General de Contratación Pública y el Régimen Especial de Aporte;</w:t>
      </w:r>
    </w:p>
    <w:p w14:paraId="00000013" w14:textId="36EA84C5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teniendo en cuenta lo establecido en el artículo </w:t>
      </w:r>
      <w:r w:rsidR="005167DC">
        <w:rPr>
          <w:rFonts w:ascii="Verdana" w:eastAsia="Verdana" w:hAnsi="Verdana" w:cs="Verdana"/>
        </w:rPr>
        <w:t>160</w:t>
      </w:r>
      <w:r>
        <w:rPr>
          <w:rFonts w:ascii="Verdana" w:eastAsia="Verdana" w:hAnsi="Verdana" w:cs="Verdana"/>
        </w:rPr>
        <w:t xml:space="preserve"> del Decreto número 1510 de 2013 </w:t>
      </w:r>
      <w:r>
        <w:rPr>
          <w:rFonts w:ascii="Verdana" w:eastAsia="Verdana" w:hAnsi="Verdana" w:cs="Verdana"/>
          <w:i/>
          <w:iCs/>
        </w:rPr>
        <w:t>“todas las Entidades Estatales deben contar con un manual de contratación el cual debe cumplir con los lineamientos que para el efecto señale Colombia Compra Eficiente”</w:t>
      </w:r>
      <w:r>
        <w:rPr>
          <w:rFonts w:ascii="Verdana" w:eastAsia="Verdana" w:hAnsi="Verdana" w:cs="Verdana"/>
        </w:rPr>
        <w:t xml:space="preserve">, por lo que el ICBF mediante Resolución número </w:t>
      </w:r>
      <w:r w:rsidR="005167DC">
        <w:rPr>
          <w:rFonts w:ascii="Verdana" w:eastAsia="Verdana" w:hAnsi="Verdana" w:cs="Verdana"/>
        </w:rPr>
        <w:t>3146</w:t>
      </w:r>
      <w:r>
        <w:rPr>
          <w:rFonts w:ascii="Verdana" w:eastAsia="Verdana" w:hAnsi="Verdana" w:cs="Verdana"/>
        </w:rPr>
        <w:t xml:space="preserve"> de 2014 adoptó su Manual de Contratación;</w:t>
      </w:r>
    </w:p>
    <w:p w14:paraId="00000014" w14:textId="5C91AD68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5167DC">
        <w:rPr>
          <w:rFonts w:ascii="Verdana" w:eastAsia="Verdana" w:hAnsi="Verdana" w:cs="Verdana"/>
        </w:rPr>
        <w:t>1100</w:t>
      </w:r>
      <w:r>
        <w:rPr>
          <w:rFonts w:ascii="Verdana" w:eastAsia="Verdana" w:hAnsi="Verdana" w:cs="Verdana"/>
        </w:rPr>
        <w:t xml:space="preserve"> del 10 de marzo de 2015 la Directora General del ICBF adoptó el Manual de Contratación de la Entidad;</w:t>
      </w:r>
    </w:p>
    <w:p w14:paraId="00000015" w14:textId="7777777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se hace necesario modificar lo dispuesto en el numeral 4.3 </w:t>
      </w:r>
      <w:r>
        <w:rPr>
          <w:rFonts w:ascii="Verdana" w:eastAsia="Verdana" w:hAnsi="Verdana" w:cs="Verdana"/>
          <w:i/>
          <w:iCs/>
        </w:rPr>
        <w:t xml:space="preserve">Régimen de Transición - Régimen de Aporte </w:t>
      </w:r>
      <w:r>
        <w:rPr>
          <w:rFonts w:ascii="Verdana" w:eastAsia="Verdana" w:hAnsi="Verdana" w:cs="Verdana"/>
        </w:rPr>
        <w:t>de dicho Manual, a efectos de establecer con claridad el procedimiento a seguir para la contratación del servicio público de bienestar familiar en tanto se conforma el Banco Nacional de Oferentes;</w:t>
      </w:r>
    </w:p>
    <w:p w14:paraId="00000016" w14:textId="7777777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00000017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8" w14:textId="5604F4B5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Modificar el numeral 4.3 Régimen de Transición en lo que refiere al Régimen de Aporte, así: </w:t>
      </w:r>
    </w:p>
    <w:p w14:paraId="00000019" w14:textId="7777777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 xml:space="preserve">“Régimen de Aporte </w:t>
      </w:r>
    </w:p>
    <w:p w14:paraId="0000001A" w14:textId="7777777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lastRenderedPageBreak/>
        <w:t>En caso de requerirse la contratación de la prestación del servicio público de bienestar familiar, antes de la conformación del Banco Nacional de Oferentes, se procederá a contratar directamente con una entidad que cumpla con los requisitos mínimos establecidos en los lineamientos técnicos e instructivos vigentes para cada tipo y modalidad de servicio o los previstos en la última Convocatoria Pública adelantada en la vigencia 2014, según corresponda, siempre y cuando se justifique la necesidad y esta sea ap</w:t>
      </w:r>
      <w:r>
        <w:rPr>
          <w:rFonts w:ascii="Verdana" w:eastAsia="Verdana" w:hAnsi="Verdana" w:cs="Verdana"/>
          <w:i/>
          <w:iCs/>
        </w:rPr>
        <w:t xml:space="preserve">robada por el Subdirector (a) General. </w:t>
      </w:r>
    </w:p>
    <w:p w14:paraId="0000001B" w14:textId="77777777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Así las cosas, el Director (a) Regional remitirá un documento en el que se señale: (i) la modalidad a contratar; (ii) el operador del servicio, junto con el análisis de idoneidad, (iii) el valor del contrato, (iv) los cupos a atender, (v) el municipio de ejecución, y (vi) el plazo. Dicha información deberá ser allegada a la Dirección Misional competente, quien se pronunciará sobre la viabilidad técnica, de ser esta favorable, se remitirá a la Subdirección General, quien establecerá la procedencia de la cont</w:t>
      </w:r>
      <w:r>
        <w:rPr>
          <w:rFonts w:ascii="Verdana" w:eastAsia="Verdana" w:hAnsi="Verdana" w:cs="Verdana"/>
          <w:i/>
          <w:iCs/>
        </w:rPr>
        <w:t>ratación”.</w:t>
      </w:r>
    </w:p>
    <w:p w14:paraId="0000001C" w14:textId="286A533D" w:rsidR="005167DC" w:rsidRDefault="00773EA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Las demás disposiciones de la Resolución número </w:t>
      </w:r>
      <w:r w:rsidR="005167DC">
        <w:rPr>
          <w:rFonts w:ascii="Verdana" w:eastAsia="Verdana" w:hAnsi="Verdana" w:cs="Verdana"/>
        </w:rPr>
        <w:t>1100</w:t>
      </w:r>
      <w:r>
        <w:rPr>
          <w:rFonts w:ascii="Verdana" w:eastAsia="Verdana" w:hAnsi="Verdana" w:cs="Verdana"/>
        </w:rPr>
        <w:t xml:space="preserve"> del 10 de marzo de 2015, que no fueron modificadas por el presente acto administrativo continúan vigentes. </w:t>
      </w:r>
    </w:p>
    <w:p w14:paraId="0000001D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PUBLÍQUESE Y CÚMPLASE</w:t>
      </w:r>
    </w:p>
    <w:p w14:paraId="0000001E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19 días  de marzo de 2015.</w:t>
      </w:r>
    </w:p>
    <w:p w14:paraId="0000001F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CRISTINA PLAZAS MICHELSEN.</w:t>
      </w:r>
    </w:p>
    <w:p w14:paraId="00000020" w14:textId="77777777" w:rsidR="005167DC" w:rsidRDefault="00773EA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DIRECTORA GENERAL</w:t>
      </w:r>
    </w:p>
    <w:sectPr w:rsidR="005167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BF8A296-FFC0-4370-8A21-8D09D3CBEBA9}"/>
    <w:embedBold r:id="rId2" w:fontKey="{49165364-978D-4D64-B9BE-DFDA2A58E504}"/>
    <w:embedItalic r:id="rId3" w:fontKey="{F24598EA-712A-40F8-9412-AEBAABCB560E}"/>
    <w:embedBoldItalic r:id="rId4" w:fontKey="{7C1896C1-40DE-4A79-B1EF-6B12086215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3970A4-073F-4595-B510-AFEF74A90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11330F-2688-47E8-B2FC-B5974324B3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7DC"/>
    <w:rsid w:val="005167DC"/>
    <w:rsid w:val="00665FDA"/>
    <w:rsid w:val="00674540"/>
    <w:rsid w:val="00773EA3"/>
    <w:rsid w:val="00A8453C"/>
    <w:rsid w:val="00B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337143-144D-4B5B-B65C-694BDE4F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77A2E1-B897-495A-A3FC-877B91468365}"/>
</file>

<file path=customXml/itemProps2.xml><?xml version="1.0" encoding="utf-8"?>
<ds:datastoreItem xmlns:ds="http://schemas.openxmlformats.org/officeDocument/2006/customXml" ds:itemID="{54ED658D-C87D-4A2E-A53B-04E10926CE07}"/>
</file>

<file path=customXml/itemProps3.xml><?xml version="1.0" encoding="utf-8"?>
<ds:datastoreItem xmlns:ds="http://schemas.openxmlformats.org/officeDocument/2006/customXml" ds:itemID="{AD7EB024-AA8D-4766-A5F9-994866FCE0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2026-02-10T16:33:00Z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