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0BFCC" w14:textId="7DE14996" w:rsidR="000B4793" w:rsidRDefault="00AD6F7C" w:rsidP="00AD6F7C">
      <w:pPr>
        <w:jc w:val="center"/>
        <w:rPr>
          <w:rFonts w:ascii="Verdana" w:hAnsi="Verdana"/>
          <w:b/>
          <w:bCs/>
        </w:rPr>
      </w:pPr>
      <w:r w:rsidRPr="00AD6F7C">
        <w:rPr>
          <w:rFonts w:ascii="Verdana" w:hAnsi="Verdana"/>
          <w:b/>
          <w:bCs/>
        </w:rPr>
        <w:t>RESOLUCION 12595 DE 2017</w:t>
      </w:r>
    </w:p>
    <w:p w14:paraId="63E1C895" w14:textId="6B6D35E1" w:rsidR="00AD6F7C" w:rsidRPr="00AD6F7C" w:rsidRDefault="00AD6F7C" w:rsidP="00AD6F7C">
      <w:pPr>
        <w:rPr>
          <w:rFonts w:ascii="Verdana" w:hAnsi="Verdana"/>
          <w:sz w:val="20"/>
          <w:szCs w:val="20"/>
        </w:rPr>
      </w:pPr>
      <w:r w:rsidRPr="00AD6F7C">
        <w:rPr>
          <w:rFonts w:ascii="Verdana" w:hAnsi="Verdana"/>
          <w:sz w:val="20"/>
          <w:szCs w:val="20"/>
        </w:rPr>
        <w:t>Fecha de Expedición: 30 de noviembre de 201</w:t>
      </w:r>
      <w:r>
        <w:rPr>
          <w:rFonts w:ascii="Verdana" w:hAnsi="Verdana"/>
          <w:sz w:val="20"/>
          <w:szCs w:val="20"/>
        </w:rPr>
        <w:t>7</w:t>
      </w:r>
    </w:p>
    <w:p w14:paraId="67D8F13D" w14:textId="157F9395" w:rsidR="00AD6F7C" w:rsidRPr="00AD6F7C" w:rsidRDefault="00AD6F7C" w:rsidP="00AD6F7C">
      <w:pPr>
        <w:rPr>
          <w:rFonts w:ascii="Verdana" w:hAnsi="Verdana"/>
          <w:sz w:val="20"/>
          <w:szCs w:val="20"/>
        </w:rPr>
      </w:pPr>
      <w:r w:rsidRPr="00AD6F7C">
        <w:rPr>
          <w:rFonts w:ascii="Verdana" w:hAnsi="Verdana"/>
          <w:sz w:val="20"/>
          <w:szCs w:val="20"/>
        </w:rPr>
        <w:t>Fecha de entrada en vigencia: 30 de noviembre de 201</w:t>
      </w:r>
      <w:r>
        <w:rPr>
          <w:rFonts w:ascii="Verdana" w:hAnsi="Verdana"/>
          <w:sz w:val="20"/>
          <w:szCs w:val="20"/>
        </w:rPr>
        <w:t>7</w:t>
      </w:r>
    </w:p>
    <w:p w14:paraId="08ABADB2" w14:textId="77777777" w:rsidR="00AD6F7C" w:rsidRPr="00AD6F7C" w:rsidRDefault="00AD6F7C" w:rsidP="00AD6F7C">
      <w:pPr>
        <w:rPr>
          <w:rFonts w:ascii="Verdana" w:hAnsi="Verdana"/>
          <w:sz w:val="20"/>
          <w:szCs w:val="20"/>
        </w:rPr>
      </w:pPr>
      <w:r w:rsidRPr="00AD6F7C">
        <w:rPr>
          <w:rFonts w:ascii="Verdana" w:hAnsi="Verdana"/>
          <w:sz w:val="20"/>
          <w:szCs w:val="20"/>
        </w:rPr>
        <w:t xml:space="preserve">Estado de la vigencia: vigente </w:t>
      </w:r>
    </w:p>
    <w:p w14:paraId="3D3334CB" w14:textId="77777777" w:rsidR="00AD6F7C" w:rsidRPr="00AD6F7C" w:rsidRDefault="00AD6F7C" w:rsidP="00AD6F7C">
      <w:pPr>
        <w:rPr>
          <w:rFonts w:ascii="Verdana" w:hAnsi="Verdana"/>
          <w:sz w:val="20"/>
          <w:szCs w:val="20"/>
        </w:rPr>
      </w:pPr>
      <w:r w:rsidRPr="00AD6F7C">
        <w:rPr>
          <w:rFonts w:ascii="Verdana" w:hAnsi="Verdana"/>
          <w:sz w:val="20"/>
          <w:szCs w:val="20"/>
        </w:rPr>
        <w:t> </w:t>
      </w:r>
    </w:p>
    <w:p w14:paraId="707D3340" w14:textId="77777777" w:rsidR="00AD6F7C" w:rsidRPr="00AD6F7C" w:rsidRDefault="00AD6F7C" w:rsidP="00AD6F7C">
      <w:pPr>
        <w:rPr>
          <w:rFonts w:ascii="Verdana" w:hAnsi="Verdana"/>
          <w:sz w:val="20"/>
          <w:szCs w:val="20"/>
        </w:rPr>
      </w:pPr>
      <w:r w:rsidRPr="00AD6F7C">
        <w:rPr>
          <w:rFonts w:ascii="Verdana" w:hAnsi="Verdana"/>
          <w:sz w:val="20"/>
          <w:szCs w:val="20"/>
        </w:rPr>
        <w:t>Fecha de publicación en Diario Oficial: N/A</w:t>
      </w:r>
    </w:p>
    <w:p w14:paraId="0E24007C" w14:textId="28E307D6" w:rsidR="00AD6F7C" w:rsidRDefault="00AD6F7C" w:rsidP="00AD6F7C">
      <w:pPr>
        <w:rPr>
          <w:rFonts w:ascii="Verdana" w:hAnsi="Verdana"/>
          <w:sz w:val="20"/>
          <w:szCs w:val="20"/>
        </w:rPr>
      </w:pPr>
      <w:r w:rsidRPr="00AD6F7C">
        <w:rPr>
          <w:rFonts w:ascii="Verdana" w:hAnsi="Verdana"/>
          <w:sz w:val="20"/>
          <w:szCs w:val="20"/>
        </w:rPr>
        <w:t>Número del Diario Oficial: N/A</w:t>
      </w:r>
    </w:p>
    <w:p w14:paraId="399C9D44" w14:textId="456E6828" w:rsidR="00AD6F7C" w:rsidRPr="00AD6F7C" w:rsidRDefault="00AD6F7C" w:rsidP="00AD6F7C">
      <w:pPr>
        <w:jc w:val="center"/>
        <w:rPr>
          <w:rFonts w:ascii="Verdana" w:hAnsi="Verdana"/>
          <w:b/>
          <w:bCs/>
        </w:rPr>
      </w:pPr>
      <w:r w:rsidRPr="00AD6F7C">
        <w:rPr>
          <w:rFonts w:ascii="Verdana" w:hAnsi="Verdana"/>
          <w:b/>
          <w:bCs/>
        </w:rPr>
        <w:t>RESOLUCION 12595 DE 2017</w:t>
      </w:r>
    </w:p>
    <w:p w14:paraId="5516677D" w14:textId="46E09C75" w:rsidR="00AD6F7C" w:rsidRPr="00AD6F7C" w:rsidRDefault="00AD6F7C" w:rsidP="00AD6F7C">
      <w:pPr>
        <w:jc w:val="center"/>
        <w:rPr>
          <w:rFonts w:ascii="Verdana" w:hAnsi="Verdana"/>
        </w:rPr>
      </w:pPr>
      <w:r w:rsidRPr="00AD6F7C">
        <w:rPr>
          <w:rFonts w:ascii="Verdana" w:hAnsi="Verdana"/>
        </w:rPr>
        <w:t>(</w:t>
      </w:r>
      <w:r>
        <w:rPr>
          <w:rFonts w:ascii="Verdana" w:hAnsi="Verdana"/>
        </w:rPr>
        <w:t xml:space="preserve">30 de </w:t>
      </w:r>
      <w:r w:rsidRPr="00AD6F7C">
        <w:rPr>
          <w:rFonts w:ascii="Verdana" w:hAnsi="Verdana"/>
        </w:rPr>
        <w:t>noviembre)</w:t>
      </w:r>
    </w:p>
    <w:p w14:paraId="597D0FD5" w14:textId="31DF15C3" w:rsidR="00AD6F7C" w:rsidRPr="00AD6F7C" w:rsidRDefault="00AD6F7C" w:rsidP="00AD6F7C">
      <w:pPr>
        <w:jc w:val="center"/>
        <w:rPr>
          <w:rFonts w:ascii="Verdana" w:hAnsi="Verdana"/>
          <w:b/>
          <w:bCs/>
        </w:rPr>
      </w:pPr>
      <w:r w:rsidRPr="00AD6F7C">
        <w:rPr>
          <w:rFonts w:ascii="Verdana" w:hAnsi="Verdana"/>
          <w:b/>
          <w:bCs/>
        </w:rPr>
        <w:t>INSTITUTO COLOMBIANO DE BIENESTAR FAMILIAR</w:t>
      </w:r>
    </w:p>
    <w:p w14:paraId="68B5042F" w14:textId="5652AAD6" w:rsidR="00AD6F7C" w:rsidRPr="00AD6F7C" w:rsidRDefault="00AD6F7C" w:rsidP="00AD6F7C">
      <w:pPr>
        <w:jc w:val="center"/>
        <w:rPr>
          <w:rFonts w:ascii="Verdana" w:hAnsi="Verdana"/>
        </w:rPr>
      </w:pPr>
      <w:r w:rsidRPr="00AD6F7C">
        <w:rPr>
          <w:rFonts w:ascii="Verdana" w:hAnsi="Verdana"/>
        </w:rPr>
        <w:t>"Por la cual se efectúa una desagregación y asignación en el Presupuesto de Funcionamiento del Instituto Colombiano de Bienestar Familiar Cecilia De La fuente De Lleras para la Vigencia Fiscal del año 2017”</w:t>
      </w:r>
    </w:p>
    <w:p w14:paraId="4012E41B" w14:textId="3C70BB25" w:rsidR="00AD6F7C" w:rsidRPr="00AD6F7C" w:rsidRDefault="00AD6F7C" w:rsidP="00AD6F7C">
      <w:pPr>
        <w:jc w:val="center"/>
        <w:rPr>
          <w:rFonts w:ascii="Verdana" w:hAnsi="Verdana"/>
          <w:b/>
          <w:bCs/>
        </w:rPr>
      </w:pPr>
      <w:r w:rsidRPr="00AD6F7C">
        <w:rPr>
          <w:rFonts w:ascii="Verdana" w:hAnsi="Verdana"/>
          <w:b/>
          <w:bCs/>
        </w:rPr>
        <w:t>LA DIRECTORA GENERAL DEL INSTITUTO COLOMBIANO DE BIENESTAR FAMILIAR CECILIA DE LA FUENTE DE LLERAS</w:t>
      </w:r>
    </w:p>
    <w:p w14:paraId="4D75FDBD" w14:textId="4BC84764" w:rsidR="00AD6F7C" w:rsidRPr="00AD6F7C" w:rsidRDefault="00AD6F7C" w:rsidP="00AD6F7C">
      <w:pPr>
        <w:jc w:val="center"/>
        <w:rPr>
          <w:rFonts w:ascii="Verdana" w:hAnsi="Verdana"/>
        </w:rPr>
      </w:pPr>
      <w:r w:rsidRPr="00AD6F7C">
        <w:rPr>
          <w:rFonts w:ascii="Verdana" w:hAnsi="Verdana"/>
        </w:rPr>
        <w:t>En uso de sus facultades legales y estatutarias y en especial las conferidas en el artículo 78 de la Ley 489 de 1998 y</w:t>
      </w:r>
    </w:p>
    <w:p w14:paraId="28B0692C" w14:textId="5D67B612" w:rsidR="00AD6F7C" w:rsidRDefault="00AD6F7C" w:rsidP="00AD6F7C">
      <w:pPr>
        <w:jc w:val="center"/>
        <w:rPr>
          <w:rFonts w:ascii="Verdana" w:hAnsi="Verdana"/>
          <w:b/>
          <w:bCs/>
        </w:rPr>
      </w:pPr>
      <w:r w:rsidRPr="00AD6F7C">
        <w:rPr>
          <w:rFonts w:ascii="Verdana" w:hAnsi="Verdana"/>
          <w:b/>
          <w:bCs/>
        </w:rPr>
        <w:t>CONSIDERANDO:</w:t>
      </w:r>
    </w:p>
    <w:p w14:paraId="4D8F068D" w14:textId="2821423C" w:rsidR="00AD6F7C" w:rsidRPr="00AD6F7C" w:rsidRDefault="00AD6F7C" w:rsidP="00AD6F7C">
      <w:pPr>
        <w:jc w:val="both"/>
        <w:rPr>
          <w:rFonts w:ascii="Verdana" w:hAnsi="Verdana"/>
        </w:rPr>
      </w:pPr>
      <w:r w:rsidRPr="00AD6F7C">
        <w:rPr>
          <w:rFonts w:ascii="Verdana" w:hAnsi="Verdana"/>
        </w:rPr>
        <w:t>Que el Congreso de Colombia, mediante Ley 1815 del 07 de diciembre de 2016 decretó el Presupuesto de Rentas y Recursos de Capital y la Ley de Apropiaciones para la Vigencia Fiscal del 1 de enero al 31 de diciembre de 2017.</w:t>
      </w:r>
    </w:p>
    <w:p w14:paraId="78CD77B2" w14:textId="1EF6D0F7" w:rsidR="00AD6F7C" w:rsidRPr="00AD6F7C" w:rsidRDefault="00AD6F7C" w:rsidP="00AD6F7C">
      <w:pPr>
        <w:jc w:val="both"/>
        <w:rPr>
          <w:rFonts w:ascii="Verdana" w:hAnsi="Verdana"/>
        </w:rPr>
      </w:pPr>
      <w:r w:rsidRPr="00AD6F7C">
        <w:rPr>
          <w:rFonts w:ascii="Verdana" w:hAnsi="Verdana"/>
        </w:rPr>
        <w:t>Que mediante Decreto No. 2170 del 27 de diciembre de 2016, por el cual se liquida el Presupuesto General de la Nación para la Vigencia Fiscal de 2017, se detallan las Apropiaciones y se clasifican y definen los Gastos, incluye el Presupuesto para el Instituto Colombiano de Bienestar Familiar para la Vigencia Fiscal 2017.</w:t>
      </w:r>
    </w:p>
    <w:p w14:paraId="2F61377F" w14:textId="7DBB4D0C" w:rsidR="00AD6F7C" w:rsidRPr="00AD6F7C" w:rsidRDefault="00AD6F7C" w:rsidP="00AD6F7C">
      <w:pPr>
        <w:jc w:val="both"/>
        <w:rPr>
          <w:rFonts w:ascii="Verdana" w:hAnsi="Verdana"/>
        </w:rPr>
      </w:pPr>
      <w:r w:rsidRPr="00AD6F7C">
        <w:rPr>
          <w:rFonts w:ascii="Verdana" w:hAnsi="Verdana"/>
        </w:rPr>
        <w:t>Que el Instituto Colombiano de Bienestar Familiar, mediante Resolución No. 13445 del 29 de diciembre de 2016, distribuyó y asignó su Presupuesto de Gastos a Nivel Nacional, Sede de la Dirección General y Regionales, para la Vigencia Fiscal de año 2017.</w:t>
      </w:r>
    </w:p>
    <w:p w14:paraId="2E6AAA8D" w14:textId="1587C3D7" w:rsidR="00AD6F7C" w:rsidRPr="00AD6F7C" w:rsidRDefault="00AD6F7C" w:rsidP="00AD6F7C">
      <w:pPr>
        <w:jc w:val="both"/>
        <w:rPr>
          <w:rFonts w:ascii="Verdana" w:hAnsi="Verdana"/>
        </w:rPr>
      </w:pPr>
      <w:r w:rsidRPr="00AD6F7C">
        <w:rPr>
          <w:rFonts w:ascii="Verdana" w:hAnsi="Verdana"/>
        </w:rPr>
        <w:t>Que mediante Acuerdo No. 005 del 27 de octubre de 2017, el Consejo Directivo del ICBF autorizó el traslado presupuestal de la cuenta A-2-0-4 Adquisición de Bienes y Servicios, a la cuenta A-2- 0-3 Impuestos y Multas por valor de CIENTO OCHENTA Y NUEVE MILLONES DOSCIENTOS ONCE MIL PESOS ($189.211.000,00) M/CTE con recurso 27 - Rentas Parafiscales.</w:t>
      </w:r>
    </w:p>
    <w:p w14:paraId="0849E7BB" w14:textId="1470D9F6" w:rsidR="00AD6F7C" w:rsidRPr="00AD6F7C" w:rsidRDefault="00AD6F7C" w:rsidP="00AD6F7C">
      <w:pPr>
        <w:jc w:val="both"/>
        <w:rPr>
          <w:rFonts w:ascii="Verdana" w:hAnsi="Verdana"/>
        </w:rPr>
      </w:pPr>
      <w:r w:rsidRPr="00AD6F7C">
        <w:rPr>
          <w:rFonts w:ascii="Verdana" w:hAnsi="Verdana"/>
        </w:rPr>
        <w:lastRenderedPageBreak/>
        <w:t xml:space="preserve">Que a través de oficio con radicado 2-2017-039934 con fecha 23 de noviembre de 2017, el </w:t>
      </w:r>
      <w:proofErr w:type="gramStart"/>
      <w:r w:rsidRPr="00AD6F7C">
        <w:rPr>
          <w:rFonts w:ascii="Verdana" w:hAnsi="Verdana"/>
        </w:rPr>
        <w:t>Director General</w:t>
      </w:r>
      <w:proofErr w:type="gramEnd"/>
      <w:r w:rsidRPr="00AD6F7C">
        <w:rPr>
          <w:rFonts w:ascii="Verdana" w:hAnsi="Verdana"/>
        </w:rPr>
        <w:t xml:space="preserve"> del Presupuesto Público Nacional aprobó la operación presupuestal contenida en el Acuerdo No. 005 del 27 de octubre de 2017.</w:t>
      </w:r>
    </w:p>
    <w:p w14:paraId="6EF4E18E" w14:textId="48667773" w:rsidR="00AD6F7C" w:rsidRPr="00AD6F7C" w:rsidRDefault="00AD6F7C" w:rsidP="00AD6F7C">
      <w:pPr>
        <w:jc w:val="both"/>
        <w:rPr>
          <w:rFonts w:ascii="Verdana" w:hAnsi="Verdana"/>
        </w:rPr>
      </w:pPr>
      <w:r w:rsidRPr="00AD6F7C">
        <w:rPr>
          <w:rFonts w:ascii="Verdana" w:hAnsi="Verdana"/>
        </w:rPr>
        <w:t xml:space="preserve">Que la </w:t>
      </w:r>
      <w:proofErr w:type="gramStart"/>
      <w:r w:rsidRPr="00AD6F7C">
        <w:rPr>
          <w:rFonts w:ascii="Verdana" w:hAnsi="Verdana"/>
        </w:rPr>
        <w:t>Directora</w:t>
      </w:r>
      <w:proofErr w:type="gramEnd"/>
      <w:r w:rsidRPr="00AD6F7C">
        <w:rPr>
          <w:rFonts w:ascii="Verdana" w:hAnsi="Verdana"/>
        </w:rPr>
        <w:t xml:space="preserve"> Administrativa (E) mediante memorando No. 1-2017-125145-0101 del 24 de noviembre de 2017, solicita la desagregación de la suma de CIENTO OCHENTA Y NUEVE MILLONES DOSCIENTOS ONCE MIL PESOS ($189.211.000,00) M/CTE con recurso 27 - Rentas Parafiscales, que se encuentra en la cuenta A-2-0-3 Impuestos y Multas.</w:t>
      </w:r>
    </w:p>
    <w:p w14:paraId="533D1A21" w14:textId="1E0162C0" w:rsidR="00AD6F7C" w:rsidRPr="00AD6F7C" w:rsidRDefault="00AD6F7C" w:rsidP="00AD6F7C">
      <w:pPr>
        <w:jc w:val="both"/>
        <w:rPr>
          <w:rFonts w:ascii="Verdana" w:hAnsi="Verdana"/>
        </w:rPr>
      </w:pPr>
      <w:proofErr w:type="gramStart"/>
      <w:r w:rsidRPr="00AD6F7C">
        <w:rPr>
          <w:rFonts w:ascii="Verdana" w:hAnsi="Verdana"/>
        </w:rPr>
        <w:t>Que</w:t>
      </w:r>
      <w:proofErr w:type="gramEnd"/>
      <w:r w:rsidRPr="00AD6F7C">
        <w:rPr>
          <w:rFonts w:ascii="Verdana" w:hAnsi="Verdana"/>
        </w:rPr>
        <w:t xml:space="preserve"> en mérito de lo expuesto,</w:t>
      </w:r>
    </w:p>
    <w:p w14:paraId="759135EA" w14:textId="36362FC6" w:rsidR="00AD6F7C" w:rsidRPr="00AD6F7C" w:rsidRDefault="00AD6F7C" w:rsidP="00AD6F7C">
      <w:pPr>
        <w:jc w:val="center"/>
        <w:rPr>
          <w:rFonts w:ascii="Verdana" w:hAnsi="Verdana"/>
          <w:b/>
          <w:bCs/>
        </w:rPr>
      </w:pPr>
      <w:r w:rsidRPr="00AD6F7C">
        <w:rPr>
          <w:rFonts w:ascii="Verdana" w:hAnsi="Verdana"/>
          <w:b/>
          <w:bCs/>
        </w:rPr>
        <w:t>RESUELVE:</w:t>
      </w:r>
    </w:p>
    <w:p w14:paraId="6EC0BC35" w14:textId="1DA248FD" w:rsidR="00AD6F7C" w:rsidRPr="00AD6F7C" w:rsidRDefault="00AD6F7C" w:rsidP="00AD6F7C">
      <w:pPr>
        <w:jc w:val="both"/>
        <w:rPr>
          <w:rFonts w:ascii="Verdana" w:hAnsi="Verdana"/>
        </w:rPr>
      </w:pPr>
      <w:r w:rsidRPr="00AD6F7C">
        <w:rPr>
          <w:rFonts w:ascii="Verdana" w:hAnsi="Verdana"/>
          <w:b/>
          <w:bCs/>
        </w:rPr>
        <w:t>ARTÍCULO 1o.</w:t>
      </w:r>
      <w:r w:rsidRPr="00AD6F7C">
        <w:rPr>
          <w:rFonts w:ascii="Verdana" w:hAnsi="Verdana"/>
        </w:rPr>
        <w:t xml:space="preserve"> Desagregar y asignar como Presupuesto de Gastos de Funcionamiento para la vigencia 2017 la suma de CIENTO OCHENTA Y NUEVE MILLONES DOSCIENTOS ONCE MIL PESOS ($189.211.000,00) M/CTE con recurso 27 - Rentas Parafiscales, de conformidad con el siguiente detalle:</w:t>
      </w:r>
    </w:p>
    <w:tbl>
      <w:tblPr>
        <w:tblStyle w:val="Tablaconcuadrcula"/>
        <w:tblW w:w="6948" w:type="pct"/>
        <w:tblLook w:val="04A0" w:firstRow="1" w:lastRow="0" w:firstColumn="1" w:lastColumn="0" w:noHBand="0" w:noVBand="1"/>
      </w:tblPr>
      <w:tblGrid>
        <w:gridCol w:w="1849"/>
        <w:gridCol w:w="817"/>
        <w:gridCol w:w="812"/>
        <w:gridCol w:w="1281"/>
        <w:gridCol w:w="2105"/>
        <w:gridCol w:w="442"/>
        <w:gridCol w:w="1295"/>
        <w:gridCol w:w="1833"/>
        <w:gridCol w:w="1833"/>
      </w:tblGrid>
      <w:tr w:rsidR="00AD6F7C" w:rsidRPr="00765E55" w14:paraId="10DEAD30" w14:textId="77777777" w:rsidTr="00AD6F7C">
        <w:tc>
          <w:tcPr>
            <w:tcW w:w="754" w:type="pct"/>
            <w:hideMark/>
          </w:tcPr>
          <w:p w14:paraId="6F0B14F7"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CTA</w:t>
            </w:r>
          </w:p>
        </w:tc>
        <w:tc>
          <w:tcPr>
            <w:tcW w:w="333" w:type="pct"/>
            <w:hideMark/>
          </w:tcPr>
          <w:p w14:paraId="17302F95"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SUBC</w:t>
            </w:r>
          </w:p>
        </w:tc>
        <w:tc>
          <w:tcPr>
            <w:tcW w:w="331" w:type="pct"/>
            <w:hideMark/>
          </w:tcPr>
          <w:p w14:paraId="2E9E37AE"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OBJG</w:t>
            </w:r>
          </w:p>
        </w:tc>
        <w:tc>
          <w:tcPr>
            <w:tcW w:w="522" w:type="pct"/>
            <w:hideMark/>
          </w:tcPr>
          <w:p w14:paraId="06CACBCE"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ORD</w:t>
            </w:r>
          </w:p>
        </w:tc>
        <w:tc>
          <w:tcPr>
            <w:tcW w:w="858" w:type="pct"/>
            <w:hideMark/>
          </w:tcPr>
          <w:p w14:paraId="2CF95D27"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REC</w:t>
            </w:r>
          </w:p>
        </w:tc>
        <w:tc>
          <w:tcPr>
            <w:tcW w:w="708" w:type="pct"/>
            <w:gridSpan w:val="2"/>
            <w:hideMark/>
          </w:tcPr>
          <w:p w14:paraId="7577674C"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747" w:type="pct"/>
            <w:hideMark/>
          </w:tcPr>
          <w:p w14:paraId="00C2CF6A"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CONCEPTO</w:t>
            </w:r>
          </w:p>
        </w:tc>
        <w:tc>
          <w:tcPr>
            <w:tcW w:w="747" w:type="pct"/>
            <w:hideMark/>
          </w:tcPr>
          <w:p w14:paraId="4C9BD246"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CRÉDITOS</w:t>
            </w:r>
          </w:p>
        </w:tc>
      </w:tr>
      <w:tr w:rsidR="00AD6F7C" w:rsidRPr="00765E55" w14:paraId="30732D3B" w14:textId="77777777" w:rsidTr="00AD6F7C">
        <w:tc>
          <w:tcPr>
            <w:tcW w:w="1087" w:type="pct"/>
            <w:gridSpan w:val="2"/>
            <w:hideMark/>
          </w:tcPr>
          <w:p w14:paraId="49A6BCA4"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853" w:type="pct"/>
            <w:gridSpan w:val="2"/>
            <w:hideMark/>
          </w:tcPr>
          <w:p w14:paraId="1C9FADE1"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858" w:type="pct"/>
            <w:hideMark/>
          </w:tcPr>
          <w:p w14:paraId="34DE6376"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A FUNCIONAMIENTO</w:t>
            </w:r>
          </w:p>
        </w:tc>
        <w:tc>
          <w:tcPr>
            <w:tcW w:w="1455" w:type="pct"/>
            <w:gridSpan w:val="3"/>
            <w:hideMark/>
          </w:tcPr>
          <w:p w14:paraId="529A6DB9"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$ 189.211.000,00</w:t>
            </w:r>
          </w:p>
        </w:tc>
        <w:tc>
          <w:tcPr>
            <w:tcW w:w="0" w:type="auto"/>
            <w:hideMark/>
          </w:tcPr>
          <w:p w14:paraId="09703378" w14:textId="77777777" w:rsidR="00AD6F7C" w:rsidRPr="00765E55" w:rsidRDefault="00AD6F7C" w:rsidP="00AD6F7C">
            <w:pPr>
              <w:spacing w:after="160" w:line="259" w:lineRule="auto"/>
              <w:rPr>
                <w:rFonts w:ascii="Verdana" w:hAnsi="Verdana"/>
                <w:sz w:val="18"/>
                <w:szCs w:val="18"/>
              </w:rPr>
            </w:pPr>
          </w:p>
        </w:tc>
      </w:tr>
      <w:tr w:rsidR="00AD6F7C" w:rsidRPr="00765E55" w14:paraId="32D975F5" w14:textId="77777777" w:rsidTr="00AD6F7C">
        <w:tc>
          <w:tcPr>
            <w:tcW w:w="754" w:type="pct"/>
            <w:hideMark/>
          </w:tcPr>
          <w:p w14:paraId="4D9AF179"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w:t>
            </w:r>
          </w:p>
        </w:tc>
        <w:tc>
          <w:tcPr>
            <w:tcW w:w="664" w:type="pct"/>
            <w:gridSpan w:val="2"/>
            <w:hideMark/>
          </w:tcPr>
          <w:p w14:paraId="4C2E7BE8"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1380" w:type="pct"/>
            <w:gridSpan w:val="2"/>
            <w:hideMark/>
          </w:tcPr>
          <w:p w14:paraId="2E546207"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708" w:type="pct"/>
            <w:gridSpan w:val="2"/>
            <w:hideMark/>
          </w:tcPr>
          <w:p w14:paraId="76416BD9"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GASTOS GENERALES</w:t>
            </w:r>
          </w:p>
        </w:tc>
        <w:tc>
          <w:tcPr>
            <w:tcW w:w="747" w:type="pct"/>
            <w:hideMark/>
          </w:tcPr>
          <w:p w14:paraId="46D364B5"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$ 189.211.000,00</w:t>
            </w:r>
          </w:p>
        </w:tc>
        <w:tc>
          <w:tcPr>
            <w:tcW w:w="0" w:type="auto"/>
            <w:hideMark/>
          </w:tcPr>
          <w:p w14:paraId="36CB5DC7" w14:textId="77777777" w:rsidR="00AD6F7C" w:rsidRPr="00765E55" w:rsidRDefault="00AD6F7C" w:rsidP="00AD6F7C">
            <w:pPr>
              <w:spacing w:after="160" w:line="259" w:lineRule="auto"/>
              <w:rPr>
                <w:rFonts w:ascii="Verdana" w:hAnsi="Verdana"/>
                <w:sz w:val="18"/>
                <w:szCs w:val="18"/>
              </w:rPr>
            </w:pPr>
          </w:p>
        </w:tc>
      </w:tr>
      <w:tr w:rsidR="00AD6F7C" w:rsidRPr="00765E55" w14:paraId="4D105EBB" w14:textId="77777777" w:rsidTr="00AD6F7C">
        <w:tc>
          <w:tcPr>
            <w:tcW w:w="754" w:type="pct"/>
            <w:hideMark/>
          </w:tcPr>
          <w:p w14:paraId="5B8F0999"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w:t>
            </w:r>
          </w:p>
        </w:tc>
        <w:tc>
          <w:tcPr>
            <w:tcW w:w="333" w:type="pct"/>
            <w:hideMark/>
          </w:tcPr>
          <w:p w14:paraId="19702B5E"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w:t>
            </w:r>
          </w:p>
        </w:tc>
        <w:tc>
          <w:tcPr>
            <w:tcW w:w="331" w:type="pct"/>
            <w:hideMark/>
          </w:tcPr>
          <w:p w14:paraId="7F3C877E"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3</w:t>
            </w:r>
          </w:p>
        </w:tc>
        <w:tc>
          <w:tcPr>
            <w:tcW w:w="1380" w:type="pct"/>
            <w:gridSpan w:val="2"/>
            <w:hideMark/>
          </w:tcPr>
          <w:p w14:paraId="5026DE84"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708" w:type="pct"/>
            <w:gridSpan w:val="2"/>
            <w:hideMark/>
          </w:tcPr>
          <w:p w14:paraId="7E333D99"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IMPUESTOS Y MULTAS</w:t>
            </w:r>
          </w:p>
        </w:tc>
        <w:tc>
          <w:tcPr>
            <w:tcW w:w="747" w:type="pct"/>
            <w:hideMark/>
          </w:tcPr>
          <w:p w14:paraId="0ECF1A02"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$ 189.211.000,00</w:t>
            </w:r>
          </w:p>
        </w:tc>
        <w:tc>
          <w:tcPr>
            <w:tcW w:w="0" w:type="auto"/>
            <w:hideMark/>
          </w:tcPr>
          <w:p w14:paraId="3A258948" w14:textId="77777777" w:rsidR="00AD6F7C" w:rsidRPr="00765E55" w:rsidRDefault="00AD6F7C" w:rsidP="00AD6F7C">
            <w:pPr>
              <w:spacing w:after="160" w:line="259" w:lineRule="auto"/>
              <w:rPr>
                <w:rFonts w:ascii="Verdana" w:hAnsi="Verdana"/>
                <w:sz w:val="18"/>
                <w:szCs w:val="18"/>
              </w:rPr>
            </w:pPr>
          </w:p>
        </w:tc>
      </w:tr>
      <w:tr w:rsidR="00AD6F7C" w:rsidRPr="00765E55" w14:paraId="15E3FA7F" w14:textId="77777777" w:rsidTr="00AD6F7C">
        <w:tc>
          <w:tcPr>
            <w:tcW w:w="754" w:type="pct"/>
            <w:hideMark/>
          </w:tcPr>
          <w:p w14:paraId="080F0208"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w:t>
            </w:r>
          </w:p>
        </w:tc>
        <w:tc>
          <w:tcPr>
            <w:tcW w:w="333" w:type="pct"/>
            <w:hideMark/>
          </w:tcPr>
          <w:p w14:paraId="42CD9511"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w:t>
            </w:r>
          </w:p>
        </w:tc>
        <w:tc>
          <w:tcPr>
            <w:tcW w:w="331" w:type="pct"/>
            <w:hideMark/>
          </w:tcPr>
          <w:p w14:paraId="63DC94CD"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3</w:t>
            </w:r>
          </w:p>
        </w:tc>
        <w:tc>
          <w:tcPr>
            <w:tcW w:w="522" w:type="pct"/>
            <w:hideMark/>
          </w:tcPr>
          <w:p w14:paraId="20455E55"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50</w:t>
            </w:r>
          </w:p>
        </w:tc>
        <w:tc>
          <w:tcPr>
            <w:tcW w:w="1038" w:type="pct"/>
            <w:gridSpan w:val="2"/>
            <w:hideMark/>
          </w:tcPr>
          <w:p w14:paraId="20409EE6"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IMPUESTOS Y CONTRIBUCIONES</w:t>
            </w:r>
          </w:p>
        </w:tc>
        <w:tc>
          <w:tcPr>
            <w:tcW w:w="1274" w:type="pct"/>
            <w:gridSpan w:val="2"/>
            <w:hideMark/>
          </w:tcPr>
          <w:p w14:paraId="6A1CA3FC"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$45.901.000,00</w:t>
            </w:r>
          </w:p>
        </w:tc>
        <w:tc>
          <w:tcPr>
            <w:tcW w:w="0" w:type="auto"/>
            <w:hideMark/>
          </w:tcPr>
          <w:p w14:paraId="67CBF0DB" w14:textId="77777777" w:rsidR="00AD6F7C" w:rsidRPr="00765E55" w:rsidRDefault="00AD6F7C" w:rsidP="00AD6F7C">
            <w:pPr>
              <w:spacing w:after="160" w:line="259" w:lineRule="auto"/>
              <w:rPr>
                <w:rFonts w:ascii="Verdana" w:hAnsi="Verdana"/>
                <w:sz w:val="18"/>
                <w:szCs w:val="18"/>
              </w:rPr>
            </w:pPr>
          </w:p>
        </w:tc>
      </w:tr>
      <w:tr w:rsidR="00AD6F7C" w:rsidRPr="00765E55" w14:paraId="79D77EC6" w14:textId="77777777" w:rsidTr="00AD6F7C">
        <w:tc>
          <w:tcPr>
            <w:tcW w:w="754" w:type="pct"/>
            <w:hideMark/>
          </w:tcPr>
          <w:p w14:paraId="660D940E"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w:t>
            </w:r>
          </w:p>
        </w:tc>
        <w:tc>
          <w:tcPr>
            <w:tcW w:w="333" w:type="pct"/>
            <w:hideMark/>
          </w:tcPr>
          <w:p w14:paraId="31F5C696"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w:t>
            </w:r>
          </w:p>
        </w:tc>
        <w:tc>
          <w:tcPr>
            <w:tcW w:w="331" w:type="pct"/>
            <w:hideMark/>
          </w:tcPr>
          <w:p w14:paraId="3CD038BE"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3</w:t>
            </w:r>
          </w:p>
        </w:tc>
        <w:tc>
          <w:tcPr>
            <w:tcW w:w="522" w:type="pct"/>
            <w:hideMark/>
          </w:tcPr>
          <w:p w14:paraId="1B1D991B"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50</w:t>
            </w:r>
          </w:p>
        </w:tc>
        <w:tc>
          <w:tcPr>
            <w:tcW w:w="858" w:type="pct"/>
            <w:hideMark/>
          </w:tcPr>
          <w:p w14:paraId="5987709B"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3</w:t>
            </w:r>
          </w:p>
        </w:tc>
        <w:tc>
          <w:tcPr>
            <w:tcW w:w="708" w:type="pct"/>
            <w:gridSpan w:val="2"/>
            <w:hideMark/>
          </w:tcPr>
          <w:p w14:paraId="3BF7D54F"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IMPUESTO PREDIAL</w:t>
            </w:r>
          </w:p>
        </w:tc>
        <w:tc>
          <w:tcPr>
            <w:tcW w:w="747" w:type="pct"/>
            <w:hideMark/>
          </w:tcPr>
          <w:p w14:paraId="2DBEF9DD"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$45.901.000,00</w:t>
            </w:r>
          </w:p>
        </w:tc>
        <w:tc>
          <w:tcPr>
            <w:tcW w:w="0" w:type="auto"/>
            <w:hideMark/>
          </w:tcPr>
          <w:p w14:paraId="128455AD" w14:textId="77777777" w:rsidR="00AD6F7C" w:rsidRPr="00765E55" w:rsidRDefault="00AD6F7C" w:rsidP="00AD6F7C">
            <w:pPr>
              <w:spacing w:after="160" w:line="259" w:lineRule="auto"/>
              <w:rPr>
                <w:rFonts w:ascii="Verdana" w:hAnsi="Verdana"/>
                <w:sz w:val="18"/>
                <w:szCs w:val="18"/>
              </w:rPr>
            </w:pPr>
          </w:p>
        </w:tc>
      </w:tr>
      <w:tr w:rsidR="00AD6F7C" w:rsidRPr="00765E55" w14:paraId="55F16ED4" w14:textId="77777777" w:rsidTr="00AD6F7C">
        <w:tc>
          <w:tcPr>
            <w:tcW w:w="1087" w:type="pct"/>
            <w:gridSpan w:val="2"/>
            <w:hideMark/>
          </w:tcPr>
          <w:p w14:paraId="5B276338"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853" w:type="pct"/>
            <w:gridSpan w:val="2"/>
            <w:hideMark/>
          </w:tcPr>
          <w:p w14:paraId="11164DC3"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858" w:type="pct"/>
            <w:hideMark/>
          </w:tcPr>
          <w:p w14:paraId="1FB1F354"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27</w:t>
            </w:r>
          </w:p>
        </w:tc>
        <w:tc>
          <w:tcPr>
            <w:tcW w:w="708" w:type="pct"/>
            <w:gridSpan w:val="2"/>
            <w:hideMark/>
          </w:tcPr>
          <w:p w14:paraId="08D0ADEB"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RENTAS PARAFISCALES</w:t>
            </w:r>
          </w:p>
        </w:tc>
        <w:tc>
          <w:tcPr>
            <w:tcW w:w="747" w:type="pct"/>
            <w:hideMark/>
          </w:tcPr>
          <w:p w14:paraId="48ACC006"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$45.901.000,00</w:t>
            </w:r>
          </w:p>
        </w:tc>
        <w:tc>
          <w:tcPr>
            <w:tcW w:w="0" w:type="auto"/>
            <w:hideMark/>
          </w:tcPr>
          <w:p w14:paraId="264F941A" w14:textId="77777777" w:rsidR="00AD6F7C" w:rsidRPr="00765E55" w:rsidRDefault="00AD6F7C" w:rsidP="00AD6F7C">
            <w:pPr>
              <w:spacing w:after="160" w:line="259" w:lineRule="auto"/>
              <w:rPr>
                <w:rFonts w:ascii="Verdana" w:hAnsi="Verdana"/>
                <w:sz w:val="18"/>
                <w:szCs w:val="18"/>
              </w:rPr>
            </w:pPr>
          </w:p>
        </w:tc>
      </w:tr>
      <w:tr w:rsidR="00AD6F7C" w:rsidRPr="00765E55" w14:paraId="6AE04035" w14:textId="77777777" w:rsidTr="00AD6F7C">
        <w:tc>
          <w:tcPr>
            <w:tcW w:w="1087" w:type="pct"/>
            <w:gridSpan w:val="2"/>
            <w:hideMark/>
          </w:tcPr>
          <w:p w14:paraId="2A359C80"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853" w:type="pct"/>
            <w:gridSpan w:val="2"/>
            <w:hideMark/>
          </w:tcPr>
          <w:p w14:paraId="65C19A0A"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01</w:t>
            </w:r>
          </w:p>
        </w:tc>
        <w:tc>
          <w:tcPr>
            <w:tcW w:w="858" w:type="pct"/>
            <w:hideMark/>
          </w:tcPr>
          <w:p w14:paraId="4F3F4CAC"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SEDE NACIONAL</w:t>
            </w:r>
          </w:p>
        </w:tc>
        <w:tc>
          <w:tcPr>
            <w:tcW w:w="1455" w:type="pct"/>
            <w:gridSpan w:val="3"/>
            <w:hideMark/>
          </w:tcPr>
          <w:p w14:paraId="4A6D308F"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$45.901.000,00</w:t>
            </w:r>
          </w:p>
        </w:tc>
        <w:tc>
          <w:tcPr>
            <w:tcW w:w="0" w:type="auto"/>
            <w:hideMark/>
          </w:tcPr>
          <w:p w14:paraId="59ECC221" w14:textId="77777777" w:rsidR="00AD6F7C" w:rsidRPr="00765E55" w:rsidRDefault="00AD6F7C" w:rsidP="00AD6F7C">
            <w:pPr>
              <w:spacing w:after="160" w:line="259" w:lineRule="auto"/>
              <w:rPr>
                <w:rFonts w:ascii="Verdana" w:hAnsi="Verdana"/>
                <w:sz w:val="18"/>
                <w:szCs w:val="18"/>
              </w:rPr>
            </w:pPr>
          </w:p>
        </w:tc>
      </w:tr>
      <w:tr w:rsidR="00AD6F7C" w:rsidRPr="00765E55" w14:paraId="2A92FC13" w14:textId="77777777" w:rsidTr="00AD6F7C">
        <w:tc>
          <w:tcPr>
            <w:tcW w:w="754" w:type="pct"/>
            <w:hideMark/>
          </w:tcPr>
          <w:p w14:paraId="380C1163"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w:t>
            </w:r>
          </w:p>
        </w:tc>
        <w:tc>
          <w:tcPr>
            <w:tcW w:w="333" w:type="pct"/>
            <w:hideMark/>
          </w:tcPr>
          <w:p w14:paraId="4203DE9A"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w:t>
            </w:r>
          </w:p>
        </w:tc>
        <w:tc>
          <w:tcPr>
            <w:tcW w:w="331" w:type="pct"/>
            <w:hideMark/>
          </w:tcPr>
          <w:p w14:paraId="297F9968"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3</w:t>
            </w:r>
          </w:p>
        </w:tc>
        <w:tc>
          <w:tcPr>
            <w:tcW w:w="522" w:type="pct"/>
            <w:hideMark/>
          </w:tcPr>
          <w:p w14:paraId="1F2CEDFF"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51</w:t>
            </w:r>
          </w:p>
        </w:tc>
        <w:tc>
          <w:tcPr>
            <w:tcW w:w="1038" w:type="pct"/>
            <w:gridSpan w:val="2"/>
            <w:hideMark/>
          </w:tcPr>
          <w:p w14:paraId="19B3007E"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1274" w:type="pct"/>
            <w:gridSpan w:val="2"/>
            <w:hideMark/>
          </w:tcPr>
          <w:p w14:paraId="0326A5BD"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MULTAS Y SANCIONES</w:t>
            </w:r>
          </w:p>
        </w:tc>
        <w:tc>
          <w:tcPr>
            <w:tcW w:w="747" w:type="pct"/>
            <w:hideMark/>
          </w:tcPr>
          <w:p w14:paraId="7CB0ED77"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$ 143.310.000,00</w:t>
            </w:r>
          </w:p>
        </w:tc>
      </w:tr>
      <w:tr w:rsidR="00AD6F7C" w:rsidRPr="00765E55" w14:paraId="341E9B56" w14:textId="77777777" w:rsidTr="00AD6F7C">
        <w:tc>
          <w:tcPr>
            <w:tcW w:w="754" w:type="pct"/>
            <w:hideMark/>
          </w:tcPr>
          <w:p w14:paraId="63DD2976"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w:t>
            </w:r>
          </w:p>
        </w:tc>
        <w:tc>
          <w:tcPr>
            <w:tcW w:w="333" w:type="pct"/>
            <w:hideMark/>
          </w:tcPr>
          <w:p w14:paraId="368C756D"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w:t>
            </w:r>
          </w:p>
        </w:tc>
        <w:tc>
          <w:tcPr>
            <w:tcW w:w="331" w:type="pct"/>
            <w:hideMark/>
          </w:tcPr>
          <w:p w14:paraId="45819D1B"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3</w:t>
            </w:r>
          </w:p>
        </w:tc>
        <w:tc>
          <w:tcPr>
            <w:tcW w:w="522" w:type="pct"/>
            <w:hideMark/>
          </w:tcPr>
          <w:p w14:paraId="1874EBBA"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51</w:t>
            </w:r>
          </w:p>
        </w:tc>
        <w:tc>
          <w:tcPr>
            <w:tcW w:w="858" w:type="pct"/>
            <w:hideMark/>
          </w:tcPr>
          <w:p w14:paraId="58840D05" w14:textId="77777777" w:rsidR="00AD6F7C" w:rsidRPr="00765E55" w:rsidRDefault="00AD6F7C" w:rsidP="00AD6F7C">
            <w:pPr>
              <w:spacing w:after="160" w:line="259" w:lineRule="auto"/>
              <w:rPr>
                <w:rFonts w:ascii="Verdana" w:hAnsi="Verdana"/>
                <w:sz w:val="18"/>
                <w:szCs w:val="18"/>
              </w:rPr>
            </w:pPr>
            <w:r w:rsidRPr="00765E55">
              <w:rPr>
                <w:rFonts w:ascii="Verdana" w:hAnsi="Verdana"/>
                <w:b/>
                <w:bCs/>
                <w:sz w:val="18"/>
                <w:szCs w:val="18"/>
              </w:rPr>
              <w:t>2</w:t>
            </w:r>
          </w:p>
        </w:tc>
        <w:tc>
          <w:tcPr>
            <w:tcW w:w="708" w:type="pct"/>
            <w:gridSpan w:val="2"/>
            <w:hideMark/>
          </w:tcPr>
          <w:p w14:paraId="5CF45979"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SANCIONES</w:t>
            </w:r>
          </w:p>
        </w:tc>
        <w:tc>
          <w:tcPr>
            <w:tcW w:w="747" w:type="pct"/>
            <w:hideMark/>
          </w:tcPr>
          <w:p w14:paraId="25195CF0"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$ 143.310.000,00</w:t>
            </w:r>
          </w:p>
        </w:tc>
        <w:tc>
          <w:tcPr>
            <w:tcW w:w="0" w:type="auto"/>
            <w:hideMark/>
          </w:tcPr>
          <w:p w14:paraId="590F1ED4" w14:textId="77777777" w:rsidR="00AD6F7C" w:rsidRPr="00765E55" w:rsidRDefault="00AD6F7C" w:rsidP="00AD6F7C">
            <w:pPr>
              <w:spacing w:after="160" w:line="259" w:lineRule="auto"/>
              <w:rPr>
                <w:rFonts w:ascii="Verdana" w:hAnsi="Verdana"/>
                <w:sz w:val="18"/>
                <w:szCs w:val="18"/>
              </w:rPr>
            </w:pPr>
          </w:p>
        </w:tc>
      </w:tr>
      <w:tr w:rsidR="00AD6F7C" w:rsidRPr="00765E55" w14:paraId="54D81FF8" w14:textId="77777777" w:rsidTr="00AD6F7C">
        <w:tc>
          <w:tcPr>
            <w:tcW w:w="1087" w:type="pct"/>
            <w:gridSpan w:val="2"/>
            <w:hideMark/>
          </w:tcPr>
          <w:p w14:paraId="1539F070"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331" w:type="pct"/>
            <w:hideMark/>
          </w:tcPr>
          <w:p w14:paraId="6AC9A305"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27</w:t>
            </w:r>
          </w:p>
        </w:tc>
        <w:tc>
          <w:tcPr>
            <w:tcW w:w="1380" w:type="pct"/>
            <w:gridSpan w:val="2"/>
            <w:hideMark/>
          </w:tcPr>
          <w:p w14:paraId="547FE8B5"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RENTAS PARAFISCALES</w:t>
            </w:r>
          </w:p>
        </w:tc>
        <w:tc>
          <w:tcPr>
            <w:tcW w:w="1455" w:type="pct"/>
            <w:gridSpan w:val="3"/>
            <w:hideMark/>
          </w:tcPr>
          <w:p w14:paraId="4A0F4530"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$ 143.310.000,00</w:t>
            </w:r>
          </w:p>
        </w:tc>
        <w:tc>
          <w:tcPr>
            <w:tcW w:w="0" w:type="auto"/>
            <w:hideMark/>
          </w:tcPr>
          <w:p w14:paraId="46DE2FAF" w14:textId="77777777" w:rsidR="00AD6F7C" w:rsidRPr="00765E55" w:rsidRDefault="00AD6F7C" w:rsidP="00AD6F7C">
            <w:pPr>
              <w:spacing w:after="160" w:line="259" w:lineRule="auto"/>
              <w:rPr>
                <w:rFonts w:ascii="Verdana" w:hAnsi="Verdana"/>
                <w:sz w:val="18"/>
                <w:szCs w:val="18"/>
              </w:rPr>
            </w:pPr>
          </w:p>
        </w:tc>
      </w:tr>
      <w:tr w:rsidR="00AD6F7C" w:rsidRPr="00765E55" w14:paraId="66AF57BF" w14:textId="77777777" w:rsidTr="00AD6F7C">
        <w:tc>
          <w:tcPr>
            <w:tcW w:w="1087" w:type="pct"/>
            <w:gridSpan w:val="2"/>
            <w:hideMark/>
          </w:tcPr>
          <w:p w14:paraId="024F4D4E"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w:t>
            </w:r>
          </w:p>
        </w:tc>
        <w:tc>
          <w:tcPr>
            <w:tcW w:w="331" w:type="pct"/>
            <w:hideMark/>
          </w:tcPr>
          <w:p w14:paraId="37556581"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01</w:t>
            </w:r>
          </w:p>
        </w:tc>
        <w:tc>
          <w:tcPr>
            <w:tcW w:w="522" w:type="pct"/>
            <w:hideMark/>
          </w:tcPr>
          <w:p w14:paraId="6223DA3C"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SEDE NACIONAL</w:t>
            </w:r>
          </w:p>
        </w:tc>
        <w:tc>
          <w:tcPr>
            <w:tcW w:w="2313" w:type="pct"/>
            <w:gridSpan w:val="4"/>
            <w:hideMark/>
          </w:tcPr>
          <w:p w14:paraId="14780E82"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$ 143.310.000,00</w:t>
            </w:r>
          </w:p>
        </w:tc>
        <w:tc>
          <w:tcPr>
            <w:tcW w:w="0" w:type="auto"/>
            <w:hideMark/>
          </w:tcPr>
          <w:p w14:paraId="5CD15B7B" w14:textId="77777777" w:rsidR="00AD6F7C" w:rsidRPr="00765E55" w:rsidRDefault="00AD6F7C" w:rsidP="00AD6F7C">
            <w:pPr>
              <w:spacing w:after="160" w:line="259" w:lineRule="auto"/>
              <w:rPr>
                <w:rFonts w:ascii="Verdana" w:hAnsi="Verdana"/>
                <w:sz w:val="18"/>
                <w:szCs w:val="18"/>
              </w:rPr>
            </w:pPr>
          </w:p>
        </w:tc>
      </w:tr>
      <w:tr w:rsidR="00AD6F7C" w:rsidRPr="00765E55" w14:paraId="59543334" w14:textId="77777777" w:rsidTr="00AD6F7C">
        <w:tc>
          <w:tcPr>
            <w:tcW w:w="754" w:type="pct"/>
            <w:hideMark/>
          </w:tcPr>
          <w:p w14:paraId="6FC620F6" w14:textId="77777777" w:rsidR="00AD6F7C" w:rsidRPr="00765E55" w:rsidRDefault="00AD6F7C" w:rsidP="00AD6F7C">
            <w:pPr>
              <w:spacing w:after="160" w:line="259" w:lineRule="auto"/>
              <w:rPr>
                <w:rFonts w:ascii="Verdana" w:hAnsi="Verdana"/>
                <w:sz w:val="18"/>
                <w:szCs w:val="18"/>
              </w:rPr>
            </w:pPr>
            <w:proofErr w:type="gramStart"/>
            <w:r w:rsidRPr="00765E55">
              <w:rPr>
                <w:rFonts w:ascii="Verdana" w:hAnsi="Verdana"/>
                <w:b/>
                <w:bCs/>
                <w:sz w:val="18"/>
                <w:szCs w:val="18"/>
              </w:rPr>
              <w:t>TOTAL</w:t>
            </w:r>
            <w:proofErr w:type="gramEnd"/>
            <w:r w:rsidRPr="00765E55">
              <w:rPr>
                <w:rFonts w:ascii="Verdana" w:hAnsi="Verdana"/>
                <w:b/>
                <w:bCs/>
                <w:sz w:val="18"/>
                <w:szCs w:val="18"/>
              </w:rPr>
              <w:t xml:space="preserve"> APROPIACIÓN</w:t>
            </w:r>
          </w:p>
        </w:tc>
        <w:tc>
          <w:tcPr>
            <w:tcW w:w="3499" w:type="pct"/>
            <w:gridSpan w:val="7"/>
            <w:hideMark/>
          </w:tcPr>
          <w:p w14:paraId="1EEB70C2" w14:textId="77777777" w:rsidR="00AD6F7C" w:rsidRPr="00765E55" w:rsidRDefault="00AD6F7C" w:rsidP="00AD6F7C">
            <w:pPr>
              <w:spacing w:after="160" w:line="259" w:lineRule="auto"/>
              <w:rPr>
                <w:rFonts w:ascii="Verdana" w:hAnsi="Verdana"/>
                <w:sz w:val="18"/>
                <w:szCs w:val="18"/>
              </w:rPr>
            </w:pPr>
            <w:r w:rsidRPr="00765E55">
              <w:rPr>
                <w:rFonts w:ascii="Verdana" w:hAnsi="Verdana"/>
                <w:sz w:val="18"/>
                <w:szCs w:val="18"/>
              </w:rPr>
              <w:t>$ 189.211.000,00</w:t>
            </w:r>
          </w:p>
        </w:tc>
        <w:tc>
          <w:tcPr>
            <w:tcW w:w="0" w:type="auto"/>
            <w:hideMark/>
          </w:tcPr>
          <w:p w14:paraId="495191D3" w14:textId="77777777" w:rsidR="00AD6F7C" w:rsidRPr="00765E55" w:rsidRDefault="00AD6F7C" w:rsidP="00AD6F7C">
            <w:pPr>
              <w:spacing w:after="160" w:line="259" w:lineRule="auto"/>
              <w:rPr>
                <w:rFonts w:ascii="Verdana" w:hAnsi="Verdana"/>
                <w:sz w:val="18"/>
                <w:szCs w:val="18"/>
              </w:rPr>
            </w:pPr>
          </w:p>
        </w:tc>
      </w:tr>
    </w:tbl>
    <w:p w14:paraId="4FB69F4C" w14:textId="77777777" w:rsidR="00AD6F7C" w:rsidRDefault="00AD6F7C" w:rsidP="00AD6F7C">
      <w:pPr>
        <w:rPr>
          <w:rFonts w:ascii="Verdana" w:hAnsi="Verdana"/>
          <w:sz w:val="20"/>
          <w:szCs w:val="20"/>
        </w:rPr>
      </w:pPr>
    </w:p>
    <w:p w14:paraId="782A3019" w14:textId="031E58F2" w:rsidR="00AD6F7C" w:rsidRPr="00AD6F7C" w:rsidRDefault="00AD6F7C" w:rsidP="00AD6F7C">
      <w:pPr>
        <w:jc w:val="both"/>
        <w:rPr>
          <w:rFonts w:ascii="Verdana" w:hAnsi="Verdana"/>
        </w:rPr>
      </w:pPr>
      <w:r w:rsidRPr="00AD6F7C">
        <w:rPr>
          <w:rFonts w:ascii="Verdana" w:hAnsi="Verdana"/>
          <w:b/>
          <w:bCs/>
        </w:rPr>
        <w:lastRenderedPageBreak/>
        <w:t>ARTÍCULO 2o.</w:t>
      </w:r>
      <w:r w:rsidRPr="00AD6F7C">
        <w:rPr>
          <w:rFonts w:ascii="Verdana" w:hAnsi="Verdana"/>
        </w:rPr>
        <w:t xml:space="preserve"> La presente Resolución rige a partir de la fecha de su</w:t>
      </w:r>
      <w:r>
        <w:rPr>
          <w:rFonts w:ascii="Verdana" w:hAnsi="Verdana"/>
        </w:rPr>
        <w:t xml:space="preserve"> </w:t>
      </w:r>
      <w:r w:rsidRPr="00AD6F7C">
        <w:rPr>
          <w:rFonts w:ascii="Verdana" w:hAnsi="Verdana"/>
        </w:rPr>
        <w:t>expedición.</w:t>
      </w:r>
    </w:p>
    <w:p w14:paraId="3C479E7D" w14:textId="2ECBD8B9" w:rsidR="00AD6F7C" w:rsidRPr="00AD6F7C" w:rsidRDefault="00AD6F7C" w:rsidP="00AD6F7C">
      <w:pPr>
        <w:jc w:val="center"/>
        <w:rPr>
          <w:rFonts w:ascii="Verdana" w:hAnsi="Verdana"/>
          <w:b/>
          <w:bCs/>
        </w:rPr>
      </w:pPr>
      <w:r w:rsidRPr="00AD6F7C">
        <w:rPr>
          <w:rFonts w:ascii="Verdana" w:hAnsi="Verdana"/>
          <w:b/>
          <w:bCs/>
        </w:rPr>
        <w:t>COMUNIQUESE Y CUMPLASE</w:t>
      </w:r>
    </w:p>
    <w:p w14:paraId="37E861F4" w14:textId="1D6F7DC3" w:rsidR="00AD6F7C" w:rsidRPr="00AD6F7C" w:rsidRDefault="00AD6F7C" w:rsidP="00AD6F7C">
      <w:pPr>
        <w:jc w:val="center"/>
        <w:rPr>
          <w:rFonts w:ascii="Verdana" w:hAnsi="Verdana"/>
        </w:rPr>
      </w:pPr>
      <w:r w:rsidRPr="00AD6F7C">
        <w:rPr>
          <w:rFonts w:ascii="Verdana" w:hAnsi="Verdana"/>
        </w:rPr>
        <w:t>DADA EN LUGAR Y FECHA 30 DE NOVIEMBRE DEL 2017</w:t>
      </w:r>
    </w:p>
    <w:p w14:paraId="254D51F4" w14:textId="39F36F18" w:rsidR="00AD6F7C" w:rsidRPr="00AD6F7C" w:rsidRDefault="00AD6F7C" w:rsidP="00AD6F7C">
      <w:pPr>
        <w:jc w:val="center"/>
        <w:rPr>
          <w:rFonts w:ascii="Verdana" w:hAnsi="Verdana"/>
          <w:b/>
          <w:bCs/>
        </w:rPr>
      </w:pPr>
      <w:r w:rsidRPr="00AD6F7C">
        <w:rPr>
          <w:rFonts w:ascii="Verdana" w:hAnsi="Verdana"/>
          <w:b/>
          <w:bCs/>
        </w:rPr>
        <w:t>KAREN ABUDINEN ABUCHAIBE</w:t>
      </w:r>
    </w:p>
    <w:p w14:paraId="46D102D7" w14:textId="687F0EC0" w:rsidR="00AD6F7C" w:rsidRPr="00AD6F7C" w:rsidRDefault="00AD6F7C" w:rsidP="00AD6F7C">
      <w:pPr>
        <w:jc w:val="center"/>
        <w:rPr>
          <w:rFonts w:ascii="Verdana" w:hAnsi="Verdana"/>
        </w:rPr>
      </w:pPr>
      <w:r w:rsidRPr="00AD6F7C">
        <w:rPr>
          <w:rFonts w:ascii="Verdana" w:hAnsi="Verdana"/>
        </w:rPr>
        <w:t>DIRECTORA GENERAL</w:t>
      </w:r>
    </w:p>
    <w:p w14:paraId="538C95DB" w14:textId="77777777" w:rsidR="00AD6F7C" w:rsidRPr="00AD6F7C" w:rsidRDefault="00AD6F7C" w:rsidP="00AD6F7C">
      <w:pPr>
        <w:rPr>
          <w:rFonts w:ascii="Verdana" w:hAnsi="Verdana"/>
          <w:sz w:val="20"/>
          <w:szCs w:val="20"/>
        </w:rPr>
      </w:pPr>
    </w:p>
    <w:sectPr w:rsidR="00AD6F7C" w:rsidRPr="00AD6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7C"/>
    <w:rsid w:val="000B4793"/>
    <w:rsid w:val="00765E55"/>
    <w:rsid w:val="00AD6F7C"/>
    <w:rsid w:val="00FF23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3731"/>
  <w15:chartTrackingRefBased/>
  <w15:docId w15:val="{A5FC513F-3574-4E0A-9D16-EB663FF2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D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D6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62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3ECBA-04E2-46FA-9F96-CCE488C56FB4}"/>
</file>

<file path=customXml/itemProps2.xml><?xml version="1.0" encoding="utf-8"?>
<ds:datastoreItem xmlns:ds="http://schemas.openxmlformats.org/officeDocument/2006/customXml" ds:itemID="{904819AE-C348-4B9E-9171-857C593E79CF}"/>
</file>

<file path=customXml/itemProps3.xml><?xml version="1.0" encoding="utf-8"?>
<ds:datastoreItem xmlns:ds="http://schemas.openxmlformats.org/officeDocument/2006/customXml" ds:itemID="{6D6DE09E-4E20-4095-99AD-E9723604D268}"/>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2983</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DILI</cp:lastModifiedBy>
  <cp:revision>3</cp:revision>
  <dcterms:created xsi:type="dcterms:W3CDTF">2026-02-23T19:07:00Z</dcterms:created>
  <dcterms:modified xsi:type="dcterms:W3CDTF">2026-02-27T19:22:00Z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