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5F237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RESOLUCION 1 DE 2019</w:t>
      </w:r>
    </w:p>
    <w:p w14:paraId="7F140867" w14:textId="1AFA5226" w:rsidR="00991198" w:rsidRPr="00F90347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D062C0">
        <w:rPr>
          <w:rFonts w:ascii="Verdana" w:eastAsia="Verdana" w:hAnsi="Verdana" w:cs="Verdana"/>
          <w:sz w:val="20"/>
          <w:szCs w:val="20"/>
        </w:rPr>
        <w:t>2 de enero de 2019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F90347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F90347">
        <w:rPr>
          <w:rFonts w:ascii="Verdana" w:eastAsia="Verdana" w:hAnsi="Verdana" w:cs="Verdana"/>
          <w:sz w:val="20"/>
          <w:szCs w:val="20"/>
        </w:rPr>
        <w:t xml:space="preserve">: </w:t>
      </w:r>
      <w:r w:rsidR="00D062C0">
        <w:rPr>
          <w:rFonts w:ascii="Verdana" w:eastAsia="Verdana" w:hAnsi="Verdana" w:cs="Verdana"/>
          <w:sz w:val="20"/>
          <w:szCs w:val="20"/>
        </w:rPr>
        <w:t>2 de enero de 2019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D062C0">
        <w:rPr>
          <w:rFonts w:ascii="Verdana" w:eastAsia="Verdana" w:hAnsi="Verdana" w:cs="Verdana"/>
          <w:sz w:val="20"/>
          <w:szCs w:val="20"/>
          <w:lang w:val="es-CO"/>
        </w:rPr>
        <w:t>Vigente</w:t>
      </w:r>
    </w:p>
    <w:p w14:paraId="3E9341D1" w14:textId="72D46D83" w:rsidR="00991198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1B69BC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D062C0">
        <w:rPr>
          <w:rFonts w:ascii="Verdana" w:eastAsia="Verdana" w:hAnsi="Verdana" w:cs="Verdana"/>
          <w:sz w:val="20"/>
          <w:szCs w:val="20"/>
          <w:lang w:val="es-CO"/>
        </w:rPr>
        <w:t>N/A</w:t>
      </w:r>
      <w:r w:rsidRPr="001B69BC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D062C0">
        <w:rPr>
          <w:rFonts w:ascii="Verdana" w:eastAsia="Verdana" w:hAnsi="Verdana" w:cs="Verdana"/>
          <w:sz w:val="20"/>
          <w:szCs w:val="20"/>
          <w:lang w:val="es-CO"/>
        </w:rPr>
        <w:t>N/A</w:t>
      </w:r>
    </w:p>
    <w:p w14:paraId="7774758C" w14:textId="13304423" w:rsidR="00D062C0" w:rsidRDefault="00D062C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>
        <w:rPr>
          <w:rFonts w:ascii="Verdana" w:eastAsia="Verdana" w:hAnsi="Verdana" w:cs="Verdana"/>
          <w:sz w:val="20"/>
          <w:szCs w:val="20"/>
          <w:lang w:val="es-CO"/>
        </w:rPr>
        <w:t>Nota: El lineamiento que se aprueba en esta resolución fue modificado por las siguientes resoluciones:</w:t>
      </w:r>
    </w:p>
    <w:p w14:paraId="0C44D8F5" w14:textId="209048CC" w:rsidR="00D062C0" w:rsidRDefault="00D062C0" w:rsidP="00D062C0">
      <w:pPr>
        <w:pStyle w:val="Prrafodelista"/>
        <w:numPr>
          <w:ilvl w:val="0"/>
          <w:numId w:val="1"/>
        </w:num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>
        <w:rPr>
          <w:rFonts w:ascii="Verdana" w:eastAsia="Verdana" w:hAnsi="Verdana" w:cs="Verdana"/>
          <w:sz w:val="20"/>
          <w:szCs w:val="20"/>
          <w:lang w:val="es-CO"/>
        </w:rPr>
        <w:t>Resolución 6404 de 2019</w:t>
      </w:r>
    </w:p>
    <w:p w14:paraId="34DA618B" w14:textId="3A67253A" w:rsidR="00D062C0" w:rsidRDefault="00D062C0" w:rsidP="00D062C0">
      <w:pPr>
        <w:pStyle w:val="Prrafodelista"/>
        <w:numPr>
          <w:ilvl w:val="0"/>
          <w:numId w:val="1"/>
        </w:num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>
        <w:rPr>
          <w:rFonts w:ascii="Verdana" w:eastAsia="Verdana" w:hAnsi="Verdana" w:cs="Verdana"/>
          <w:sz w:val="20"/>
          <w:szCs w:val="20"/>
          <w:lang w:val="es-CO"/>
        </w:rPr>
        <w:t>Resolución 5228 de 2019</w:t>
      </w:r>
    </w:p>
    <w:p w14:paraId="4013F398" w14:textId="63BDF8E2" w:rsidR="00D062C0" w:rsidRPr="00D062C0" w:rsidRDefault="00D062C0" w:rsidP="00D062C0">
      <w:pPr>
        <w:pStyle w:val="Prrafodelista"/>
        <w:numPr>
          <w:ilvl w:val="0"/>
          <w:numId w:val="1"/>
        </w:num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>
        <w:rPr>
          <w:rFonts w:ascii="Verdana" w:eastAsia="Verdana" w:hAnsi="Verdana" w:cs="Verdana"/>
          <w:sz w:val="20"/>
          <w:szCs w:val="20"/>
          <w:lang w:val="es-CO"/>
        </w:rPr>
        <w:t>Resolución 3769 de 2019</w:t>
      </w:r>
    </w:p>
    <w:p w14:paraId="4EE7BEC9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RESOLUCION 1 DE 2019</w:t>
      </w:r>
    </w:p>
    <w:p w14:paraId="2B8EFB7D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(enero 2)</w:t>
      </w:r>
    </w:p>
    <w:p w14:paraId="2B067688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77D708B3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Por la cual se aprueban los Lineamientos de Programación y Ejecución de Metas Sociales y Financieras - Vigencia 2019 del Instituto Colombiano de Bienestar Familiar - Cecilia De la Fuente de Lleras - ICBF</w:t>
      </w:r>
    </w:p>
    <w:p w14:paraId="3182E4DB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- CECILIA DE LA FUENTE DE LLERAS - ICBF</w:t>
      </w:r>
    </w:p>
    <w:p w14:paraId="059273CA" w14:textId="1FA9BAE4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En uso de sus facultades legales y en especial las conferidas en el literal b) del artículo 28 de la Ley 7 de 1979, el artículo 78 de la Ley 489 de 1998, y</w:t>
      </w:r>
    </w:p>
    <w:p w14:paraId="5E70B1C5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CONSIDERANDO</w:t>
      </w:r>
    </w:p>
    <w:p w14:paraId="2460C4E9" w14:textId="58374484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 xml:space="preserve">Que de conformidad con lo establecido en el numeral 8 del </w:t>
      </w:r>
      <w:proofErr w:type="spellStart"/>
      <w:r w:rsidRPr="00D062C0">
        <w:rPr>
          <w:rFonts w:ascii="Verdana" w:eastAsia="Verdana" w:hAnsi="Verdana" w:cs="Verdana"/>
          <w:lang w:val="es-CO"/>
        </w:rPr>
        <w:t>Articulo</w:t>
      </w:r>
      <w:proofErr w:type="spellEnd"/>
      <w:r w:rsidRPr="00D062C0">
        <w:rPr>
          <w:rFonts w:ascii="Verdana" w:eastAsia="Verdana" w:hAnsi="Verdana" w:cs="Verdana"/>
          <w:lang w:val="es-CO"/>
        </w:rPr>
        <w:t> 18 del Decreto No. 987 del 14 de mayo de 2012, es función de la Dirección de Planeación y Control de Gestión “8: Liderar la programación y monitoreo de las metas sociales y financieras de la Entidad”.</w:t>
      </w:r>
    </w:p>
    <w:p w14:paraId="2F6ED92A" w14:textId="459B9CB6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 xml:space="preserve">Que así mismo de acuerdo con lo establecido en el numeral 2 del </w:t>
      </w:r>
      <w:proofErr w:type="spellStart"/>
      <w:r w:rsidRPr="00D062C0">
        <w:rPr>
          <w:rFonts w:ascii="Verdana" w:eastAsia="Verdana" w:hAnsi="Verdana" w:cs="Verdana"/>
          <w:lang w:val="es-CO"/>
        </w:rPr>
        <w:t>Articulo</w:t>
      </w:r>
      <w:proofErr w:type="spellEnd"/>
      <w:r w:rsidRPr="00D062C0">
        <w:rPr>
          <w:rFonts w:ascii="Verdana" w:eastAsia="Verdana" w:hAnsi="Verdana" w:cs="Verdana"/>
          <w:lang w:val="es-CO"/>
        </w:rPr>
        <w:t> 19 del citado Decreto, es función de la Subdirección de Programación “2. Coordinar con las dependencias de la Dirección General la elaboración de las políticas, lineamientos, parámetros y criterios de programación de metas sociales y financieras, las cuales se aplicarán en la asignación por cada territorio, tipo de beneficiarios y operadores”.</w:t>
      </w:r>
    </w:p>
    <w:p w14:paraId="4A8DF4C7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 xml:space="preserve">Que es necesario establecer en el nivel nacional del Instituto Colombiano de Bienestar Familia ICBF, los Lineamientos de Programación y Ejecución de Metas </w:t>
      </w:r>
      <w:r w:rsidRPr="00D062C0">
        <w:rPr>
          <w:rFonts w:ascii="Verdana" w:eastAsia="Verdana" w:hAnsi="Verdana" w:cs="Verdana"/>
          <w:lang w:val="es-CO"/>
        </w:rPr>
        <w:lastRenderedPageBreak/>
        <w:t>Sociales y Financieras - Vigencia 2019, toda vez que estos precisan los objetivos, criterios y parámetros para la programación y ejecución de los distintos proyectos, centros de costos y modalidades de atención del Servicio Publico del Bienestar Familiar, que son financiados con recursos apropiados en el Decreto de Liquidación del Presupuesto General de la Nación para el ICBF.</w:t>
      </w:r>
    </w:p>
    <w:p w14:paraId="42F44BF0" w14:textId="52FA30BE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 xml:space="preserve">Que de acuerdo con lo establecido por el Ministerio de Hacienda y Crédito </w:t>
      </w:r>
      <w:proofErr w:type="spellStart"/>
      <w:r w:rsidRPr="00D062C0">
        <w:rPr>
          <w:rFonts w:ascii="Verdana" w:eastAsia="Verdana" w:hAnsi="Verdana" w:cs="Verdana"/>
          <w:lang w:val="es-CO"/>
        </w:rPr>
        <w:t>Publico</w:t>
      </w:r>
      <w:proofErr w:type="spellEnd"/>
      <w:r w:rsidRPr="00D062C0">
        <w:rPr>
          <w:rFonts w:ascii="Verdana" w:eastAsia="Verdana" w:hAnsi="Verdana" w:cs="Verdana"/>
          <w:lang w:val="es-CO"/>
        </w:rPr>
        <w:t xml:space="preserve"> mediante Decreto 412 de 2018 el cual modificó el Decreto Único Reglamentario del Sector Hacienda y Crédito Público, la Resolución No. 010 del 7 de marzo de 2018 la cual estableció el Catálogo de Clasificación Presupuestal (CCP) que regirá a partir de la vigencia 2019, los Lineamientos de Programación y Ejecución de Metas Sociales y Financieras - Vigencia 2019 cuentan con las directrices impartidas en la normativa mencionada.</w:t>
      </w:r>
    </w:p>
    <w:p w14:paraId="31120144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Que los clasificadores de gastos de los Lineamientos de Programación y Ejecución de Metas Sociales y Financieras del ICBF relacionados con las Tecnologías de la Información y las Comunicaciones - TIC, solo podrán afectar proyectos que se hayan establecido como TIC.</w:t>
      </w:r>
    </w:p>
    <w:p w14:paraId="1AC767B2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Que las Tecnologías de la Información y las Comunicaciones (TIC), son el conjunto de recursos, herramientas, equipos, programas informáticos, aplicaciones, redes y medios que permiten la complicación, procesamiento, almacenamiento, transmisión de información como: voz, datos, texto, video e imágenes.</w:t>
      </w:r>
    </w:p>
    <w:p w14:paraId="6EE1D0E8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 xml:space="preserve">Que las fichas de programación son expedidas por </w:t>
      </w:r>
      <w:proofErr w:type="spellStart"/>
      <w:r w:rsidRPr="00D062C0">
        <w:rPr>
          <w:rFonts w:ascii="Verdana" w:eastAsia="Verdana" w:hAnsi="Verdana" w:cs="Verdana"/>
          <w:lang w:val="es-CO"/>
        </w:rPr>
        <w:t>ios</w:t>
      </w:r>
      <w:proofErr w:type="spellEnd"/>
      <w:r w:rsidRPr="00D062C0">
        <w:rPr>
          <w:rFonts w:ascii="Verdana" w:eastAsia="Verdana" w:hAnsi="Verdana" w:cs="Verdana"/>
          <w:lang w:val="es-CO"/>
        </w:rPr>
        <w:t xml:space="preserve"> responsables de los gastos de funcionamiento e inversión por proyecto, centros de costos y modalidades de atención.</w:t>
      </w:r>
    </w:p>
    <w:p w14:paraId="68184BCA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En mérito de lo expuesto,</w:t>
      </w:r>
    </w:p>
    <w:p w14:paraId="072079CD" w14:textId="5A7A22BD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RESUELVE</w:t>
      </w:r>
      <w:r>
        <w:rPr>
          <w:rFonts w:ascii="Verdana" w:eastAsia="Verdana" w:hAnsi="Verdana" w:cs="Verdana"/>
          <w:b/>
          <w:bCs/>
          <w:lang w:val="es-CO"/>
        </w:rPr>
        <w:t>:</w:t>
      </w:r>
    </w:p>
    <w:p w14:paraId="03ED52CA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ARTICULO PRIMERO:</w:t>
      </w:r>
      <w:r w:rsidRPr="00D062C0">
        <w:rPr>
          <w:rFonts w:ascii="Verdana" w:eastAsia="Verdana" w:hAnsi="Verdana" w:cs="Verdana"/>
          <w:lang w:val="es-CO"/>
        </w:rPr>
        <w:t xml:space="preserve"> Aprobar los Lineamientos de Programación y Ejecución de Metas Sociales y Financieras - Vigencia 2019, los cuales forman parte integral de la presente Resolución, para que sean aplicados en la operación de los gastos de funcionamiento e inversión por proyecto, centros de costos y modalidades de atención del Servicio Público de Bienestar Familiar, registrados en el presupuesto de gasto del ICBF.</w:t>
      </w:r>
    </w:p>
    <w:p w14:paraId="428DD464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ARTICULO SEGUNDO:</w:t>
      </w:r>
      <w:r w:rsidRPr="00D062C0">
        <w:rPr>
          <w:rFonts w:ascii="Verdana" w:eastAsia="Verdana" w:hAnsi="Verdana" w:cs="Verdana"/>
          <w:lang w:val="es-CO"/>
        </w:rPr>
        <w:t xml:space="preserve"> Cualquier modificación o ajuste a los Lineamientos de Programación y Ejecución de Metas Sociales y Financieras - Vigencia 2019, deberá ser adoptado mediante Resolución, para lo cual se deberá contar con el análisis de viabilidad técnica y presupuestal emitido por la respectiva Dirección Responsable del Proyecto y Gerente de Recurso del Rubro, con el aval de la Subdirección de Programación de la Dirección de Planeación y Control de Gestión y control de legalidad de la Oficina Asesora Jurídica.</w:t>
      </w:r>
    </w:p>
    <w:p w14:paraId="5619E555" w14:textId="77777777" w:rsidR="00D062C0" w:rsidRPr="00D062C0" w:rsidRDefault="00D062C0" w:rsidP="00D062C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lastRenderedPageBreak/>
        <w:t>ARTICULO TERCERO:</w:t>
      </w:r>
      <w:r w:rsidRPr="00D062C0">
        <w:rPr>
          <w:rFonts w:ascii="Verdana" w:eastAsia="Verdana" w:hAnsi="Verdana" w:cs="Verdana"/>
          <w:lang w:val="es-CO"/>
        </w:rPr>
        <w:t xml:space="preserve"> La presente Resolución rige a partir de la fecha de su expedición.</w:t>
      </w:r>
    </w:p>
    <w:p w14:paraId="3A7FC206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COMUNÍQUESE Y CÚMPLASE</w:t>
      </w:r>
    </w:p>
    <w:p w14:paraId="52433958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Dada en la ciudad de Bogotá D. C., a los</w:t>
      </w:r>
    </w:p>
    <w:p w14:paraId="77FBC4A6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b/>
          <w:bCs/>
          <w:lang w:val="es-CO"/>
        </w:rPr>
        <w:t>JULIANA PUNGILUPPI</w:t>
      </w:r>
    </w:p>
    <w:p w14:paraId="10B412C9" w14:textId="77777777" w:rsidR="00D062C0" w:rsidRPr="00D062C0" w:rsidRDefault="00D062C0" w:rsidP="00D062C0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D062C0">
        <w:rPr>
          <w:rFonts w:ascii="Verdana" w:eastAsia="Verdana" w:hAnsi="Verdana" w:cs="Verdana"/>
          <w:lang w:val="es-CO"/>
        </w:rPr>
        <w:t>Directora General - ICBF-</w:t>
      </w:r>
    </w:p>
    <w:p w14:paraId="1C70B918" w14:textId="77777777" w:rsidR="00D062C0" w:rsidRDefault="00D062C0" w:rsidP="00D062C0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s-CO"/>
        </w:rPr>
      </w:pPr>
    </w:p>
    <w:sectPr w:rsidR="00D062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A1FBA8A-971B-444A-A2CC-746E531F62ED}"/>
    <w:embedBold r:id="rId2" w:fontKey="{69FFBA0C-3BE6-4C44-85C4-4F050B4AEC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B44DAB-ACA4-4938-AEF9-978D51BE80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9EA93F-D2C1-4CC7-B522-1E672FC490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E651E"/>
    <w:multiLevelType w:val="hybridMultilevel"/>
    <w:tmpl w:val="BAF0F88C"/>
    <w:lvl w:ilvl="0" w:tplc="87E2929A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654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A7F91"/>
    <w:rsid w:val="001B69BC"/>
    <w:rsid w:val="00594DD2"/>
    <w:rsid w:val="006D6F68"/>
    <w:rsid w:val="008273C8"/>
    <w:rsid w:val="00961C51"/>
    <w:rsid w:val="00991198"/>
    <w:rsid w:val="00D062C0"/>
    <w:rsid w:val="00EC5B82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06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719E40-1D81-41D9-A182-4248F7287EAF}"/>
</file>

<file path=customXml/itemProps2.xml><?xml version="1.0" encoding="utf-8"?>
<ds:datastoreItem xmlns:ds="http://schemas.openxmlformats.org/officeDocument/2006/customXml" ds:itemID="{5332093C-7CE7-4ED8-9226-F09EDE6AA76C}"/>
</file>

<file path=customXml/itemProps3.xml><?xml version="1.0" encoding="utf-8"?>
<ds:datastoreItem xmlns:ds="http://schemas.openxmlformats.org/officeDocument/2006/customXml" ds:itemID="{D1751103-16BF-46CA-BD16-6434BD9ACB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704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2</cp:revision>
  <dcterms:created xsi:type="dcterms:W3CDTF">2026-02-21T21:57:00Z</dcterms:created>
  <dcterms:modified xsi:type="dcterms:W3CDTF">2026-02-21T21:57:00Z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