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8E0DE30"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2C12E4">
        <w:rPr>
          <w:rFonts w:ascii="Verdana" w:hAnsi="Verdana"/>
          <w:b/>
          <w:bCs/>
          <w:sz w:val="22"/>
          <w:szCs w:val="22"/>
        </w:rPr>
        <w:t>988</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475D6CD0"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2C12E4">
        <w:rPr>
          <w:rFonts w:ascii="Verdana" w:hAnsi="Verdana"/>
          <w:sz w:val="20"/>
          <w:szCs w:val="20"/>
        </w:rPr>
        <w:t>1 de marzo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09ADD09E"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2C12E4">
        <w:rPr>
          <w:rFonts w:ascii="Verdana" w:hAnsi="Verdana"/>
          <w:sz w:val="20"/>
          <w:szCs w:val="20"/>
        </w:rPr>
        <w:t>1 de marzo</w:t>
      </w:r>
      <w:r w:rsidR="00B54788">
        <w:rPr>
          <w:rFonts w:ascii="Verdana" w:hAnsi="Verdana"/>
          <w:sz w:val="20"/>
          <w:szCs w:val="20"/>
        </w:rPr>
        <w:t xml:space="preserve"> </w:t>
      </w:r>
      <w:r w:rsidR="000D6943">
        <w:rPr>
          <w:rFonts w:ascii="Verdana" w:hAnsi="Verdana"/>
          <w:sz w:val="20"/>
          <w:szCs w:val="20"/>
        </w:rPr>
        <w:t>de 2024</w:t>
      </w:r>
    </w:p>
    <w:p w14:paraId="30D368E6" w14:textId="6F172AD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2C12E4">
        <w:rPr>
          <w:rFonts w:ascii="Verdana" w:hAnsi="Verdana"/>
          <w:sz w:val="20"/>
          <w:szCs w:val="20"/>
        </w:rPr>
        <w:t xml:space="preserve">vigente </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7F694EC2"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2C12E4">
        <w:rPr>
          <w:rFonts w:ascii="Verdana" w:hAnsi="Verdana"/>
          <w:b/>
          <w:bCs/>
          <w:sz w:val="22"/>
          <w:szCs w:val="22"/>
        </w:rPr>
        <w:t>988</w:t>
      </w:r>
      <w:r w:rsidRPr="00DB3505">
        <w:rPr>
          <w:rFonts w:ascii="Verdana" w:hAnsi="Verdana"/>
          <w:b/>
          <w:bCs/>
          <w:sz w:val="22"/>
          <w:szCs w:val="22"/>
        </w:rPr>
        <w:t xml:space="preserve"> DE 202</w:t>
      </w:r>
      <w:r w:rsidR="008D18D4">
        <w:rPr>
          <w:rFonts w:ascii="Verdana" w:hAnsi="Verdana"/>
          <w:b/>
          <w:bCs/>
          <w:sz w:val="22"/>
          <w:szCs w:val="22"/>
        </w:rPr>
        <w:t>4</w:t>
      </w:r>
    </w:p>
    <w:p w14:paraId="76C13A6D" w14:textId="6F4A2956"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2C12E4">
        <w:rPr>
          <w:rFonts w:ascii="Verdana" w:hAnsi="Verdana"/>
          <w:b/>
          <w:bCs/>
          <w:sz w:val="22"/>
          <w:szCs w:val="22"/>
        </w:rPr>
        <w:t>1 de marzo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0ECD63A6" w14:textId="77777777" w:rsidR="004B495B" w:rsidRDefault="004B495B" w:rsidP="00251F6B">
      <w:pPr>
        <w:jc w:val="center"/>
        <w:rPr>
          <w:rFonts w:ascii="Verdana" w:hAnsi="Verdana"/>
          <w:sz w:val="22"/>
          <w:szCs w:val="22"/>
        </w:rPr>
      </w:pPr>
      <w:r w:rsidRPr="004B495B">
        <w:rPr>
          <w:rFonts w:ascii="Verdana" w:hAnsi="Verdana"/>
          <w:sz w:val="22"/>
          <w:szCs w:val="22"/>
        </w:rPr>
        <w:t xml:space="preserve">“Por la cual se modifica la Resolución 0320 del 2 de febrero de 2024” </w:t>
      </w:r>
    </w:p>
    <w:p w14:paraId="73E077CE" w14:textId="77777777" w:rsidR="004B495B" w:rsidRDefault="004B495B" w:rsidP="00251F6B">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26C25E68" w14:textId="32CA038B" w:rsidR="00085FC6" w:rsidRPr="00085FC6" w:rsidRDefault="00085FC6" w:rsidP="00085FC6">
      <w:pPr>
        <w:jc w:val="center"/>
        <w:rPr>
          <w:rFonts w:ascii="Verdana" w:hAnsi="Verdana"/>
          <w:sz w:val="22"/>
          <w:szCs w:val="22"/>
        </w:rPr>
      </w:pPr>
      <w:r w:rsidRPr="00085FC6">
        <w:rPr>
          <w:rFonts w:ascii="Verdana" w:hAnsi="Verdana"/>
          <w:sz w:val="22"/>
          <w:szCs w:val="22"/>
        </w:rPr>
        <w:t xml:space="preserve">En ejercicio de sus facultades legales y estatutarias y, en especial de las que le confiere el literal b) del artículo 28 de la Ley 7 de 1979, el artículo 78 de la Ley 489 de 1998, la Ley 1437 de 2011, el artículo 2 del Decreto 987 de 2012 y, </w:t>
      </w:r>
    </w:p>
    <w:p w14:paraId="62EE6393" w14:textId="09AC86F0" w:rsidR="00DB3505" w:rsidRDefault="00085FC6" w:rsidP="00085FC6">
      <w:pPr>
        <w:jc w:val="center"/>
        <w:rPr>
          <w:rFonts w:ascii="Verdana" w:hAnsi="Verdana"/>
          <w:b/>
          <w:bCs/>
          <w:sz w:val="22"/>
          <w:szCs w:val="22"/>
        </w:rPr>
      </w:pPr>
      <w:r w:rsidRPr="00085FC6">
        <w:rPr>
          <w:rFonts w:ascii="Verdana" w:hAnsi="Verdana"/>
          <w:sz w:val="22"/>
          <w:szCs w:val="22"/>
        </w:rPr>
        <w:t xml:space="preserve"> </w:t>
      </w:r>
      <w:r w:rsidR="00DB3505" w:rsidRPr="00DB3505">
        <w:rPr>
          <w:rFonts w:ascii="Verdana" w:hAnsi="Verdana"/>
          <w:b/>
          <w:bCs/>
          <w:sz w:val="22"/>
          <w:szCs w:val="22"/>
        </w:rPr>
        <w:t>CONSIDERANDO:</w:t>
      </w:r>
    </w:p>
    <w:p w14:paraId="3C0C805A" w14:textId="6F67D3EC" w:rsidR="002C12E4" w:rsidRPr="002C12E4" w:rsidRDefault="002C12E4" w:rsidP="002C12E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2C12E4">
        <w:rPr>
          <w:rFonts w:ascii="Verdana" w:eastAsia="Times New Roman" w:hAnsi="Verdana" w:cs="Segoe UI"/>
          <w:kern w:val="0"/>
          <w:sz w:val="22"/>
          <w:szCs w:val="22"/>
          <w:lang w:eastAsia="es-CO"/>
          <w14:ligatures w14:val="none"/>
        </w:rPr>
        <w:t xml:space="preserve">Que el artículo 209 de la Constitución Política preceptúa que la función administrativa está al servicio de los intereses generales y se desarrolla con fundamento en los principios de igualdad, moralidad, eficacia, economía, celeridad, imparcialidad y publicidad. </w:t>
      </w:r>
    </w:p>
    <w:p w14:paraId="68001657" w14:textId="484BBC85" w:rsidR="002C12E4" w:rsidRPr="002C12E4" w:rsidRDefault="002C12E4" w:rsidP="002C12E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2C12E4">
        <w:rPr>
          <w:rFonts w:ascii="Verdana" w:eastAsia="Times New Roman" w:hAnsi="Verdana" w:cs="Segoe UI"/>
          <w:kern w:val="0"/>
          <w:sz w:val="22"/>
          <w:szCs w:val="22"/>
          <w:lang w:eastAsia="es-CO"/>
          <w14:ligatures w14:val="none"/>
        </w:rPr>
        <w:t xml:space="preserve">Que el Instituto Colombiano de Bienestar Familiar - ICBF es la entidad del Estado colombiano que trabaja por la prevención y protección integral de la primera infancia, infancia, adolescencia y el fortalecimiento de las familias en Colombia, brindando atención especialmente a aquellos en condiciones de amenaza, inobservancia o vulneración de sus derechos. </w:t>
      </w:r>
    </w:p>
    <w:p w14:paraId="4B785687" w14:textId="6665E989" w:rsidR="002C12E4" w:rsidRDefault="002C12E4" w:rsidP="002C12E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2C12E4">
        <w:rPr>
          <w:rFonts w:ascii="Verdana" w:eastAsia="Times New Roman" w:hAnsi="Verdana" w:cs="Segoe UI"/>
          <w:kern w:val="0"/>
          <w:sz w:val="22"/>
          <w:szCs w:val="22"/>
          <w:lang w:eastAsia="es-CO"/>
          <w14:ligatures w14:val="none"/>
        </w:rPr>
        <w:t xml:space="preserve">Que los numerales 1 y 9 del artículo 21 de la Ley 7 de 1979 establecen dentro de las funciones del ICBF, entre otras, las de: </w:t>
      </w:r>
      <w:r w:rsidRPr="002C12E4">
        <w:rPr>
          <w:rFonts w:ascii="Verdana" w:eastAsia="Times New Roman" w:hAnsi="Verdana" w:cs="Segoe UI"/>
          <w:i/>
          <w:iCs/>
          <w:kern w:val="0"/>
          <w:sz w:val="22"/>
          <w:szCs w:val="22"/>
          <w:lang w:eastAsia="es-CO"/>
          <w14:ligatures w14:val="none"/>
        </w:rPr>
        <w:t>“1.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54E027F9" w14:textId="12686F09" w:rsidR="00A47455" w:rsidRDefault="002C12E4"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2C12E4">
        <w:rPr>
          <w:rFonts w:ascii="Verdana" w:eastAsia="Times New Roman" w:hAnsi="Verdana" w:cs="Segoe UI"/>
          <w:kern w:val="0"/>
          <w:sz w:val="22"/>
          <w:szCs w:val="22"/>
          <w:lang w:eastAsia="es-CO"/>
          <w14:ligatures w14:val="none"/>
        </w:rPr>
        <w:t>Que la competencia para ordenar el gasto y, bajo la misma línea argumentativa, para dirigir la celebración de contratos estatales con el presupuesto asignado al ICBF, está en cabeza del representante legal de la Entidad, esto es, en el Director General.</w:t>
      </w:r>
    </w:p>
    <w:p w14:paraId="49B14862" w14:textId="7BDFD44A" w:rsidR="00A47455" w:rsidRPr="00A47455" w:rsidRDefault="00A47455"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A47455">
        <w:rPr>
          <w:rFonts w:ascii="Verdana" w:eastAsia="Times New Roman" w:hAnsi="Verdana" w:cs="Segoe UI"/>
          <w:kern w:val="0"/>
          <w:sz w:val="22"/>
          <w:szCs w:val="22"/>
          <w:lang w:eastAsia="es-CO"/>
          <w14:ligatures w14:val="none"/>
        </w:rPr>
        <w:lastRenderedPageBreak/>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7B6F827E" w14:textId="7CFB246C" w:rsidR="007D4E9B" w:rsidRPr="007D4E9B" w:rsidRDefault="00A47455" w:rsidP="0004737F">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A47455">
        <w:rPr>
          <w:rFonts w:ascii="Verdana" w:eastAsia="Times New Roman" w:hAnsi="Verdana" w:cs="Segoe UI"/>
          <w:kern w:val="0"/>
          <w:sz w:val="22"/>
          <w:szCs w:val="22"/>
          <w:lang w:eastAsia="es-CO"/>
          <w14:ligatures w14:val="none"/>
        </w:rPr>
        <w:t>Que el inciso segundo del artículo 12 de la citada Ley establece</w:t>
      </w:r>
      <w:r w:rsidRPr="00A47455">
        <w:rPr>
          <w:rFonts w:ascii="Verdana" w:eastAsia="Times New Roman" w:hAnsi="Verdana" w:cs="Segoe UI"/>
          <w:i/>
          <w:iCs/>
          <w:kern w:val="0"/>
          <w:sz w:val="22"/>
          <w:szCs w:val="22"/>
          <w:lang w:eastAsia="es-CO"/>
          <w14:ligatures w14:val="none"/>
        </w:rPr>
        <w:t xml:space="preserv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24E60DFC" w14:textId="0F7AF757" w:rsidR="007D4E9B" w:rsidRPr="007D4E9B" w:rsidRDefault="007D4E9B" w:rsidP="0004737F">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kern w:val="0"/>
          <w:sz w:val="22"/>
          <w:szCs w:val="22"/>
          <w:lang w:eastAsia="es-CO"/>
          <w14:ligatures w14:val="none"/>
        </w:rPr>
        <w:t xml:space="preserve">Que </w:t>
      </w:r>
      <w:r w:rsidRPr="007D4E9B">
        <w:rPr>
          <w:rFonts w:ascii="Verdana" w:eastAsia="Times New Roman" w:hAnsi="Verdana" w:cs="Segoe UI"/>
          <w:kern w:val="0"/>
          <w:sz w:val="22"/>
          <w:szCs w:val="22"/>
          <w:lang w:eastAsia="es-CO"/>
          <w14:ligatures w14:val="none"/>
        </w:rPr>
        <w:t xml:space="preserve">los artículos 1 y 6 del Anexo “Delegación Ordenación del Gasto” del Manual de Contratación del ICBF, adoptado mediante Resolución 7700 del 6 de diciembre de 2023, establecen, respectivamente, lo siguiente: </w:t>
      </w:r>
      <w:r w:rsidRPr="007D4E9B">
        <w:rPr>
          <w:rFonts w:ascii="Verdana" w:eastAsia="Times New Roman" w:hAnsi="Verdana" w:cs="Segoe UI"/>
          <w:i/>
          <w:iCs/>
          <w:kern w:val="0"/>
          <w:sz w:val="22"/>
          <w:szCs w:val="22"/>
          <w:lang w:eastAsia="es-CO"/>
          <w14:ligatures w14:val="none"/>
        </w:rPr>
        <w:t>“El Director (a) General, de conformidad con lo establecido en el artículo 9,10 y 11 de la Ley 489 de 1998, los artículos 12 y numeral 10 del artículo 25 de la Ley 80 de 1993 y el artículo 21 de la Ley 1150 de 2007, delega las facultades en materia de ordenación del gasto, así como las funciones relacionadas con la dirección de los procesos de selección y celebración de los contratos y/o convenios (…)”</w:t>
      </w:r>
      <w:r w:rsidRPr="007D4E9B">
        <w:rPr>
          <w:rFonts w:ascii="Verdana" w:eastAsia="Times New Roman" w:hAnsi="Verdana" w:cs="Segoe UI"/>
          <w:kern w:val="0"/>
          <w:sz w:val="22"/>
          <w:szCs w:val="22"/>
          <w:lang w:eastAsia="es-CO"/>
          <w14:ligatures w14:val="none"/>
        </w:rPr>
        <w:t xml:space="preserve"> y, como consecuencia, </w:t>
      </w:r>
      <w:r w:rsidRPr="007D4E9B">
        <w:rPr>
          <w:rFonts w:ascii="Verdana" w:eastAsia="Times New Roman" w:hAnsi="Verdana" w:cs="Segoe UI"/>
          <w:i/>
          <w:iCs/>
          <w:kern w:val="0"/>
          <w:sz w:val="22"/>
          <w:szCs w:val="22"/>
          <w:lang w:eastAsia="es-CO"/>
          <w14:ligatures w14:val="none"/>
        </w:rPr>
        <w:t>“se delega en los Directores Regionales las siguientes facultades en materia de contratación: 1. La ordenación del gasto y el ejercicio de la facultad para dirigir los procesos de selección y celebrar los contratos o convenios cuya ejecución se desarrolle en forma exclusiva en el territorio de su jurisdicción (…)”.</w:t>
      </w:r>
    </w:p>
    <w:p w14:paraId="2CB8FB34" w14:textId="0E6DC9DE" w:rsidR="007D4E9B" w:rsidRDefault="007D4E9B"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7D4E9B">
        <w:rPr>
          <w:rFonts w:ascii="Verdana" w:eastAsia="Times New Roman" w:hAnsi="Verdana" w:cs="Segoe UI"/>
          <w:kern w:val="0"/>
          <w:sz w:val="22"/>
          <w:szCs w:val="22"/>
          <w:lang w:eastAsia="es-CO"/>
          <w14:ligatures w14:val="none"/>
        </w:rPr>
        <w:t>Qu</w:t>
      </w:r>
      <w:r>
        <w:rPr>
          <w:rFonts w:ascii="Verdana" w:eastAsia="Times New Roman" w:hAnsi="Verdana" w:cs="Segoe UI"/>
          <w:kern w:val="0"/>
          <w:sz w:val="22"/>
          <w:szCs w:val="22"/>
          <w:lang w:eastAsia="es-CO"/>
          <w14:ligatures w14:val="none"/>
        </w:rPr>
        <w:t>e</w:t>
      </w:r>
      <w:r w:rsidRPr="007D4E9B">
        <w:rPr>
          <w:rFonts w:ascii="Verdana" w:eastAsia="Times New Roman" w:hAnsi="Verdana" w:cs="Segoe UI"/>
          <w:kern w:val="0"/>
          <w:sz w:val="22"/>
          <w:szCs w:val="22"/>
          <w:lang w:eastAsia="es-CO"/>
          <w14:ligatures w14:val="none"/>
        </w:rPr>
        <w:t xml:space="preserve"> aunado a lo anterior, la norma en cita establece que dicha delegación se realiza </w:t>
      </w:r>
      <w:r w:rsidRPr="007D4E9B">
        <w:rPr>
          <w:rFonts w:ascii="Verdana" w:eastAsia="Times New Roman" w:hAnsi="Verdana" w:cs="Segoe UI"/>
          <w:b/>
          <w:bCs/>
          <w:kern w:val="0"/>
          <w:sz w:val="22"/>
          <w:szCs w:val="22"/>
          <w:u w:val="single"/>
          <w:lang w:eastAsia="es-CO"/>
          <w14:ligatures w14:val="none"/>
        </w:rPr>
        <w:t>sin perjuicio de su facultad de reasumir en cualquier tiempo las facultades delegadas y revisar o revocar los actos expedidos por los ordenadores del gasto, con sujeción a las disposiciones del Código de Procedimiento Administrativo y de lo Contencioso Administrativo”.</w:t>
      </w:r>
    </w:p>
    <w:p w14:paraId="7C62AEDF" w14:textId="142363D1" w:rsidR="0004737F" w:rsidRDefault="0004737F"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Pr>
          <w:rFonts w:ascii="Verdana" w:eastAsia="Times New Roman" w:hAnsi="Verdana" w:cs="Segoe UI"/>
          <w:kern w:val="0"/>
          <w:sz w:val="22"/>
          <w:szCs w:val="22"/>
          <w:lang w:eastAsia="es-CO"/>
          <w14:ligatures w14:val="none"/>
        </w:rPr>
        <w:t>Q</w:t>
      </w:r>
      <w:r w:rsidRPr="0004737F">
        <w:rPr>
          <w:rFonts w:ascii="Verdana" w:eastAsia="Times New Roman" w:hAnsi="Verdana" w:cs="Segoe UI"/>
          <w:kern w:val="0"/>
          <w:sz w:val="22"/>
          <w:szCs w:val="22"/>
          <w:lang w:eastAsia="es-CO"/>
          <w14:ligatures w14:val="none"/>
        </w:rPr>
        <w:t xml:space="preserve">ue, en el marco descrito, el ICBF expidió la Resolución 0320 de 2024, a través de la cual fue reasumida la competencia en materia de ordenación de gasto delegada en el (la) Director (a) de la Regional Guajira y se realizaron nuevas delegaciones, con el fin de que desde la Dirección General se pudieran atender necesidades del servicio que ameritaban ejercer funciones de manera directa pero coordinada en la Regional La Guajira. </w:t>
      </w:r>
    </w:p>
    <w:p w14:paraId="148D5CF4" w14:textId="77777777" w:rsidR="0004737F" w:rsidRDefault="0004737F"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04737F">
        <w:rPr>
          <w:rFonts w:ascii="Verdana" w:eastAsia="Times New Roman" w:hAnsi="Verdana" w:cs="Segoe UI"/>
          <w:kern w:val="0"/>
          <w:sz w:val="22"/>
          <w:szCs w:val="22"/>
          <w:lang w:eastAsia="es-CO"/>
          <w14:ligatures w14:val="none"/>
        </w:rPr>
        <w:t xml:space="preserve">Que, por su parte, mediante Resolución 0666 del 21 de febrero de 2024, se modificó la Resolución 0320 de 2024, en el sentido de delegar la ordenación de gasto en todos los temas transversales y de apoyo a la gestión institucional a la directora regional Guajira, teniendo en cuenta que, en la actualidad, la Regional cuenta con la capacidad para asumir estas funciones. </w:t>
      </w:r>
    </w:p>
    <w:p w14:paraId="6922AF91" w14:textId="77777777" w:rsidR="0004737F" w:rsidRDefault="0004737F"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04737F">
        <w:rPr>
          <w:rFonts w:ascii="Verdana" w:eastAsia="Times New Roman" w:hAnsi="Verdana" w:cs="Segoe UI"/>
          <w:kern w:val="0"/>
          <w:sz w:val="22"/>
          <w:szCs w:val="22"/>
          <w:lang w:eastAsia="es-CO"/>
          <w14:ligatures w14:val="none"/>
        </w:rPr>
        <w:t xml:space="preserve">Que no obstante, con ocasión de las recientes medidas adoptadas por la Dirección General del ICBF relacionadas con la operación de la Regional </w:t>
      </w:r>
      <w:r w:rsidRPr="0004737F">
        <w:rPr>
          <w:rFonts w:ascii="Verdana" w:eastAsia="Times New Roman" w:hAnsi="Verdana" w:cs="Segoe UI"/>
          <w:kern w:val="0"/>
          <w:sz w:val="22"/>
          <w:szCs w:val="22"/>
          <w:lang w:eastAsia="es-CO"/>
          <w14:ligatures w14:val="none"/>
        </w:rPr>
        <w:lastRenderedPageBreak/>
        <w:t xml:space="preserve">Guajira, entre otras, el fortalecimiento con recurso humano de los grupos de trabajo de dicha Regional, se hace necesario derogar los pre citados actos administrativos. </w:t>
      </w:r>
    </w:p>
    <w:p w14:paraId="563F21EA" w14:textId="1BB0CFDA" w:rsidR="0004737F" w:rsidRPr="0004737F" w:rsidRDefault="0004737F"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04737F">
        <w:rPr>
          <w:rFonts w:ascii="Verdana" w:eastAsia="Times New Roman" w:hAnsi="Verdana" w:cs="Segoe UI"/>
          <w:kern w:val="0"/>
          <w:sz w:val="22"/>
          <w:szCs w:val="22"/>
          <w:lang w:eastAsia="es-CO"/>
          <w14:ligatures w14:val="none"/>
        </w:rPr>
        <w:t xml:space="preserve">Que por razones de oportunidad y conveniencia, resulta procedente la derogatoria de los actos administrativos. Así lo ha resaltado la Corte Constitucional en sentencia C-901 de 2011, en los siguientes términos: </w:t>
      </w:r>
    </w:p>
    <w:p w14:paraId="6EF1B1C0" w14:textId="1288F7EF" w:rsidR="0004737F" w:rsidRPr="0004737F" w:rsidRDefault="0004737F" w:rsidP="0004737F">
      <w:pPr>
        <w:spacing w:after="0"/>
        <w:ind w:left="1416"/>
        <w:textAlignment w:val="baseline"/>
        <w:rPr>
          <w:rFonts w:ascii="Verdana" w:eastAsia="Times New Roman" w:hAnsi="Verdana" w:cs="Segoe UI"/>
          <w:i/>
          <w:iCs/>
          <w:kern w:val="0"/>
          <w:sz w:val="22"/>
          <w:szCs w:val="22"/>
          <w:lang w:eastAsia="es-CO"/>
          <w14:ligatures w14:val="none"/>
        </w:rPr>
      </w:pPr>
      <w:r w:rsidRPr="0004737F">
        <w:rPr>
          <w:rFonts w:ascii="Verdana" w:eastAsia="Times New Roman" w:hAnsi="Verdana" w:cs="Segoe UI"/>
          <w:i/>
          <w:iCs/>
          <w:kern w:val="0"/>
          <w:sz w:val="22"/>
          <w:szCs w:val="22"/>
          <w:lang w:eastAsia="es-CO"/>
          <w14:ligatures w14:val="none"/>
        </w:rPr>
        <w:t xml:space="preserve">“La derogación tiene como función “dejar sin efecto el deber ser de otra norma, expulsándola del ordenamiento. Por ello se ha entendido que la derogación es la cesación de la vigencia de una disposición como efecto de una norma posterior”, que no se fundamenta en un cuestionamiento sobre la validez de la normas, por ejemplo, cuando es declarada inexequible, “sino en criterios de oportunidad libremente evaluados por las autoridades competentes, (…). Así la derogación no deriva de conflictos entre normas de distinta jerarquía sino de la libertad política del legislador. (…)” </w:t>
      </w:r>
    </w:p>
    <w:p w14:paraId="033BA78A" w14:textId="0FF9BA63" w:rsidR="0004737F" w:rsidRPr="0004737F" w:rsidRDefault="0004737F"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04737F">
        <w:rPr>
          <w:rFonts w:ascii="Verdana" w:eastAsia="Times New Roman" w:hAnsi="Verdana" w:cs="Segoe UI"/>
          <w:kern w:val="0"/>
          <w:sz w:val="22"/>
          <w:szCs w:val="22"/>
          <w:lang w:eastAsia="es-CO"/>
          <w14:ligatures w14:val="none"/>
        </w:rPr>
        <w:t xml:space="preserve">Que al respecto, el Consejo de Estado en sentencia del 31 de mayo de 2012, señala: </w:t>
      </w:r>
    </w:p>
    <w:p w14:paraId="22970591" w14:textId="77777777" w:rsidR="0004737F" w:rsidRPr="0004737F" w:rsidRDefault="0004737F" w:rsidP="0004737F">
      <w:pPr>
        <w:pStyle w:val="Prrafodelista"/>
        <w:spacing w:after="0"/>
        <w:ind w:left="1416"/>
        <w:textAlignment w:val="baseline"/>
        <w:rPr>
          <w:rFonts w:ascii="Verdana" w:eastAsia="Times New Roman" w:hAnsi="Verdana" w:cs="Segoe UI"/>
          <w:i/>
          <w:iCs/>
          <w:kern w:val="0"/>
          <w:sz w:val="22"/>
          <w:szCs w:val="22"/>
          <w:lang w:eastAsia="es-CO"/>
          <w14:ligatures w14:val="none"/>
        </w:rPr>
      </w:pPr>
      <w:r w:rsidRPr="0004737F">
        <w:rPr>
          <w:rFonts w:ascii="Verdana" w:eastAsia="Times New Roman" w:hAnsi="Verdana" w:cs="Segoe UI"/>
          <w:i/>
          <w:iCs/>
          <w:kern w:val="0"/>
          <w:sz w:val="22"/>
          <w:szCs w:val="22"/>
          <w:lang w:eastAsia="es-CO"/>
          <w14:ligatures w14:val="none"/>
        </w:rPr>
        <w:t xml:space="preserve">“(...)la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 (...)” </w:t>
      </w:r>
    </w:p>
    <w:p w14:paraId="4FB649C8" w14:textId="77777777" w:rsidR="0004737F" w:rsidRDefault="0004737F"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04737F">
        <w:rPr>
          <w:rFonts w:ascii="Verdana" w:eastAsia="Times New Roman" w:hAnsi="Verdana" w:cs="Segoe UI"/>
          <w:kern w:val="0"/>
          <w:sz w:val="22"/>
          <w:szCs w:val="22"/>
          <w:lang w:eastAsia="es-CO"/>
          <w14:ligatures w14:val="none"/>
        </w:rPr>
        <w:t xml:space="preserve">Que en el marco de lo descrito, se hace preciso derogar la Resolución 0320 de 2024 y Resolución 0666 del 21 de febrero de 2024. </w:t>
      </w:r>
    </w:p>
    <w:p w14:paraId="590C799E" w14:textId="2085FFE2" w:rsidR="0004737F" w:rsidRPr="0004737F" w:rsidRDefault="0004737F" w:rsidP="0004737F">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04737F">
        <w:rPr>
          <w:rFonts w:ascii="Verdana" w:eastAsia="Times New Roman" w:hAnsi="Verdana" w:cs="Segoe UI"/>
          <w:kern w:val="0"/>
          <w:sz w:val="22"/>
          <w:szCs w:val="22"/>
          <w:lang w:eastAsia="es-CO"/>
          <w14:ligatures w14:val="none"/>
        </w:rPr>
        <w:t xml:space="preserve">En mérito de lo expuesto, </w:t>
      </w:r>
    </w:p>
    <w:p w14:paraId="4D19E32B" w14:textId="600C75B5" w:rsidR="00DB3505" w:rsidRPr="00085FC6" w:rsidRDefault="00DB3505" w:rsidP="0004737F">
      <w:pPr>
        <w:pStyle w:val="Prrafodelista"/>
        <w:spacing w:after="0"/>
        <w:jc w:val="center"/>
        <w:textAlignment w:val="baseline"/>
        <w:rPr>
          <w:rFonts w:ascii="Verdana" w:hAnsi="Verdana"/>
          <w:sz w:val="22"/>
          <w:szCs w:val="22"/>
        </w:rPr>
      </w:pPr>
      <w:r w:rsidRPr="00085FC6">
        <w:rPr>
          <w:rFonts w:ascii="Verdana" w:hAnsi="Verdana"/>
          <w:b/>
          <w:bCs/>
          <w:sz w:val="22"/>
          <w:szCs w:val="22"/>
        </w:rPr>
        <w:t>RESUELVE:</w:t>
      </w:r>
    </w:p>
    <w:p w14:paraId="575C238C" w14:textId="77777777" w:rsidR="0004737F" w:rsidRDefault="00DB3505" w:rsidP="0004737F">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04737F" w:rsidRPr="0004737F">
        <w:rPr>
          <w:rFonts w:ascii="Verdana" w:hAnsi="Verdana"/>
          <w:sz w:val="22"/>
          <w:szCs w:val="22"/>
        </w:rPr>
        <w:t xml:space="preserve">DEROGAR las Resoluciones 0320 del 2 de febrero de 2024 y 0666 del 21 de febrero de 2024, de acuerdo con lo expuesto en la parte considerativa del presente acto administrativo. </w:t>
      </w:r>
    </w:p>
    <w:p w14:paraId="662D06E7" w14:textId="1FB0A950" w:rsidR="007871FD" w:rsidRDefault="00DB3505" w:rsidP="0004737F">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942A54" w:rsidRPr="00942A54">
        <w:rPr>
          <w:rFonts w:ascii="Verdana" w:hAnsi="Verdana"/>
          <w:sz w:val="22"/>
          <w:szCs w:val="22"/>
        </w:rPr>
        <w:t>VIGENCIA La presente Resolución rige a partir de su expedición. Los procesos administrativos y contractuales que con ocasión de la expedición de las Resoluciones 0320 del 2 de febrero de 2024 y 0666 del 21 de febrero de 2024, fueron radicados a la Sede Nacional con anterioridad a la entrada en vigencia del presente acto administrativo, tendrán un plazo máximo de tres (3) días hábiles para su finalización. Terminado este plazo, los procesos administrativos y contractuales que no hayan sido concluidos, serán trasladados a la Regional La Guajira, para lo de su competencia, de conformidad con la Ley y el Manual de Contratación vigente.</w:t>
      </w:r>
    </w:p>
    <w:bookmarkEnd w:id="2"/>
    <w:p w14:paraId="6F2189C5" w14:textId="4E23CAEC"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7C5E6583"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942A54">
        <w:rPr>
          <w:rFonts w:ascii="Verdana" w:hAnsi="Verdana"/>
          <w:sz w:val="22"/>
          <w:szCs w:val="22"/>
        </w:rPr>
        <w:t xml:space="preserve">el </w:t>
      </w:r>
      <w:r w:rsidR="007871FD">
        <w:rPr>
          <w:rFonts w:ascii="Verdana" w:hAnsi="Verdana"/>
          <w:sz w:val="22"/>
          <w:szCs w:val="22"/>
        </w:rPr>
        <w:t>1</w:t>
      </w:r>
      <w:r w:rsidR="00DE103B" w:rsidRPr="00DB3505">
        <w:rPr>
          <w:rFonts w:ascii="Verdana" w:hAnsi="Verdana"/>
          <w:sz w:val="22"/>
          <w:szCs w:val="22"/>
        </w:rPr>
        <w:t xml:space="preserve"> </w:t>
      </w:r>
      <w:r w:rsidR="00DE103B">
        <w:rPr>
          <w:rFonts w:ascii="Verdana" w:hAnsi="Verdana"/>
          <w:sz w:val="22"/>
          <w:szCs w:val="22"/>
        </w:rPr>
        <w:t xml:space="preserve">día del mes </w:t>
      </w:r>
      <w:r w:rsidRPr="00DB3505">
        <w:rPr>
          <w:rFonts w:ascii="Verdana" w:hAnsi="Verdana"/>
          <w:sz w:val="22"/>
          <w:szCs w:val="22"/>
        </w:rPr>
        <w:t xml:space="preserve">de </w:t>
      </w:r>
      <w:r w:rsidR="00942A54">
        <w:rPr>
          <w:rFonts w:ascii="Verdana" w:hAnsi="Verdana"/>
          <w:sz w:val="22"/>
          <w:szCs w:val="22"/>
        </w:rPr>
        <w:t>marzo</w:t>
      </w:r>
      <w:r w:rsidRPr="00DB3505">
        <w:rPr>
          <w:rFonts w:ascii="Verdana" w:hAnsi="Verdana"/>
          <w:sz w:val="22"/>
          <w:szCs w:val="22"/>
        </w:rPr>
        <w:t xml:space="preserve"> de 202</w:t>
      </w:r>
      <w:r w:rsidR="00F770E5">
        <w:rPr>
          <w:rFonts w:ascii="Verdana" w:hAnsi="Verdana"/>
          <w:sz w:val="22"/>
          <w:szCs w:val="22"/>
        </w:rPr>
        <w:t>4</w:t>
      </w:r>
    </w:p>
    <w:p w14:paraId="0F85C2A8" w14:textId="2FBC4D80" w:rsidR="00CA78A1" w:rsidRDefault="00571511" w:rsidP="00251F6B">
      <w:pPr>
        <w:jc w:val="center"/>
        <w:rPr>
          <w:rFonts w:ascii="Verdana" w:hAnsi="Verdana"/>
          <w:b/>
          <w:bCs/>
          <w:sz w:val="22"/>
          <w:szCs w:val="22"/>
        </w:rPr>
      </w:pPr>
      <w:r>
        <w:rPr>
          <w:rFonts w:ascii="Verdana" w:hAnsi="Verdana"/>
          <w:b/>
          <w:bCs/>
          <w:sz w:val="22"/>
          <w:szCs w:val="22"/>
        </w:rPr>
        <w:t xml:space="preserve">ADRIANA </w:t>
      </w:r>
      <w:r w:rsidR="00991E3D">
        <w:rPr>
          <w:rFonts w:ascii="Verdana" w:hAnsi="Verdana"/>
          <w:b/>
          <w:bCs/>
          <w:sz w:val="22"/>
          <w:szCs w:val="22"/>
        </w:rPr>
        <w:t xml:space="preserve">VELASQUEZ </w:t>
      </w:r>
    </w:p>
    <w:p w14:paraId="1ECFFF6B" w14:textId="5318AC56" w:rsidR="00A724C4" w:rsidRPr="00657673" w:rsidRDefault="00F770E5" w:rsidP="00251F6B">
      <w:pPr>
        <w:jc w:val="center"/>
        <w:rPr>
          <w:rFonts w:ascii="Verdana" w:hAnsi="Verdana"/>
          <w:sz w:val="22"/>
          <w:szCs w:val="22"/>
        </w:rPr>
      </w:pPr>
      <w:r>
        <w:rPr>
          <w:rFonts w:ascii="Verdana" w:hAnsi="Verdana"/>
          <w:sz w:val="22"/>
          <w:szCs w:val="22"/>
        </w:rPr>
        <w:lastRenderedPageBreak/>
        <w:t>DIRECTOR</w:t>
      </w:r>
      <w:r w:rsidR="00CA78A1">
        <w:rPr>
          <w:rFonts w:ascii="Verdana" w:hAnsi="Verdana"/>
          <w:sz w:val="22"/>
          <w:szCs w:val="22"/>
        </w:rPr>
        <w:t xml:space="preserve">A </w:t>
      </w:r>
      <w:r>
        <w:rPr>
          <w:rFonts w:ascii="Verdana" w:hAnsi="Verdana"/>
          <w:sz w:val="22"/>
          <w:szCs w:val="22"/>
        </w:rPr>
        <w:t xml:space="preserve">GENERAL </w:t>
      </w:r>
      <w:r w:rsidR="00571511">
        <w:rPr>
          <w:rFonts w:ascii="Verdana" w:hAnsi="Verdana"/>
          <w:sz w:val="22"/>
          <w:szCs w:val="22"/>
        </w:rPr>
        <w:t>ENCARGADA</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080B" w14:textId="77777777" w:rsidR="00DC6652" w:rsidRDefault="00DC6652" w:rsidP="00251F6B">
      <w:pPr>
        <w:spacing w:after="0"/>
      </w:pPr>
      <w:r>
        <w:separator/>
      </w:r>
    </w:p>
  </w:endnote>
  <w:endnote w:type="continuationSeparator" w:id="0">
    <w:p w14:paraId="00FE781A" w14:textId="77777777" w:rsidR="00DC6652" w:rsidRDefault="00DC6652"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589C" w14:textId="77777777" w:rsidR="00DC6652" w:rsidRDefault="00DC6652" w:rsidP="00251F6B">
      <w:pPr>
        <w:spacing w:after="0"/>
      </w:pPr>
      <w:r>
        <w:separator/>
      </w:r>
    </w:p>
  </w:footnote>
  <w:footnote w:type="continuationSeparator" w:id="0">
    <w:p w14:paraId="12B7A270" w14:textId="77777777" w:rsidR="00DC6652" w:rsidRDefault="00DC6652"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5"/>
  </w:num>
  <w:num w:numId="2" w16cid:durableId="707920155">
    <w:abstractNumId w:val="0"/>
  </w:num>
  <w:num w:numId="3" w16cid:durableId="1520006266">
    <w:abstractNumId w:val="1"/>
  </w:num>
  <w:num w:numId="4" w16cid:durableId="1994868198">
    <w:abstractNumId w:val="6"/>
  </w:num>
  <w:num w:numId="5" w16cid:durableId="101999986">
    <w:abstractNumId w:val="3"/>
  </w:num>
  <w:num w:numId="6" w16cid:durableId="1180050603">
    <w:abstractNumId w:val="2"/>
  </w:num>
  <w:num w:numId="7" w16cid:durableId="210267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43942"/>
    <w:rsid w:val="0004737F"/>
    <w:rsid w:val="00085FC6"/>
    <w:rsid w:val="000B4CB6"/>
    <w:rsid w:val="000D0BEE"/>
    <w:rsid w:val="000D6943"/>
    <w:rsid w:val="000F567A"/>
    <w:rsid w:val="00125E68"/>
    <w:rsid w:val="00143A2C"/>
    <w:rsid w:val="0014658E"/>
    <w:rsid w:val="001502B8"/>
    <w:rsid w:val="001B3B8D"/>
    <w:rsid w:val="00212507"/>
    <w:rsid w:val="0022609A"/>
    <w:rsid w:val="00243CB4"/>
    <w:rsid w:val="00251F6B"/>
    <w:rsid w:val="002806F2"/>
    <w:rsid w:val="002B259D"/>
    <w:rsid w:val="002C12E4"/>
    <w:rsid w:val="002C3CA2"/>
    <w:rsid w:val="002C5CC7"/>
    <w:rsid w:val="002E7C8D"/>
    <w:rsid w:val="00346F3A"/>
    <w:rsid w:val="00372A15"/>
    <w:rsid w:val="003A147B"/>
    <w:rsid w:val="003A5EDC"/>
    <w:rsid w:val="003B6C26"/>
    <w:rsid w:val="003C3330"/>
    <w:rsid w:val="003D2F74"/>
    <w:rsid w:val="003F6172"/>
    <w:rsid w:val="0040689A"/>
    <w:rsid w:val="004600F2"/>
    <w:rsid w:val="00464196"/>
    <w:rsid w:val="0046582E"/>
    <w:rsid w:val="0047169E"/>
    <w:rsid w:val="004B495B"/>
    <w:rsid w:val="005041B1"/>
    <w:rsid w:val="00534960"/>
    <w:rsid w:val="00543054"/>
    <w:rsid w:val="00553090"/>
    <w:rsid w:val="00571511"/>
    <w:rsid w:val="005A2590"/>
    <w:rsid w:val="005C7A00"/>
    <w:rsid w:val="005D5138"/>
    <w:rsid w:val="006053FC"/>
    <w:rsid w:val="0064600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7136E8"/>
    <w:rsid w:val="007417F4"/>
    <w:rsid w:val="007504D1"/>
    <w:rsid w:val="007637F1"/>
    <w:rsid w:val="007871FD"/>
    <w:rsid w:val="007D4E9B"/>
    <w:rsid w:val="007E727D"/>
    <w:rsid w:val="0083116C"/>
    <w:rsid w:val="0083436E"/>
    <w:rsid w:val="00863A26"/>
    <w:rsid w:val="00871E0C"/>
    <w:rsid w:val="008D18D4"/>
    <w:rsid w:val="00933C0C"/>
    <w:rsid w:val="00942A54"/>
    <w:rsid w:val="009513A7"/>
    <w:rsid w:val="0098549C"/>
    <w:rsid w:val="00991E3D"/>
    <w:rsid w:val="009B324D"/>
    <w:rsid w:val="009B65B7"/>
    <w:rsid w:val="009C4B7C"/>
    <w:rsid w:val="00A063FF"/>
    <w:rsid w:val="00A071B1"/>
    <w:rsid w:val="00A14EC4"/>
    <w:rsid w:val="00A47455"/>
    <w:rsid w:val="00A51A14"/>
    <w:rsid w:val="00A724C4"/>
    <w:rsid w:val="00A9702F"/>
    <w:rsid w:val="00A97813"/>
    <w:rsid w:val="00AA427E"/>
    <w:rsid w:val="00AD4A99"/>
    <w:rsid w:val="00AE12C5"/>
    <w:rsid w:val="00AF44A3"/>
    <w:rsid w:val="00AF4EF6"/>
    <w:rsid w:val="00B54788"/>
    <w:rsid w:val="00B64762"/>
    <w:rsid w:val="00B760A4"/>
    <w:rsid w:val="00B82553"/>
    <w:rsid w:val="00B87F74"/>
    <w:rsid w:val="00BD55E6"/>
    <w:rsid w:val="00BE115D"/>
    <w:rsid w:val="00C07F46"/>
    <w:rsid w:val="00C2424F"/>
    <w:rsid w:val="00C4037E"/>
    <w:rsid w:val="00C5648C"/>
    <w:rsid w:val="00C56CEF"/>
    <w:rsid w:val="00C91445"/>
    <w:rsid w:val="00CA78A1"/>
    <w:rsid w:val="00D0270B"/>
    <w:rsid w:val="00D35493"/>
    <w:rsid w:val="00D5214B"/>
    <w:rsid w:val="00D635BC"/>
    <w:rsid w:val="00D84A62"/>
    <w:rsid w:val="00D902B0"/>
    <w:rsid w:val="00DA586D"/>
    <w:rsid w:val="00DB3505"/>
    <w:rsid w:val="00DB41D7"/>
    <w:rsid w:val="00DC6652"/>
    <w:rsid w:val="00DE103B"/>
    <w:rsid w:val="00DE63C8"/>
    <w:rsid w:val="00DF1B4B"/>
    <w:rsid w:val="00E07225"/>
    <w:rsid w:val="00E76D4A"/>
    <w:rsid w:val="00E96AE6"/>
    <w:rsid w:val="00EA785D"/>
    <w:rsid w:val="00EC53B9"/>
    <w:rsid w:val="00F44C1C"/>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B8AA02EB-4DDF-4020-ADD6-DA483BDA6DC3}"/>
</file>

<file path=customXml/itemProps3.xml><?xml version="1.0" encoding="utf-8"?>
<ds:datastoreItem xmlns:ds="http://schemas.openxmlformats.org/officeDocument/2006/customXml" ds:itemID="{7BE942BC-D98E-485A-AAA8-A0AF9C1E4846}"/>
</file>

<file path=customXml/itemProps4.xml><?xml version="1.0" encoding="utf-8"?>
<ds:datastoreItem xmlns:ds="http://schemas.openxmlformats.org/officeDocument/2006/customXml" ds:itemID="{FAC1EA32-735C-4E1E-8842-39BCA86679C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282</TotalTime>
  <Pages>4</Pages>
  <Words>1241</Words>
  <Characters>6826</Characters>
  <Application>Microsoft Office Word</Application>
  <DocSecurity>0</DocSecurity>
  <Lines>56</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112</cp:revision>
  <dcterms:created xsi:type="dcterms:W3CDTF">2026-03-03T16:25:00Z</dcterms:created>
  <dcterms:modified xsi:type="dcterms:W3CDTF">2026-03-23T00:21:00Z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