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DCE0" w14:textId="6D36BDC1" w:rsidR="00D16928" w:rsidRPr="00D16928" w:rsidRDefault="00D16928" w:rsidP="00D16928">
      <w:pPr>
        <w:jc w:val="center"/>
        <w:rPr>
          <w:rFonts w:ascii="Verdana" w:hAnsi="Verdana"/>
          <w:b/>
          <w:bCs/>
          <w:sz w:val="22"/>
          <w:szCs w:val="22"/>
        </w:rPr>
      </w:pPr>
      <w:r w:rsidRPr="00ED7DCF">
        <w:rPr>
          <w:rFonts w:ascii="Verdana" w:hAnsi="Verdana"/>
          <w:b/>
          <w:bCs/>
          <w:sz w:val="22"/>
          <w:szCs w:val="22"/>
        </w:rPr>
        <w:t>RESOLUCIÓN 9859 DE 2015</w:t>
      </w:r>
    </w:p>
    <w:p w14:paraId="37FF7C41" w14:textId="3820FBD6" w:rsidR="001A25D7" w:rsidRPr="00D16928" w:rsidRDefault="001A25D7" w:rsidP="001A25D7">
      <w:pPr>
        <w:rPr>
          <w:rFonts w:ascii="Verdana" w:hAnsi="Verdana"/>
          <w:sz w:val="20"/>
          <w:szCs w:val="20"/>
        </w:rPr>
      </w:pPr>
      <w:r w:rsidRPr="00D16928">
        <w:rPr>
          <w:rFonts w:ascii="Verdana" w:hAnsi="Verdana"/>
          <w:sz w:val="20"/>
          <w:szCs w:val="20"/>
        </w:rPr>
        <w:t xml:space="preserve">Fecha de Expedición: </w:t>
      </w:r>
      <w:r w:rsidR="00D16928" w:rsidRPr="00D16928">
        <w:rPr>
          <w:rFonts w:ascii="Verdana" w:hAnsi="Verdana"/>
          <w:sz w:val="20"/>
          <w:szCs w:val="20"/>
        </w:rPr>
        <w:t>19 de noviembre de 2015</w:t>
      </w:r>
    </w:p>
    <w:p w14:paraId="5F4E9F8E" w14:textId="1330E992" w:rsidR="001A25D7" w:rsidRPr="00D16928" w:rsidRDefault="001A25D7" w:rsidP="001A25D7">
      <w:pPr>
        <w:rPr>
          <w:rFonts w:ascii="Verdana" w:hAnsi="Verdana"/>
          <w:sz w:val="20"/>
          <w:szCs w:val="20"/>
        </w:rPr>
      </w:pPr>
      <w:r w:rsidRPr="00D16928">
        <w:rPr>
          <w:rFonts w:ascii="Verdana" w:hAnsi="Verdana"/>
          <w:sz w:val="20"/>
          <w:szCs w:val="20"/>
        </w:rPr>
        <w:t xml:space="preserve">Fecha de entrada en vigencia: </w:t>
      </w:r>
      <w:r w:rsidR="00D16928" w:rsidRPr="00D16928">
        <w:rPr>
          <w:rFonts w:ascii="Verdana" w:hAnsi="Verdana"/>
          <w:sz w:val="20"/>
          <w:szCs w:val="20"/>
        </w:rPr>
        <w:t>19 de noviembre de 2015</w:t>
      </w:r>
    </w:p>
    <w:p w14:paraId="664BF189" w14:textId="77777777" w:rsidR="001A25D7" w:rsidRPr="00D16928" w:rsidRDefault="001A25D7" w:rsidP="001A25D7">
      <w:pPr>
        <w:rPr>
          <w:rFonts w:ascii="Verdana" w:hAnsi="Verdana"/>
          <w:sz w:val="20"/>
          <w:szCs w:val="20"/>
        </w:rPr>
      </w:pPr>
      <w:r w:rsidRPr="00D16928">
        <w:rPr>
          <w:rFonts w:ascii="Verdana" w:hAnsi="Verdana"/>
          <w:sz w:val="20"/>
          <w:szCs w:val="20"/>
        </w:rPr>
        <w:t>Estado de la vigencia: vigente</w:t>
      </w:r>
      <w:r w:rsidRPr="00D16928">
        <w:rPr>
          <w:rFonts w:ascii="Verdana" w:hAnsi="Verdana"/>
          <w:sz w:val="20"/>
          <w:szCs w:val="20"/>
        </w:rPr>
        <w:tab/>
      </w:r>
    </w:p>
    <w:p w14:paraId="0A7E04A4" w14:textId="77777777" w:rsidR="001A25D7" w:rsidRPr="00D16928" w:rsidRDefault="001A25D7" w:rsidP="001A25D7">
      <w:pPr>
        <w:rPr>
          <w:rFonts w:ascii="Verdana" w:hAnsi="Verdana"/>
          <w:sz w:val="20"/>
          <w:szCs w:val="20"/>
        </w:rPr>
      </w:pPr>
    </w:p>
    <w:p w14:paraId="1F84C253" w14:textId="77777777" w:rsidR="001A25D7" w:rsidRPr="00D16928" w:rsidRDefault="001A25D7" w:rsidP="001A25D7">
      <w:pPr>
        <w:rPr>
          <w:rFonts w:ascii="Verdana" w:hAnsi="Verdana"/>
          <w:sz w:val="20"/>
          <w:szCs w:val="20"/>
        </w:rPr>
      </w:pPr>
      <w:r w:rsidRPr="00D16928">
        <w:rPr>
          <w:rFonts w:ascii="Verdana" w:hAnsi="Verdana"/>
          <w:sz w:val="20"/>
          <w:szCs w:val="20"/>
        </w:rPr>
        <w:t>Fecha de publicación en Diario Oficial: N/A</w:t>
      </w:r>
    </w:p>
    <w:p w14:paraId="78C1A5B8" w14:textId="42B14323" w:rsidR="001A25D7" w:rsidRPr="00D16928" w:rsidRDefault="001A25D7" w:rsidP="00D16928">
      <w:pPr>
        <w:rPr>
          <w:rFonts w:ascii="Verdana" w:hAnsi="Verdana"/>
          <w:sz w:val="20"/>
          <w:szCs w:val="20"/>
        </w:rPr>
      </w:pPr>
      <w:r w:rsidRPr="00D16928">
        <w:rPr>
          <w:rFonts w:ascii="Verdana" w:hAnsi="Verdana"/>
          <w:sz w:val="20"/>
          <w:szCs w:val="20"/>
        </w:rPr>
        <w:t>Número del Diario Oficial: N/A</w:t>
      </w:r>
    </w:p>
    <w:p w14:paraId="2A79A2A9" w14:textId="34CE9499" w:rsidR="001057C1" w:rsidRPr="00ED7DCF" w:rsidRDefault="001057C1" w:rsidP="00D16928">
      <w:pPr>
        <w:jc w:val="center"/>
        <w:rPr>
          <w:rFonts w:ascii="Verdana" w:hAnsi="Verdana"/>
          <w:b/>
          <w:bCs/>
          <w:sz w:val="22"/>
          <w:szCs w:val="22"/>
        </w:rPr>
      </w:pPr>
      <w:r w:rsidRPr="00ED7DCF">
        <w:rPr>
          <w:rFonts w:ascii="Verdana" w:hAnsi="Verdana"/>
          <w:b/>
          <w:bCs/>
          <w:sz w:val="22"/>
          <w:szCs w:val="22"/>
        </w:rPr>
        <w:t>RESOLUCIÓN 9859 DE 2015</w:t>
      </w:r>
    </w:p>
    <w:p w14:paraId="176200DE" w14:textId="58DA7DDF" w:rsidR="001057C1" w:rsidRPr="00ED7DCF" w:rsidRDefault="001057C1" w:rsidP="00ED7DCF">
      <w:pPr>
        <w:jc w:val="center"/>
        <w:rPr>
          <w:rFonts w:ascii="Verdana" w:hAnsi="Verdana"/>
          <w:b/>
          <w:bCs/>
          <w:sz w:val="22"/>
          <w:szCs w:val="22"/>
        </w:rPr>
      </w:pPr>
      <w:r w:rsidRPr="00ED7DCF">
        <w:rPr>
          <w:rFonts w:ascii="Verdana" w:hAnsi="Verdana"/>
          <w:b/>
          <w:bCs/>
          <w:sz w:val="22"/>
          <w:szCs w:val="22"/>
        </w:rPr>
        <w:t>(</w:t>
      </w:r>
      <w:r w:rsidR="00ED7DCF" w:rsidRPr="00ED7DCF">
        <w:rPr>
          <w:rFonts w:ascii="Verdana" w:hAnsi="Verdana"/>
          <w:b/>
          <w:bCs/>
          <w:sz w:val="22"/>
          <w:szCs w:val="22"/>
        </w:rPr>
        <w:t xml:space="preserve">19 de </w:t>
      </w:r>
      <w:r w:rsidRPr="00ED7DCF">
        <w:rPr>
          <w:rFonts w:ascii="Verdana" w:hAnsi="Verdana"/>
          <w:b/>
          <w:bCs/>
          <w:sz w:val="22"/>
          <w:szCs w:val="22"/>
        </w:rPr>
        <w:t>noviembre)</w:t>
      </w:r>
    </w:p>
    <w:p w14:paraId="1D408082" w14:textId="5F8DB7C4" w:rsidR="001057C1" w:rsidRPr="00ED7DCF" w:rsidRDefault="001057C1" w:rsidP="00ED7DCF">
      <w:pPr>
        <w:jc w:val="center"/>
        <w:rPr>
          <w:rFonts w:ascii="Verdana" w:hAnsi="Verdana"/>
          <w:b/>
          <w:bCs/>
          <w:sz w:val="22"/>
          <w:szCs w:val="22"/>
        </w:rPr>
      </w:pPr>
      <w:r w:rsidRPr="00ED7DCF">
        <w:rPr>
          <w:rFonts w:ascii="Verdana" w:hAnsi="Verdana"/>
          <w:b/>
          <w:bCs/>
          <w:sz w:val="22"/>
          <w:szCs w:val="22"/>
        </w:rPr>
        <w:t>INSTITUTO COLOMBIANO DE BIENESTAR FAMILIAR</w:t>
      </w:r>
    </w:p>
    <w:p w14:paraId="5301DEDD" w14:textId="77819822" w:rsidR="001057C1" w:rsidRPr="00ED7DCF" w:rsidRDefault="00ED7DCF" w:rsidP="00ED7DCF">
      <w:pPr>
        <w:jc w:val="center"/>
        <w:rPr>
          <w:rFonts w:ascii="Verdana" w:hAnsi="Verdana"/>
          <w:sz w:val="22"/>
          <w:szCs w:val="22"/>
        </w:rPr>
      </w:pPr>
      <w:r>
        <w:rPr>
          <w:rFonts w:ascii="Verdana" w:hAnsi="Verdana"/>
          <w:sz w:val="22"/>
          <w:szCs w:val="22"/>
        </w:rPr>
        <w:t>“</w:t>
      </w:r>
      <w:r w:rsidR="001057C1" w:rsidRPr="001057C1">
        <w:rPr>
          <w:rFonts w:ascii="Verdana" w:hAnsi="Verdana"/>
          <w:sz w:val="22"/>
          <w:szCs w:val="22"/>
        </w:rPr>
        <w:t>Por la cual se otorga delegación especial al Director de la Regional Chocó del ICBF o quien haga sus veces, para llevar a cabo proceso de selección Abreviada mediante Subasta Inversa Presencial.</w:t>
      </w:r>
      <w:r>
        <w:rPr>
          <w:rFonts w:ascii="Verdana" w:hAnsi="Verdana"/>
          <w:sz w:val="22"/>
          <w:szCs w:val="22"/>
        </w:rPr>
        <w:t>”</w:t>
      </w:r>
    </w:p>
    <w:p w14:paraId="7DE0988F" w14:textId="3B75F657" w:rsidR="001057C1" w:rsidRPr="00ED7DCF" w:rsidRDefault="001057C1" w:rsidP="00ED7DCF">
      <w:pPr>
        <w:jc w:val="center"/>
        <w:rPr>
          <w:rFonts w:ascii="Verdana" w:hAnsi="Verdana"/>
          <w:b/>
          <w:bCs/>
          <w:sz w:val="22"/>
          <w:szCs w:val="22"/>
        </w:rPr>
      </w:pPr>
      <w:r w:rsidRPr="00ED7DCF">
        <w:rPr>
          <w:rFonts w:ascii="Verdana" w:hAnsi="Verdana"/>
          <w:b/>
          <w:bCs/>
          <w:sz w:val="22"/>
          <w:szCs w:val="22"/>
        </w:rPr>
        <w:t>LA DIRECTORA GENERAL DEL INSTITUTO COLOMBIANO DE BIENESTAR FAMILIAR - CECILIA DE LA FUENTE DE LLERAS-ICBF</w:t>
      </w:r>
    </w:p>
    <w:p w14:paraId="20E2530F" w14:textId="5E184ACF" w:rsidR="001057C1" w:rsidRPr="001057C1" w:rsidRDefault="001057C1" w:rsidP="00B1415F">
      <w:pPr>
        <w:jc w:val="center"/>
        <w:rPr>
          <w:rFonts w:ascii="Verdana" w:hAnsi="Verdana"/>
          <w:sz w:val="22"/>
          <w:szCs w:val="22"/>
        </w:rPr>
      </w:pPr>
      <w:r w:rsidRPr="001057C1">
        <w:rPr>
          <w:rFonts w:ascii="Verdana" w:hAnsi="Verdana"/>
          <w:sz w:val="22"/>
          <w:szCs w:val="22"/>
        </w:rPr>
        <w:t>En uso de sus atribuciones legales y en especial las conferidas en el numeral 9. del artículo 21 de la Ley 7a de 1979, el artículo 12 de la Ley 80 de 1993 -modificado por el artículo 21 de la Ley 1150 de 2007-, los artículos 9o, 12o, y 81o de la Ley 489 de 1998, los artículos 37 y 122 del Decreto Nacional 2150 de 1995, el artículo 2 del Decreto Nacional 0987 de 2012, el Decreto Nacional 1082 de 2015, los artículos 27 y ss del Decreto 334 de 1980, y el Manual de Contratación del ICBF vigente y,</w:t>
      </w:r>
    </w:p>
    <w:p w14:paraId="7D9889DC" w14:textId="66AC41E7" w:rsidR="001057C1" w:rsidRPr="000827D6" w:rsidRDefault="001057C1" w:rsidP="000827D6">
      <w:pPr>
        <w:jc w:val="center"/>
        <w:rPr>
          <w:rFonts w:ascii="Verdana" w:hAnsi="Verdana"/>
          <w:b/>
          <w:bCs/>
          <w:sz w:val="22"/>
          <w:szCs w:val="22"/>
        </w:rPr>
      </w:pPr>
      <w:r w:rsidRPr="000827D6">
        <w:rPr>
          <w:rFonts w:ascii="Verdana" w:hAnsi="Verdana"/>
          <w:b/>
          <w:bCs/>
          <w:sz w:val="22"/>
          <w:szCs w:val="22"/>
        </w:rPr>
        <w:t>CONSIDERANDO:</w:t>
      </w:r>
    </w:p>
    <w:p w14:paraId="3FD916A6" w14:textId="0E0068E3" w:rsidR="001057C1" w:rsidRPr="000827D6" w:rsidRDefault="001057C1" w:rsidP="001057C1">
      <w:pPr>
        <w:pStyle w:val="Prrafodelista"/>
        <w:numPr>
          <w:ilvl w:val="0"/>
          <w:numId w:val="1"/>
        </w:numPr>
        <w:rPr>
          <w:rFonts w:ascii="Verdana" w:hAnsi="Verdana"/>
          <w:sz w:val="22"/>
          <w:szCs w:val="22"/>
        </w:rPr>
      </w:pPr>
      <w:r w:rsidRPr="000827D6">
        <w:rPr>
          <w:rFonts w:ascii="Verdana" w:hAnsi="Verdana"/>
          <w:sz w:val="22"/>
          <w:szCs w:val="22"/>
        </w:rPr>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6204D5C2" w14:textId="734A9169" w:rsidR="001057C1" w:rsidRPr="000827D6" w:rsidRDefault="001057C1" w:rsidP="001057C1">
      <w:pPr>
        <w:pStyle w:val="Prrafodelista"/>
        <w:numPr>
          <w:ilvl w:val="0"/>
          <w:numId w:val="1"/>
        </w:numPr>
        <w:rPr>
          <w:rFonts w:ascii="Verdana" w:hAnsi="Verdana"/>
          <w:sz w:val="22"/>
          <w:szCs w:val="22"/>
        </w:rPr>
      </w:pPr>
      <w:r w:rsidRPr="000827D6">
        <w:rPr>
          <w:rFonts w:ascii="Verdana" w:hAnsi="Verdana"/>
          <w:sz w:val="22"/>
          <w:szCs w:val="22"/>
        </w:rPr>
        <w:t>Que igualmente, el artículo 21 de la Ley 1150 de 2007, adicionó el inciso segundo al artículo 12 de la Ley 80 de 1993 en el cual estableció "En ningún caso, los jefes y representantes legales de las entidades estatales quedarán exonerados por virtud de la delegación de sus deberes de control y vigilancia de la actividad precontractual y contractual”.</w:t>
      </w:r>
    </w:p>
    <w:p w14:paraId="276D2B50" w14:textId="795683C7" w:rsidR="001057C1" w:rsidRPr="000827D6" w:rsidRDefault="001057C1" w:rsidP="001057C1">
      <w:pPr>
        <w:pStyle w:val="Prrafodelista"/>
        <w:numPr>
          <w:ilvl w:val="0"/>
          <w:numId w:val="1"/>
        </w:numPr>
        <w:rPr>
          <w:rFonts w:ascii="Verdana" w:hAnsi="Verdana"/>
          <w:sz w:val="22"/>
          <w:szCs w:val="22"/>
        </w:rPr>
      </w:pPr>
      <w:r w:rsidRPr="000827D6">
        <w:rPr>
          <w:rFonts w:ascii="Verdana" w:hAnsi="Verdana"/>
          <w:sz w:val="22"/>
          <w:szCs w:val="22"/>
        </w:rPr>
        <w:t>Que en este orden de ideas, y de conformidad con lo dispuesto en el artículo 11 de la Ley 80 de 1993, la competencia para dirigir los procedimientos de los recursos del ICBF y seleccionar a los contratistas, estará en cabeza de la Directora General.</w:t>
      </w:r>
    </w:p>
    <w:p w14:paraId="40392C99" w14:textId="10D7D1A6" w:rsidR="001057C1" w:rsidRPr="000827D6" w:rsidRDefault="001057C1" w:rsidP="001057C1">
      <w:pPr>
        <w:pStyle w:val="Prrafodelista"/>
        <w:numPr>
          <w:ilvl w:val="0"/>
          <w:numId w:val="1"/>
        </w:numPr>
        <w:rPr>
          <w:rFonts w:ascii="Verdana" w:hAnsi="Verdana"/>
          <w:sz w:val="22"/>
          <w:szCs w:val="22"/>
        </w:rPr>
      </w:pPr>
      <w:r w:rsidRPr="000827D6">
        <w:rPr>
          <w:rFonts w:ascii="Verdana" w:hAnsi="Verdana"/>
          <w:sz w:val="22"/>
          <w:szCs w:val="22"/>
        </w:rPr>
        <w:t xml:space="preserve">Que el artículo 9° de la Ley 489 de 1998 establece que las autoridades administrativas en virtud de lo dispuesto en la Constitución Política y de </w:t>
      </w:r>
      <w:r w:rsidRPr="000827D6">
        <w:rPr>
          <w:rFonts w:ascii="Verdana" w:hAnsi="Verdana"/>
          <w:sz w:val="22"/>
          <w:szCs w:val="22"/>
        </w:rPr>
        <w:lastRenderedPageBreak/>
        <w:t>conformidad con lo dispuesto en esa Ley, podrán mediante acto administrativo delegar el ejercicio de funciones a sus colaboradores, con el fin de lograr la optimización de los procesos administrativos y financieros, para que se ajusten al desarrollo de la Entidad.</w:t>
      </w:r>
    </w:p>
    <w:p w14:paraId="3C0EA307" w14:textId="1293ACDE" w:rsidR="001057C1" w:rsidRPr="000827D6" w:rsidRDefault="001057C1" w:rsidP="001057C1">
      <w:pPr>
        <w:pStyle w:val="Prrafodelista"/>
        <w:numPr>
          <w:ilvl w:val="0"/>
          <w:numId w:val="1"/>
        </w:numPr>
        <w:rPr>
          <w:rFonts w:ascii="Verdana" w:hAnsi="Verdana"/>
          <w:sz w:val="22"/>
          <w:szCs w:val="22"/>
        </w:rPr>
      </w:pPr>
      <w:r w:rsidRPr="000827D6">
        <w:rPr>
          <w:rFonts w:ascii="Verdana" w:hAnsi="Verdana"/>
          <w:sz w:val="22"/>
          <w:szCs w:val="22"/>
        </w:rPr>
        <w:t>Que el artículo 12 de la Ley mencionada establece que la delegación exime de responsabilidad al delegante, la cual corresponderá exclusivamente al delegatario, sin perjuicio de que en virtud de lo dispuesto en el artículo 211 de la Constitución Política, la autoridad delegante pueda en cualquier tiempo reasumir la competencia y revisar los actos expedidos por el delegatario, con sujeción a las disposiciones del Código Contencioso Administrativo.</w:t>
      </w:r>
    </w:p>
    <w:p w14:paraId="136E7B46" w14:textId="235132BE" w:rsidR="001057C1" w:rsidRPr="000827D6" w:rsidRDefault="001057C1" w:rsidP="001057C1">
      <w:pPr>
        <w:pStyle w:val="Prrafodelista"/>
        <w:numPr>
          <w:ilvl w:val="0"/>
          <w:numId w:val="1"/>
        </w:numPr>
        <w:rPr>
          <w:rFonts w:ascii="Verdana" w:hAnsi="Verdana"/>
          <w:sz w:val="22"/>
          <w:szCs w:val="22"/>
        </w:rPr>
      </w:pPr>
      <w:r w:rsidRPr="000827D6">
        <w:rPr>
          <w:rFonts w:ascii="Verdana" w:hAnsi="Verdana"/>
          <w:sz w:val="22"/>
          <w:szCs w:val="22"/>
        </w:rPr>
        <w:t>Que en consecuencia es necesario definir con precisión las facultades que involucra el concepto de Ordenación del Gasto, tomando como referente lo manifestado por la Corte Constitucional, en los siguientes términos: “El concepto de ordenador del gasto se refiere a la capacidad de ejecución del presupuesto. Ejecutar el gasto, significa que, a partir del programa de gastos aprobado -limitado por los recursos aprobados en la ley de presupuesto se decide la oportunidad de contratar comprometer los recursos y ordenar el gasto, funciones que atañen al ordenador del gasto (…)”</w:t>
      </w:r>
      <w:r w:rsidR="000827D6">
        <w:rPr>
          <w:rStyle w:val="Refdenotaalfinal"/>
          <w:rFonts w:ascii="Verdana" w:hAnsi="Verdana"/>
          <w:sz w:val="22"/>
          <w:szCs w:val="22"/>
        </w:rPr>
        <w:endnoteReference w:id="1"/>
      </w:r>
    </w:p>
    <w:p w14:paraId="563A71F4" w14:textId="5F869C43" w:rsidR="001057C1" w:rsidRPr="008A2A9D" w:rsidRDefault="001057C1" w:rsidP="001057C1">
      <w:pPr>
        <w:pStyle w:val="Prrafodelista"/>
        <w:numPr>
          <w:ilvl w:val="0"/>
          <w:numId w:val="1"/>
        </w:numPr>
        <w:rPr>
          <w:rFonts w:ascii="Verdana" w:hAnsi="Verdana"/>
          <w:sz w:val="22"/>
          <w:szCs w:val="22"/>
        </w:rPr>
      </w:pPr>
      <w:r w:rsidRPr="000827D6">
        <w:rPr>
          <w:rFonts w:ascii="Verdana" w:hAnsi="Verdana"/>
          <w:sz w:val="22"/>
          <w:szCs w:val="22"/>
        </w:rPr>
        <w:t>Que en el mismo sentido, esa Corporación también expresó: “(...) 5. Esta Corporación ha tenido oportunidad de definir el concepto de ordenación del gasto y los elementos que este comporta. De igual forma, ha determinado que la función</w:t>
      </w:r>
      <w:r w:rsidR="00201D86">
        <w:rPr>
          <w:rFonts w:ascii="Verdana" w:hAnsi="Verdana"/>
          <w:sz w:val="22"/>
          <w:szCs w:val="22"/>
        </w:rPr>
        <w:t xml:space="preserve"> </w:t>
      </w:r>
      <w:r w:rsidRPr="00201D86">
        <w:rPr>
          <w:rFonts w:ascii="Verdana" w:hAnsi="Verdana"/>
          <w:sz w:val="22"/>
          <w:szCs w:val="22"/>
        </w:rPr>
        <w:t>de ordenación del gasto configura, junto con las atribuciones de contratación y de disposición de los recursos previamente apropiados, el núcleo esencial de la autonomía presupuestal que caracteriza a determinados órganos estatales, a los cuales la Constitución o la ley les otorga esta prerrogativa.”..</w:t>
      </w:r>
      <w:r w:rsidR="00201D86">
        <w:rPr>
          <w:rStyle w:val="Refdenotaalfinal"/>
          <w:rFonts w:ascii="Verdana" w:hAnsi="Verdana"/>
          <w:sz w:val="22"/>
          <w:szCs w:val="22"/>
        </w:rPr>
        <w:endnoteReference w:id="2"/>
      </w:r>
    </w:p>
    <w:p w14:paraId="7A49996A" w14:textId="6F677345" w:rsidR="001057C1" w:rsidRPr="008A2A9D" w:rsidRDefault="001057C1" w:rsidP="001057C1">
      <w:pPr>
        <w:pStyle w:val="Prrafodelista"/>
        <w:numPr>
          <w:ilvl w:val="0"/>
          <w:numId w:val="1"/>
        </w:numPr>
        <w:rPr>
          <w:rFonts w:ascii="Verdana" w:hAnsi="Verdana"/>
          <w:sz w:val="22"/>
          <w:szCs w:val="22"/>
        </w:rPr>
      </w:pPr>
      <w:r w:rsidRPr="000827D6">
        <w:rPr>
          <w:rFonts w:ascii="Verdana" w:hAnsi="Verdana"/>
          <w:sz w:val="22"/>
          <w:szCs w:val="22"/>
        </w:rPr>
        <w:t>Que en consecuencia, está plenamente acreditado que la función o competencia de ordenación del gasto y administración de los recursos del ICBF, por disposición legal está radicada en cabeza del Jefe o Representante Legal de la Entidad.</w:t>
      </w:r>
    </w:p>
    <w:p w14:paraId="3B5B5C0B" w14:textId="18CFC881" w:rsidR="001057C1" w:rsidRPr="008A2A9D" w:rsidRDefault="001057C1" w:rsidP="001057C1">
      <w:pPr>
        <w:pStyle w:val="Prrafodelista"/>
        <w:numPr>
          <w:ilvl w:val="0"/>
          <w:numId w:val="1"/>
        </w:numPr>
        <w:rPr>
          <w:rFonts w:ascii="Verdana" w:hAnsi="Verdana"/>
          <w:sz w:val="22"/>
          <w:szCs w:val="22"/>
        </w:rPr>
      </w:pPr>
      <w:r w:rsidRPr="000827D6">
        <w:rPr>
          <w:rFonts w:ascii="Verdana" w:hAnsi="Verdana"/>
          <w:sz w:val="22"/>
          <w:szCs w:val="22"/>
        </w:rPr>
        <w:t>Que el numeral 1.3 del Manual de Contratación del ICBF vigente indica: “(...) El Director (a) General, de conformidad con lo establecido en el artículo 9 de la Ley 489 de 1998 y el artículo 21 de la Ley 1150 de 2007, delega las facultades en materia de ordenación del gasto, dirección de los procesos de selección y celebración de los contratos y/o convenios que se describen a continuación, sin perjuicio de su facultad de reasumir en cualquier tiempo las facultades delegadas y revisar y/o revocarlos actos expedidos por los ordenadores del gasto, con sujeción en las disposiciones del Código de Procedimiento Administrativo y de lo Contencioso Administrativo (…)”.</w:t>
      </w:r>
    </w:p>
    <w:p w14:paraId="496DB158" w14:textId="2219E95C" w:rsidR="001057C1" w:rsidRPr="008A2A9D" w:rsidRDefault="001057C1" w:rsidP="001057C1">
      <w:pPr>
        <w:pStyle w:val="Prrafodelista"/>
        <w:numPr>
          <w:ilvl w:val="0"/>
          <w:numId w:val="1"/>
        </w:numPr>
        <w:rPr>
          <w:rFonts w:ascii="Verdana" w:hAnsi="Verdana"/>
          <w:sz w:val="22"/>
          <w:szCs w:val="22"/>
        </w:rPr>
      </w:pPr>
      <w:r w:rsidRPr="000827D6">
        <w:rPr>
          <w:rFonts w:ascii="Verdana" w:hAnsi="Verdana"/>
          <w:sz w:val="22"/>
          <w:szCs w:val="22"/>
        </w:rPr>
        <w:t>Que el numeral 1.4.4 del Manual de Contratación vigente, se delega en los (as) Directores (as) Regionales, entre otras la siguiente función: “1. La ordenación del gasto y el ejercicio de la facultad para dirigir los procesos de selección y celebrarlos contratos y/o convenios cuya ejecución se desarrolle en forma exclusiva en el territorio de su jurisdicción, por cuantía de hasta por 1.000 SMLMV (...)”.</w:t>
      </w:r>
    </w:p>
    <w:p w14:paraId="01AA618D" w14:textId="709DA825" w:rsidR="001057C1" w:rsidRPr="008A2A9D" w:rsidRDefault="001057C1" w:rsidP="001057C1">
      <w:pPr>
        <w:pStyle w:val="Prrafodelista"/>
        <w:numPr>
          <w:ilvl w:val="0"/>
          <w:numId w:val="1"/>
        </w:numPr>
        <w:rPr>
          <w:rFonts w:ascii="Verdana" w:hAnsi="Verdana"/>
          <w:sz w:val="22"/>
          <w:szCs w:val="22"/>
        </w:rPr>
      </w:pPr>
      <w:r w:rsidRPr="000827D6">
        <w:rPr>
          <w:rFonts w:ascii="Verdana" w:hAnsi="Verdana"/>
          <w:sz w:val="22"/>
          <w:szCs w:val="22"/>
        </w:rPr>
        <w:lastRenderedPageBreak/>
        <w:t>Que el Instituto Colombiano de Bienestar Familiar Regional Chocó, requiere contratar el servicio de transporte especial para garantizar la movilidad de los funcionarios a diferentes lugares en cumplimiento de su labor misional asignada.</w:t>
      </w:r>
    </w:p>
    <w:p w14:paraId="7083F1C6" w14:textId="1F9F92D3" w:rsidR="001057C1" w:rsidRPr="008A2A9D" w:rsidRDefault="001057C1" w:rsidP="001057C1">
      <w:pPr>
        <w:pStyle w:val="Prrafodelista"/>
        <w:numPr>
          <w:ilvl w:val="0"/>
          <w:numId w:val="1"/>
        </w:numPr>
        <w:rPr>
          <w:rFonts w:ascii="Verdana" w:hAnsi="Verdana"/>
          <w:sz w:val="22"/>
          <w:szCs w:val="22"/>
        </w:rPr>
      </w:pPr>
      <w:r w:rsidRPr="000827D6">
        <w:rPr>
          <w:rFonts w:ascii="Verdana" w:hAnsi="Verdana"/>
          <w:sz w:val="22"/>
          <w:szCs w:val="22"/>
        </w:rPr>
        <w:t>Que el servicio de transporte para los funcionarios del ICBF Regional Chocó se prestará de manera ininterrumpida, teniendo en cuenta la normatividad relacionada con el servicio público de transporte terrestre automotor especial, en vehículos tipo y camioneta 4X4 o 4X2 y Van Cerradas con capacidad de 4 a 7 pasajeros, debidamente avalados e identificados con la modalidad del transporte contratado de conformidad con el Decreto 348 de 2015, el Decreto No. 3366 de noviembre 21 de 2003, la Resolución No. 10800 de diciembre 12 de 2003 del Ministerio de Transporte, la Ley 769 de noviembre de 2002 Nuevo Código Nacional de Tránsito, la Resolución No.1122 del 26 de mayo de 2005, y las demás normas establecidas para el tránsito vehicular y para el transporte especial y las normas que las modifiquen, sustituyan a complementen. En consideración a lo anterior, EL ICBF cuenta con el presupuesto suficiente para este gasto.</w:t>
      </w:r>
    </w:p>
    <w:p w14:paraId="5A2FF8B6" w14:textId="0A25E071" w:rsidR="001057C1" w:rsidRPr="008A2A9D" w:rsidRDefault="001057C1" w:rsidP="001057C1">
      <w:pPr>
        <w:pStyle w:val="Prrafodelista"/>
        <w:numPr>
          <w:ilvl w:val="0"/>
          <w:numId w:val="1"/>
        </w:numPr>
        <w:rPr>
          <w:rFonts w:ascii="Verdana" w:hAnsi="Verdana"/>
          <w:sz w:val="22"/>
          <w:szCs w:val="22"/>
        </w:rPr>
      </w:pPr>
      <w:r w:rsidRPr="000827D6">
        <w:rPr>
          <w:rFonts w:ascii="Verdana" w:hAnsi="Verdana"/>
          <w:sz w:val="22"/>
          <w:szCs w:val="22"/>
        </w:rPr>
        <w:t>Que por lo anterior y atendiendo a factores de economía administrativa y financiera resulta de mayor beneficio contratar con una empresa de transporte especializada en este servicio, razón por la cual se iniciara el proceso de selección para la celebración de un contrato de prestación del servicio de transporte terrestre automotor especial, de conformidad con la normatividad vigente tanto en materia de contratación estatal como en lo que al régimen especial para el servicio de transporte corresponde.</w:t>
      </w:r>
    </w:p>
    <w:p w14:paraId="30C150ED" w14:textId="03136BA6" w:rsidR="001057C1" w:rsidRPr="008A2A9D" w:rsidRDefault="001057C1" w:rsidP="001057C1">
      <w:pPr>
        <w:pStyle w:val="Prrafodelista"/>
        <w:numPr>
          <w:ilvl w:val="0"/>
          <w:numId w:val="1"/>
        </w:numPr>
        <w:rPr>
          <w:rFonts w:ascii="Verdana" w:hAnsi="Verdana"/>
          <w:sz w:val="22"/>
          <w:szCs w:val="22"/>
        </w:rPr>
      </w:pPr>
      <w:r w:rsidRPr="000827D6">
        <w:rPr>
          <w:rFonts w:ascii="Verdana" w:hAnsi="Verdana"/>
          <w:sz w:val="22"/>
          <w:szCs w:val="22"/>
        </w:rPr>
        <w:t>Que dado que los servidores público que laboran en el ICF Regional Chocó necesitan desplazarse dentro del área urbana, rural, otros Municipios fuera y dentro del Departamento, cuando se requiera, se hace necesario contratar el servicio de transporte Terrestre Automotor especial que constituya un medio seguro y rápido, teniendo en cuenta que el ICBF debe garantizar la continuidad del servicio de transporte para apoyo de las funciones misionales de la entidad como verificación de denuncias de maltrato, estudios socio familiares tanto de PRD y de SRPA, visitas de supervisión, gestiones de tipo administrativos de la entidad ya que el no contar con este servicio genera traumatismos en los procesos misionales afectado en algunos casos el interés superior de los NNA.</w:t>
      </w:r>
    </w:p>
    <w:p w14:paraId="560A08A8" w14:textId="46884A56" w:rsidR="001057C1" w:rsidRPr="008A2A9D" w:rsidRDefault="001057C1" w:rsidP="001057C1">
      <w:pPr>
        <w:pStyle w:val="Prrafodelista"/>
        <w:numPr>
          <w:ilvl w:val="0"/>
          <w:numId w:val="1"/>
        </w:numPr>
        <w:rPr>
          <w:rFonts w:ascii="Verdana" w:hAnsi="Verdana"/>
          <w:sz w:val="22"/>
          <w:szCs w:val="22"/>
        </w:rPr>
      </w:pPr>
      <w:r w:rsidRPr="000827D6">
        <w:rPr>
          <w:rFonts w:ascii="Verdana" w:hAnsi="Verdana"/>
          <w:sz w:val="22"/>
          <w:szCs w:val="22"/>
        </w:rPr>
        <w:t>Que el objeto del proceso de selección que se pretende adelantar consiste en “Prestar el servicio Público de Transporte Automotor especial para el Instituto Colombiano de Bienestar Familiar Regional Chocó durante las vigencias 2015, 2016, 2017 y 2018", para la Sede Administrativa de la Regional, Centros Zonales Quibdó, Istmina y Tadó, lo cual fue aprobado en comité de contratación celebrado el día 18 de noviembre de 2015 según Acta No. 13 del mismo día.</w:t>
      </w:r>
    </w:p>
    <w:p w14:paraId="59FAF71D" w14:textId="77777777" w:rsidR="001057C1" w:rsidRPr="000827D6" w:rsidRDefault="001057C1" w:rsidP="000827D6">
      <w:pPr>
        <w:pStyle w:val="Prrafodelista"/>
        <w:numPr>
          <w:ilvl w:val="0"/>
          <w:numId w:val="1"/>
        </w:numPr>
        <w:rPr>
          <w:rFonts w:ascii="Verdana" w:hAnsi="Verdana"/>
          <w:sz w:val="22"/>
          <w:szCs w:val="22"/>
        </w:rPr>
      </w:pPr>
      <w:r w:rsidRPr="000827D6">
        <w:rPr>
          <w:rFonts w:ascii="Verdana" w:hAnsi="Verdana"/>
          <w:sz w:val="22"/>
          <w:szCs w:val="22"/>
        </w:rPr>
        <w:t>Que el valor del proceso de selección que se pretende adelantar supera la cuantía de 1.000 SMLMV.</w:t>
      </w:r>
    </w:p>
    <w:p w14:paraId="0BE6FB77" w14:textId="77777777" w:rsidR="001057C1" w:rsidRPr="001057C1" w:rsidRDefault="001057C1" w:rsidP="001057C1">
      <w:pPr>
        <w:rPr>
          <w:rFonts w:ascii="Verdana" w:hAnsi="Verdana"/>
          <w:sz w:val="22"/>
          <w:szCs w:val="22"/>
        </w:rPr>
      </w:pPr>
    </w:p>
    <w:p w14:paraId="21BA90B2" w14:textId="3FC8FF01" w:rsidR="001057C1" w:rsidRPr="008A2A9D" w:rsidRDefault="001057C1" w:rsidP="001057C1">
      <w:pPr>
        <w:pStyle w:val="Prrafodelista"/>
        <w:numPr>
          <w:ilvl w:val="0"/>
          <w:numId w:val="1"/>
        </w:numPr>
        <w:rPr>
          <w:rFonts w:ascii="Verdana" w:hAnsi="Verdana"/>
          <w:sz w:val="22"/>
          <w:szCs w:val="22"/>
        </w:rPr>
      </w:pPr>
      <w:r w:rsidRPr="000827D6">
        <w:rPr>
          <w:rFonts w:ascii="Verdana" w:hAnsi="Verdana"/>
          <w:sz w:val="22"/>
          <w:szCs w:val="22"/>
        </w:rPr>
        <w:lastRenderedPageBreak/>
        <w:t>Que el día 19 de noviembre de 2015, la Regional Chocó, mediante correo electrónico dirigido a la Directora de Contratación solicita la delegación especial del Director Regional, a fin de dirigir y llevar hasta su adjudicación el proceso de selección para la contratación cuyo objeto será “Prestar el servicio Público de Transporte Automotor especial para el Instituto Colombiano de Bienestar Familiar Regional Chocó durante las vigencias 2015, 2016, 2017 y 2018", por un término establecido hasta el 30 de junio de 2018.</w:t>
      </w:r>
    </w:p>
    <w:p w14:paraId="7B7BE371" w14:textId="6EF933CC" w:rsidR="001057C1" w:rsidRPr="008A2A9D" w:rsidRDefault="001057C1" w:rsidP="001057C1">
      <w:pPr>
        <w:pStyle w:val="Prrafodelista"/>
        <w:numPr>
          <w:ilvl w:val="0"/>
          <w:numId w:val="1"/>
        </w:numPr>
        <w:rPr>
          <w:rFonts w:ascii="Verdana" w:hAnsi="Verdana"/>
          <w:sz w:val="22"/>
          <w:szCs w:val="22"/>
        </w:rPr>
      </w:pPr>
      <w:r w:rsidRPr="000827D6">
        <w:rPr>
          <w:rFonts w:ascii="Verdana" w:hAnsi="Verdana"/>
          <w:sz w:val="22"/>
          <w:szCs w:val="22"/>
        </w:rPr>
        <w:t>Que el numeral 1.4.4.1 del Manual de Contratación vigente del ICBF, establece: “La Dirección de Contratación dará traslado inmediato de la solicitud al área competente de la Sede de la Dirección General de la cual dependa el proyecto, la cual contará con máximo tres (3) días hábiles para emitir su concepto y remitirlo a consideración del Comité de Contratación de la Sede de la Dirección General.”</w:t>
      </w:r>
    </w:p>
    <w:p w14:paraId="2C5B53CF" w14:textId="192871A5" w:rsidR="001057C1" w:rsidRPr="008A2A9D" w:rsidRDefault="001057C1" w:rsidP="001057C1">
      <w:pPr>
        <w:pStyle w:val="Prrafodelista"/>
        <w:numPr>
          <w:ilvl w:val="0"/>
          <w:numId w:val="1"/>
        </w:numPr>
        <w:rPr>
          <w:rFonts w:ascii="Verdana" w:hAnsi="Verdana"/>
          <w:sz w:val="22"/>
          <w:szCs w:val="22"/>
        </w:rPr>
      </w:pPr>
      <w:r w:rsidRPr="000827D6">
        <w:rPr>
          <w:rFonts w:ascii="Verdana" w:hAnsi="Verdana"/>
          <w:sz w:val="22"/>
          <w:szCs w:val="22"/>
        </w:rPr>
        <w:t>Que la solicitud antes mencionada, refiere a proceso de la Dirección Administrativa, y que esta el día 18 de Noviembre de 2015, mediante memorando con número de radicado 1-2015-089718-0101, emitió concepto favorable para dar trámite a la delegación especial, para la contratación del servicio de trasporte en diferentes regionales, en los siguientes términos:</w:t>
      </w:r>
    </w:p>
    <w:p w14:paraId="02DB6438" w14:textId="77777777" w:rsidR="008A2A9D" w:rsidRDefault="001057C1" w:rsidP="008A2A9D">
      <w:pPr>
        <w:pStyle w:val="Prrafodelista"/>
        <w:rPr>
          <w:rFonts w:ascii="Verdana" w:hAnsi="Verdana"/>
          <w:sz w:val="22"/>
          <w:szCs w:val="22"/>
        </w:rPr>
      </w:pPr>
      <w:r w:rsidRPr="000827D6">
        <w:rPr>
          <w:rFonts w:ascii="Verdana" w:hAnsi="Verdana"/>
          <w:sz w:val="22"/>
          <w:szCs w:val="22"/>
        </w:rPr>
        <w:t>“(…)</w:t>
      </w:r>
    </w:p>
    <w:p w14:paraId="681594C9" w14:textId="77777777" w:rsidR="008A2A9D" w:rsidRDefault="008A2A9D" w:rsidP="008A2A9D">
      <w:pPr>
        <w:pStyle w:val="Prrafodelista"/>
        <w:rPr>
          <w:rFonts w:ascii="Verdana" w:hAnsi="Verdana"/>
          <w:sz w:val="22"/>
          <w:szCs w:val="22"/>
        </w:rPr>
      </w:pPr>
    </w:p>
    <w:p w14:paraId="3C67AAA6" w14:textId="77777777" w:rsidR="008A2A9D" w:rsidRDefault="001057C1" w:rsidP="008A2A9D">
      <w:pPr>
        <w:pStyle w:val="Prrafodelista"/>
        <w:rPr>
          <w:rFonts w:ascii="Verdana" w:hAnsi="Verdana"/>
          <w:sz w:val="22"/>
          <w:szCs w:val="22"/>
        </w:rPr>
      </w:pPr>
      <w:r w:rsidRPr="008A2A9D">
        <w:rPr>
          <w:rFonts w:ascii="Verdana" w:hAnsi="Verdana"/>
          <w:sz w:val="22"/>
          <w:szCs w:val="22"/>
        </w:rPr>
        <w:t>Como política de la actual administración se implementó la centralización en la sede de la Dirección General el adelantamiento de los procesos de selección de los servicios que se requieren a nivel nacional. Es así como en la actualidad se viene adelantando el proceso de selección para contratar el servicio de transporte público terrestre automotor especial para el Instituto Colombiano de Bienestar Familiar a nivel nacional.</w:t>
      </w:r>
    </w:p>
    <w:p w14:paraId="5D2CAA68" w14:textId="77777777" w:rsidR="008A2A9D" w:rsidRDefault="008A2A9D" w:rsidP="008A2A9D">
      <w:pPr>
        <w:pStyle w:val="Prrafodelista"/>
        <w:rPr>
          <w:rFonts w:ascii="Verdana" w:hAnsi="Verdana"/>
          <w:sz w:val="22"/>
          <w:szCs w:val="22"/>
        </w:rPr>
      </w:pPr>
    </w:p>
    <w:p w14:paraId="7CE67FAE" w14:textId="700A7B64" w:rsidR="001057C1" w:rsidRPr="008A2A9D" w:rsidRDefault="001057C1" w:rsidP="008A2A9D">
      <w:pPr>
        <w:pStyle w:val="Prrafodelista"/>
        <w:rPr>
          <w:rFonts w:ascii="Verdana" w:hAnsi="Verdana"/>
          <w:sz w:val="22"/>
          <w:szCs w:val="22"/>
        </w:rPr>
      </w:pPr>
      <w:r w:rsidRPr="008A2A9D">
        <w:rPr>
          <w:rFonts w:ascii="Verdana" w:hAnsi="Verdana"/>
          <w:sz w:val="22"/>
          <w:szCs w:val="22"/>
        </w:rPr>
        <w:t>En dicho proceso se han establecido las siguientes macro regiones para la presentación de ofertas:</w:t>
      </w:r>
    </w:p>
    <w:tbl>
      <w:tblPr>
        <w:tblStyle w:val="Tablaconcuadrcula"/>
        <w:tblW w:w="4650" w:type="pct"/>
        <w:tblLook w:val="04A0" w:firstRow="1" w:lastRow="0" w:firstColumn="1" w:lastColumn="0" w:noHBand="0" w:noVBand="1"/>
      </w:tblPr>
      <w:tblGrid>
        <w:gridCol w:w="3859"/>
        <w:gridCol w:w="4351"/>
      </w:tblGrid>
      <w:tr w:rsidR="00AA6467" w:rsidRPr="00AA6467" w14:paraId="42EE83D1" w14:textId="77777777" w:rsidTr="00AA6467">
        <w:tc>
          <w:tcPr>
            <w:tcW w:w="2350" w:type="pct"/>
            <w:hideMark/>
          </w:tcPr>
          <w:p w14:paraId="6D915F1E" w14:textId="77777777" w:rsidR="00AA6467" w:rsidRPr="00AA6467" w:rsidRDefault="00AA6467" w:rsidP="00AA6467">
            <w:pPr>
              <w:spacing w:after="160"/>
              <w:rPr>
                <w:rFonts w:ascii="Verdana" w:hAnsi="Verdana"/>
                <w:sz w:val="22"/>
                <w:szCs w:val="22"/>
              </w:rPr>
            </w:pPr>
            <w:r w:rsidRPr="00AA6467">
              <w:rPr>
                <w:rFonts w:ascii="Verdana" w:hAnsi="Verdana"/>
                <w:i/>
                <w:iCs/>
                <w:sz w:val="22"/>
                <w:szCs w:val="22"/>
              </w:rPr>
              <w:t>MACRO REGIÓN</w:t>
            </w:r>
          </w:p>
        </w:tc>
        <w:tc>
          <w:tcPr>
            <w:tcW w:w="2650" w:type="pct"/>
            <w:hideMark/>
          </w:tcPr>
          <w:p w14:paraId="7CFAF74F" w14:textId="77777777" w:rsidR="00AA6467" w:rsidRPr="00AA6467" w:rsidRDefault="00AA6467" w:rsidP="00AA6467">
            <w:pPr>
              <w:spacing w:after="160"/>
              <w:rPr>
                <w:rFonts w:ascii="Verdana" w:hAnsi="Verdana"/>
                <w:sz w:val="22"/>
                <w:szCs w:val="22"/>
              </w:rPr>
            </w:pPr>
            <w:r w:rsidRPr="00AA6467">
              <w:rPr>
                <w:rFonts w:ascii="Verdana" w:hAnsi="Verdana"/>
                <w:i/>
                <w:iCs/>
                <w:sz w:val="22"/>
                <w:szCs w:val="22"/>
              </w:rPr>
              <w:t>REGIONALES</w:t>
            </w:r>
          </w:p>
        </w:tc>
      </w:tr>
      <w:tr w:rsidR="00AA6467" w:rsidRPr="00AA6467" w14:paraId="6782C2AB" w14:textId="77777777" w:rsidTr="00AA6467">
        <w:tc>
          <w:tcPr>
            <w:tcW w:w="5000" w:type="pct"/>
            <w:gridSpan w:val="2"/>
            <w:hideMark/>
          </w:tcPr>
          <w:p w14:paraId="5343B4FA" w14:textId="77777777" w:rsidR="00AA6467" w:rsidRPr="00AA6467" w:rsidRDefault="00AA6467" w:rsidP="00AA6467">
            <w:pPr>
              <w:spacing w:after="160"/>
              <w:rPr>
                <w:rFonts w:ascii="Verdana" w:hAnsi="Verdana"/>
                <w:sz w:val="22"/>
                <w:szCs w:val="22"/>
              </w:rPr>
            </w:pPr>
            <w:r w:rsidRPr="00AA6467">
              <w:rPr>
                <w:rFonts w:ascii="Verdana" w:hAnsi="Verdana"/>
                <w:i/>
                <w:iCs/>
                <w:sz w:val="22"/>
                <w:szCs w:val="22"/>
              </w:rPr>
              <w:t> SEDE DE LA DIRECCIÓN GENERAL</w:t>
            </w:r>
          </w:p>
        </w:tc>
      </w:tr>
      <w:tr w:rsidR="00AA6467" w:rsidRPr="00AA6467" w14:paraId="34E860D2" w14:textId="77777777" w:rsidTr="00AA6467">
        <w:tc>
          <w:tcPr>
            <w:tcW w:w="2350" w:type="pct"/>
            <w:hideMark/>
          </w:tcPr>
          <w:p w14:paraId="1E7310E3" w14:textId="77777777" w:rsidR="00AA6467" w:rsidRPr="00AA6467" w:rsidRDefault="00AA6467" w:rsidP="00AA6467">
            <w:pPr>
              <w:spacing w:after="160"/>
              <w:rPr>
                <w:rFonts w:ascii="Verdana" w:hAnsi="Verdana"/>
                <w:sz w:val="22"/>
                <w:szCs w:val="22"/>
              </w:rPr>
            </w:pPr>
            <w:r w:rsidRPr="00AA6467">
              <w:rPr>
                <w:rFonts w:ascii="Verdana" w:hAnsi="Verdana"/>
                <w:b/>
                <w:bCs/>
                <w:i/>
                <w:iCs/>
                <w:sz w:val="22"/>
                <w:szCs w:val="22"/>
              </w:rPr>
              <w:t>MACRO REGIÓN No 1</w:t>
            </w:r>
          </w:p>
        </w:tc>
        <w:tc>
          <w:tcPr>
            <w:tcW w:w="2650" w:type="pct"/>
            <w:hideMark/>
          </w:tcPr>
          <w:p w14:paraId="3F5B841F" w14:textId="77777777" w:rsidR="00AA6467" w:rsidRPr="00AA6467" w:rsidRDefault="00AA6467" w:rsidP="00AA6467">
            <w:pPr>
              <w:spacing w:after="160"/>
              <w:rPr>
                <w:rFonts w:ascii="Verdana" w:hAnsi="Verdana"/>
                <w:sz w:val="22"/>
                <w:szCs w:val="22"/>
              </w:rPr>
            </w:pPr>
            <w:r w:rsidRPr="00AA6467">
              <w:rPr>
                <w:rFonts w:ascii="Verdana" w:hAnsi="Verdana"/>
                <w:i/>
                <w:iCs/>
                <w:sz w:val="22"/>
                <w:szCs w:val="22"/>
              </w:rPr>
              <w:t> </w:t>
            </w:r>
            <w:r w:rsidRPr="00AA6467">
              <w:rPr>
                <w:rFonts w:ascii="Verdana" w:hAnsi="Verdana"/>
                <w:b/>
                <w:bCs/>
                <w:i/>
                <w:iCs/>
                <w:sz w:val="22"/>
                <w:szCs w:val="22"/>
              </w:rPr>
              <w:t>BOGOTA</w:t>
            </w:r>
            <w:r w:rsidRPr="00AA6467">
              <w:rPr>
                <w:rFonts w:ascii="Verdana" w:hAnsi="Verdana"/>
                <w:b/>
                <w:bCs/>
                <w:sz w:val="22"/>
                <w:szCs w:val="22"/>
              </w:rPr>
              <w:br/>
            </w:r>
            <w:r w:rsidRPr="00AA6467">
              <w:rPr>
                <w:rFonts w:ascii="Verdana" w:hAnsi="Verdana"/>
                <w:b/>
                <w:bCs/>
                <w:i/>
                <w:iCs/>
                <w:sz w:val="22"/>
                <w:szCs w:val="22"/>
              </w:rPr>
              <w:t>CUNDINAMARCA</w:t>
            </w:r>
            <w:r w:rsidRPr="00AA6467">
              <w:rPr>
                <w:rFonts w:ascii="Verdana" w:hAnsi="Verdana"/>
                <w:b/>
                <w:bCs/>
                <w:sz w:val="22"/>
                <w:szCs w:val="22"/>
              </w:rPr>
              <w:br/>
            </w:r>
            <w:r w:rsidRPr="00AA6467">
              <w:rPr>
                <w:rFonts w:ascii="Verdana" w:hAnsi="Verdana"/>
                <w:b/>
                <w:bCs/>
                <w:i/>
                <w:iCs/>
                <w:sz w:val="22"/>
                <w:szCs w:val="22"/>
              </w:rPr>
              <w:t>META</w:t>
            </w:r>
          </w:p>
        </w:tc>
      </w:tr>
      <w:tr w:rsidR="00AA6467" w:rsidRPr="00AA6467" w14:paraId="449A30F7" w14:textId="77777777" w:rsidTr="00AA6467">
        <w:tc>
          <w:tcPr>
            <w:tcW w:w="5000" w:type="pct"/>
            <w:gridSpan w:val="2"/>
            <w:hideMark/>
          </w:tcPr>
          <w:p w14:paraId="51D71DAC" w14:textId="77777777" w:rsidR="00AA6467" w:rsidRPr="00AA6467" w:rsidRDefault="00AA6467" w:rsidP="00AA6467">
            <w:pPr>
              <w:spacing w:after="160"/>
              <w:rPr>
                <w:rFonts w:ascii="Verdana" w:hAnsi="Verdana"/>
                <w:sz w:val="22"/>
                <w:szCs w:val="22"/>
              </w:rPr>
            </w:pPr>
            <w:r w:rsidRPr="00AA6467">
              <w:rPr>
                <w:rFonts w:ascii="Verdana" w:hAnsi="Verdana"/>
                <w:i/>
                <w:iCs/>
                <w:sz w:val="22"/>
                <w:szCs w:val="22"/>
              </w:rPr>
              <w:t> TOLIMA</w:t>
            </w:r>
            <w:r w:rsidRPr="00AA6467">
              <w:rPr>
                <w:rFonts w:ascii="Verdana" w:hAnsi="Verdana"/>
                <w:sz w:val="22"/>
                <w:szCs w:val="22"/>
              </w:rPr>
              <w:br/>
            </w:r>
            <w:r w:rsidRPr="00AA6467">
              <w:rPr>
                <w:rFonts w:ascii="Verdana" w:hAnsi="Verdana"/>
                <w:i/>
                <w:iCs/>
                <w:sz w:val="22"/>
                <w:szCs w:val="22"/>
              </w:rPr>
              <w:t>HUILA</w:t>
            </w:r>
            <w:r w:rsidRPr="00AA6467">
              <w:rPr>
                <w:rFonts w:ascii="Verdana" w:hAnsi="Verdana"/>
                <w:sz w:val="22"/>
                <w:szCs w:val="22"/>
              </w:rPr>
              <w:br/>
            </w:r>
            <w:r w:rsidRPr="00AA6467">
              <w:rPr>
                <w:rFonts w:ascii="Verdana" w:hAnsi="Verdana"/>
                <w:b/>
                <w:bCs/>
                <w:i/>
                <w:iCs/>
                <w:sz w:val="22"/>
                <w:szCs w:val="22"/>
              </w:rPr>
              <w:t>CAQUETA</w:t>
            </w:r>
            <w:r w:rsidRPr="00AA6467">
              <w:rPr>
                <w:rFonts w:ascii="Verdana" w:hAnsi="Verdana"/>
                <w:b/>
                <w:bCs/>
                <w:sz w:val="22"/>
                <w:szCs w:val="22"/>
              </w:rPr>
              <w:br/>
            </w:r>
            <w:r w:rsidRPr="00AA6467">
              <w:rPr>
                <w:rFonts w:ascii="Verdana" w:hAnsi="Verdana"/>
                <w:b/>
                <w:bCs/>
                <w:i/>
                <w:iCs/>
                <w:sz w:val="22"/>
                <w:szCs w:val="22"/>
              </w:rPr>
              <w:t>VALLE DEL CAUCA</w:t>
            </w:r>
            <w:r w:rsidRPr="00AA6467">
              <w:rPr>
                <w:rFonts w:ascii="Verdana" w:hAnsi="Verdana"/>
                <w:b/>
                <w:bCs/>
                <w:sz w:val="22"/>
                <w:szCs w:val="22"/>
              </w:rPr>
              <w:br/>
            </w:r>
            <w:r w:rsidRPr="00AA6467">
              <w:rPr>
                <w:rFonts w:ascii="Verdana" w:hAnsi="Verdana"/>
                <w:b/>
                <w:bCs/>
                <w:i/>
                <w:iCs/>
                <w:sz w:val="22"/>
                <w:szCs w:val="22"/>
              </w:rPr>
              <w:t>CAUCA</w:t>
            </w:r>
            <w:r w:rsidRPr="00AA6467">
              <w:rPr>
                <w:rFonts w:ascii="Verdana" w:hAnsi="Verdana"/>
                <w:b/>
                <w:bCs/>
                <w:sz w:val="22"/>
                <w:szCs w:val="22"/>
              </w:rPr>
              <w:br/>
            </w:r>
            <w:r w:rsidRPr="00AA6467">
              <w:rPr>
                <w:rFonts w:ascii="Verdana" w:hAnsi="Verdana"/>
                <w:b/>
                <w:bCs/>
                <w:i/>
                <w:iCs/>
                <w:sz w:val="22"/>
                <w:szCs w:val="22"/>
              </w:rPr>
              <w:t>NARIÑO</w:t>
            </w:r>
          </w:p>
        </w:tc>
      </w:tr>
      <w:tr w:rsidR="00AA6467" w:rsidRPr="00AA6467" w14:paraId="675C76E3" w14:textId="77777777" w:rsidTr="00AA6467">
        <w:tc>
          <w:tcPr>
            <w:tcW w:w="5000" w:type="pct"/>
            <w:gridSpan w:val="2"/>
            <w:hideMark/>
          </w:tcPr>
          <w:p w14:paraId="6A5559A1" w14:textId="77777777" w:rsidR="00AA6467" w:rsidRPr="00AA6467" w:rsidRDefault="00AA6467" w:rsidP="00AA6467">
            <w:pPr>
              <w:spacing w:after="160"/>
              <w:rPr>
                <w:rFonts w:ascii="Verdana" w:hAnsi="Verdana"/>
                <w:sz w:val="22"/>
                <w:szCs w:val="22"/>
              </w:rPr>
            </w:pPr>
            <w:r w:rsidRPr="00AA6467">
              <w:rPr>
                <w:rFonts w:ascii="Verdana" w:hAnsi="Verdana"/>
                <w:sz w:val="22"/>
                <w:szCs w:val="22"/>
              </w:rPr>
              <w:t> </w:t>
            </w:r>
          </w:p>
        </w:tc>
      </w:tr>
      <w:tr w:rsidR="00AA6467" w:rsidRPr="00AA6467" w14:paraId="68C64018" w14:textId="77777777" w:rsidTr="00AA6467">
        <w:tc>
          <w:tcPr>
            <w:tcW w:w="5000" w:type="pct"/>
            <w:gridSpan w:val="2"/>
            <w:hideMark/>
          </w:tcPr>
          <w:p w14:paraId="6149D6E7" w14:textId="77777777" w:rsidR="00AA6467" w:rsidRPr="00AA6467" w:rsidRDefault="00AA6467" w:rsidP="00AA6467">
            <w:pPr>
              <w:spacing w:after="160"/>
              <w:rPr>
                <w:rFonts w:ascii="Verdana" w:hAnsi="Verdana"/>
                <w:sz w:val="22"/>
                <w:szCs w:val="22"/>
              </w:rPr>
            </w:pPr>
            <w:r w:rsidRPr="00AA6467">
              <w:rPr>
                <w:rFonts w:ascii="Verdana" w:hAnsi="Verdana"/>
                <w:b/>
                <w:bCs/>
                <w:i/>
                <w:iCs/>
                <w:sz w:val="22"/>
                <w:szCs w:val="22"/>
              </w:rPr>
              <w:t>MACRO REGIÓN No 2</w:t>
            </w:r>
          </w:p>
        </w:tc>
      </w:tr>
      <w:tr w:rsidR="00AA6467" w:rsidRPr="00AA6467" w14:paraId="46D8111B" w14:textId="77777777" w:rsidTr="00AA6467">
        <w:tc>
          <w:tcPr>
            <w:tcW w:w="5000" w:type="pct"/>
            <w:gridSpan w:val="2"/>
            <w:hideMark/>
          </w:tcPr>
          <w:p w14:paraId="1895D34E" w14:textId="77777777" w:rsidR="00AA6467" w:rsidRPr="00AA6467" w:rsidRDefault="00AA6467" w:rsidP="00AA6467">
            <w:pPr>
              <w:spacing w:after="160"/>
              <w:rPr>
                <w:rFonts w:ascii="Verdana" w:hAnsi="Verdana"/>
                <w:sz w:val="22"/>
                <w:szCs w:val="22"/>
              </w:rPr>
            </w:pPr>
            <w:r w:rsidRPr="00AA6467">
              <w:rPr>
                <w:rFonts w:ascii="Verdana" w:hAnsi="Verdana"/>
                <w:i/>
                <w:iCs/>
                <w:sz w:val="22"/>
                <w:szCs w:val="22"/>
              </w:rPr>
              <w:lastRenderedPageBreak/>
              <w:t> CORDOBA</w:t>
            </w:r>
            <w:r w:rsidRPr="00AA6467">
              <w:rPr>
                <w:rFonts w:ascii="Verdana" w:hAnsi="Verdana"/>
                <w:b/>
                <w:bCs/>
                <w:i/>
                <w:iCs/>
                <w:sz w:val="22"/>
                <w:szCs w:val="22"/>
              </w:rPr>
              <w:br/>
            </w:r>
            <w:r w:rsidRPr="00AA6467">
              <w:rPr>
                <w:rFonts w:ascii="Verdana" w:hAnsi="Verdana"/>
                <w:i/>
                <w:iCs/>
                <w:sz w:val="22"/>
                <w:szCs w:val="22"/>
              </w:rPr>
              <w:t>ANTIOQUIA</w:t>
            </w:r>
            <w:r w:rsidRPr="00AA6467">
              <w:rPr>
                <w:rFonts w:ascii="Verdana" w:hAnsi="Verdana"/>
                <w:sz w:val="22"/>
                <w:szCs w:val="22"/>
              </w:rPr>
              <w:br/>
            </w:r>
            <w:r w:rsidRPr="00AA6467">
              <w:rPr>
                <w:rFonts w:ascii="Verdana" w:hAnsi="Verdana"/>
                <w:b/>
                <w:bCs/>
                <w:i/>
                <w:iCs/>
                <w:sz w:val="22"/>
                <w:szCs w:val="22"/>
              </w:rPr>
              <w:t>CALDAS</w:t>
            </w:r>
            <w:r w:rsidRPr="00AA6467">
              <w:rPr>
                <w:rFonts w:ascii="Verdana" w:hAnsi="Verdana"/>
                <w:b/>
                <w:bCs/>
                <w:sz w:val="22"/>
                <w:szCs w:val="22"/>
              </w:rPr>
              <w:br/>
            </w:r>
            <w:r w:rsidRPr="00AA6467">
              <w:rPr>
                <w:rFonts w:ascii="Verdana" w:hAnsi="Verdana"/>
                <w:b/>
                <w:bCs/>
                <w:i/>
                <w:iCs/>
                <w:sz w:val="22"/>
                <w:szCs w:val="22"/>
              </w:rPr>
              <w:t>RISARALDA</w:t>
            </w:r>
            <w:r w:rsidRPr="00AA6467">
              <w:rPr>
                <w:rFonts w:ascii="Verdana" w:hAnsi="Verdana"/>
                <w:b/>
                <w:bCs/>
                <w:sz w:val="22"/>
                <w:szCs w:val="22"/>
              </w:rPr>
              <w:br/>
            </w:r>
            <w:r w:rsidRPr="00AA6467">
              <w:rPr>
                <w:rFonts w:ascii="Verdana" w:hAnsi="Verdana"/>
                <w:b/>
                <w:bCs/>
                <w:i/>
                <w:iCs/>
                <w:sz w:val="22"/>
                <w:szCs w:val="22"/>
              </w:rPr>
              <w:t>QUINDIO</w:t>
            </w:r>
          </w:p>
        </w:tc>
      </w:tr>
      <w:tr w:rsidR="00AA6467" w:rsidRPr="00AA6467" w14:paraId="45BB5901" w14:textId="77777777" w:rsidTr="00AA6467">
        <w:tc>
          <w:tcPr>
            <w:tcW w:w="5000" w:type="pct"/>
            <w:gridSpan w:val="2"/>
            <w:hideMark/>
          </w:tcPr>
          <w:p w14:paraId="6A15145E" w14:textId="77777777" w:rsidR="00AA6467" w:rsidRPr="00AA6467" w:rsidRDefault="00AA6467" w:rsidP="00AA6467">
            <w:pPr>
              <w:spacing w:after="160"/>
              <w:rPr>
                <w:rFonts w:ascii="Verdana" w:hAnsi="Verdana"/>
                <w:sz w:val="22"/>
                <w:szCs w:val="22"/>
              </w:rPr>
            </w:pPr>
            <w:r w:rsidRPr="00AA6467">
              <w:rPr>
                <w:rFonts w:ascii="Verdana" w:hAnsi="Verdana"/>
                <w:b/>
                <w:bCs/>
                <w:i/>
                <w:iCs/>
                <w:sz w:val="22"/>
                <w:szCs w:val="22"/>
              </w:rPr>
              <w:t>MACRO REGION No. 3</w:t>
            </w:r>
          </w:p>
        </w:tc>
      </w:tr>
      <w:tr w:rsidR="00AA6467" w:rsidRPr="00AA6467" w14:paraId="063CABB6" w14:textId="77777777" w:rsidTr="00AA6467">
        <w:tc>
          <w:tcPr>
            <w:tcW w:w="2350" w:type="pct"/>
            <w:hideMark/>
          </w:tcPr>
          <w:p w14:paraId="3F5242B2" w14:textId="77777777" w:rsidR="00AA6467" w:rsidRPr="00AA6467" w:rsidRDefault="00AA6467" w:rsidP="00AA6467">
            <w:pPr>
              <w:spacing w:after="160"/>
              <w:rPr>
                <w:rFonts w:ascii="Verdana" w:hAnsi="Verdana"/>
                <w:sz w:val="22"/>
                <w:szCs w:val="22"/>
              </w:rPr>
            </w:pPr>
            <w:r w:rsidRPr="00AA6467">
              <w:rPr>
                <w:rFonts w:ascii="Verdana" w:hAnsi="Verdana"/>
                <w:b/>
                <w:bCs/>
                <w:i/>
                <w:iCs/>
                <w:sz w:val="22"/>
                <w:szCs w:val="22"/>
              </w:rPr>
              <w:t>MACRO REGIÓN No 4</w:t>
            </w:r>
          </w:p>
        </w:tc>
        <w:tc>
          <w:tcPr>
            <w:tcW w:w="2650" w:type="pct"/>
            <w:hideMark/>
          </w:tcPr>
          <w:p w14:paraId="51D57D81" w14:textId="77777777" w:rsidR="00AA6467" w:rsidRPr="00AA6467" w:rsidRDefault="00AA6467" w:rsidP="00AA6467">
            <w:pPr>
              <w:spacing w:after="160"/>
              <w:rPr>
                <w:rFonts w:ascii="Verdana" w:hAnsi="Verdana"/>
                <w:sz w:val="22"/>
                <w:szCs w:val="22"/>
              </w:rPr>
            </w:pPr>
            <w:r w:rsidRPr="00AA6467">
              <w:rPr>
                <w:rFonts w:ascii="Verdana" w:hAnsi="Verdana"/>
                <w:i/>
                <w:iCs/>
                <w:sz w:val="22"/>
                <w:szCs w:val="22"/>
              </w:rPr>
              <w:t> </w:t>
            </w:r>
            <w:r w:rsidRPr="00AA6467">
              <w:rPr>
                <w:rFonts w:ascii="Verdana" w:hAnsi="Verdana"/>
                <w:b/>
                <w:bCs/>
                <w:i/>
                <w:iCs/>
                <w:sz w:val="22"/>
                <w:szCs w:val="22"/>
              </w:rPr>
              <w:t>GUAJIRA</w:t>
            </w:r>
            <w:r w:rsidRPr="00AA6467">
              <w:rPr>
                <w:rFonts w:ascii="Verdana" w:hAnsi="Verdana"/>
                <w:b/>
                <w:bCs/>
                <w:sz w:val="22"/>
                <w:szCs w:val="22"/>
              </w:rPr>
              <w:br/>
            </w:r>
            <w:r w:rsidRPr="00AA6467">
              <w:rPr>
                <w:rFonts w:ascii="Verdana" w:hAnsi="Verdana"/>
                <w:b/>
                <w:bCs/>
                <w:i/>
                <w:iCs/>
                <w:sz w:val="22"/>
                <w:szCs w:val="22"/>
              </w:rPr>
              <w:t>MAGDALENA</w:t>
            </w:r>
            <w:r w:rsidRPr="00AA6467">
              <w:rPr>
                <w:rFonts w:ascii="Verdana" w:hAnsi="Verdana"/>
                <w:b/>
                <w:bCs/>
                <w:sz w:val="22"/>
                <w:szCs w:val="22"/>
              </w:rPr>
              <w:br/>
            </w:r>
            <w:r w:rsidRPr="00AA6467">
              <w:rPr>
                <w:rFonts w:ascii="Verdana" w:hAnsi="Verdana"/>
                <w:b/>
                <w:bCs/>
                <w:i/>
                <w:iCs/>
                <w:sz w:val="22"/>
                <w:szCs w:val="22"/>
              </w:rPr>
              <w:t>ATLÁNTICO</w:t>
            </w:r>
            <w:r w:rsidRPr="00AA6467">
              <w:rPr>
                <w:rFonts w:ascii="Verdana" w:hAnsi="Verdana"/>
                <w:b/>
                <w:bCs/>
                <w:i/>
                <w:iCs/>
                <w:sz w:val="22"/>
                <w:szCs w:val="22"/>
              </w:rPr>
              <w:br/>
            </w:r>
            <w:r w:rsidRPr="00AA6467">
              <w:rPr>
                <w:rFonts w:ascii="Verdana" w:hAnsi="Verdana"/>
                <w:b/>
                <w:bCs/>
                <w:sz w:val="22"/>
                <w:szCs w:val="22"/>
              </w:rPr>
              <w:t>BOLÍVAR</w:t>
            </w:r>
            <w:r w:rsidRPr="00AA6467">
              <w:rPr>
                <w:rFonts w:ascii="Verdana" w:hAnsi="Verdana"/>
                <w:b/>
                <w:bCs/>
                <w:sz w:val="22"/>
                <w:szCs w:val="22"/>
              </w:rPr>
              <w:br/>
              <w:t>SUCRE</w:t>
            </w:r>
            <w:r w:rsidRPr="00AA6467">
              <w:rPr>
                <w:rFonts w:ascii="Verdana" w:hAnsi="Verdana"/>
                <w:b/>
                <w:bCs/>
                <w:i/>
                <w:iCs/>
                <w:sz w:val="22"/>
                <w:szCs w:val="22"/>
              </w:rPr>
              <w:br/>
            </w:r>
          </w:p>
        </w:tc>
      </w:tr>
      <w:tr w:rsidR="00AA6467" w:rsidRPr="00AA6467" w14:paraId="35D47841" w14:textId="77777777" w:rsidTr="00AA6467">
        <w:tc>
          <w:tcPr>
            <w:tcW w:w="2350" w:type="pct"/>
            <w:hideMark/>
          </w:tcPr>
          <w:p w14:paraId="60942388" w14:textId="77777777" w:rsidR="00AA6467" w:rsidRPr="00AA6467" w:rsidRDefault="00AA6467" w:rsidP="00AA6467">
            <w:pPr>
              <w:spacing w:after="160"/>
              <w:rPr>
                <w:rFonts w:ascii="Verdana" w:hAnsi="Verdana"/>
                <w:sz w:val="22"/>
                <w:szCs w:val="22"/>
              </w:rPr>
            </w:pPr>
            <w:r w:rsidRPr="00AA6467">
              <w:rPr>
                <w:rFonts w:ascii="Verdana" w:hAnsi="Verdana"/>
                <w:b/>
                <w:bCs/>
                <w:i/>
                <w:iCs/>
                <w:sz w:val="22"/>
                <w:szCs w:val="22"/>
              </w:rPr>
              <w:t>MACRO REGIÓN No. 5</w:t>
            </w:r>
          </w:p>
        </w:tc>
        <w:tc>
          <w:tcPr>
            <w:tcW w:w="2650" w:type="pct"/>
            <w:hideMark/>
          </w:tcPr>
          <w:p w14:paraId="2E23FE03" w14:textId="77777777" w:rsidR="00AA6467" w:rsidRPr="00AA6467" w:rsidRDefault="00AA6467" w:rsidP="00AA6467">
            <w:pPr>
              <w:spacing w:after="160"/>
              <w:rPr>
                <w:rFonts w:ascii="Verdana" w:hAnsi="Verdana"/>
                <w:sz w:val="22"/>
                <w:szCs w:val="22"/>
              </w:rPr>
            </w:pPr>
            <w:r w:rsidRPr="00AA6467">
              <w:rPr>
                <w:rFonts w:ascii="Verdana" w:hAnsi="Verdana"/>
                <w:b/>
                <w:bCs/>
                <w:i/>
                <w:iCs/>
                <w:sz w:val="22"/>
                <w:szCs w:val="22"/>
              </w:rPr>
              <w:t> CESAR</w:t>
            </w:r>
            <w:r w:rsidRPr="00AA6467">
              <w:rPr>
                <w:rFonts w:ascii="Verdana" w:hAnsi="Verdana"/>
                <w:b/>
                <w:bCs/>
                <w:sz w:val="22"/>
                <w:szCs w:val="22"/>
              </w:rPr>
              <w:br/>
            </w:r>
            <w:r w:rsidRPr="00AA6467">
              <w:rPr>
                <w:rFonts w:ascii="Verdana" w:hAnsi="Verdana"/>
                <w:b/>
                <w:bCs/>
                <w:i/>
                <w:iCs/>
                <w:sz w:val="22"/>
                <w:szCs w:val="22"/>
              </w:rPr>
              <w:t>SANTANDER</w:t>
            </w:r>
            <w:r w:rsidRPr="00AA6467">
              <w:rPr>
                <w:rFonts w:ascii="Verdana" w:hAnsi="Verdana"/>
                <w:b/>
                <w:bCs/>
                <w:sz w:val="22"/>
                <w:szCs w:val="22"/>
              </w:rPr>
              <w:br/>
            </w:r>
            <w:r w:rsidRPr="00AA6467">
              <w:rPr>
                <w:rFonts w:ascii="Verdana" w:hAnsi="Verdana"/>
                <w:b/>
                <w:bCs/>
                <w:i/>
                <w:iCs/>
                <w:sz w:val="22"/>
                <w:szCs w:val="22"/>
              </w:rPr>
              <w:t>NORTE DE SANTANDER</w:t>
            </w:r>
            <w:r w:rsidRPr="00AA6467">
              <w:rPr>
                <w:rFonts w:ascii="Verdana" w:hAnsi="Verdana"/>
                <w:b/>
                <w:bCs/>
                <w:sz w:val="22"/>
                <w:szCs w:val="22"/>
              </w:rPr>
              <w:br/>
            </w:r>
            <w:r w:rsidRPr="00AA6467">
              <w:rPr>
                <w:rFonts w:ascii="Verdana" w:hAnsi="Verdana"/>
                <w:b/>
                <w:bCs/>
                <w:i/>
                <w:iCs/>
                <w:sz w:val="22"/>
                <w:szCs w:val="22"/>
              </w:rPr>
              <w:t>BOYACA</w:t>
            </w:r>
          </w:p>
        </w:tc>
      </w:tr>
    </w:tbl>
    <w:p w14:paraId="31BD445A" w14:textId="77777777" w:rsidR="001057C1" w:rsidRPr="001057C1" w:rsidRDefault="001057C1" w:rsidP="001057C1">
      <w:pPr>
        <w:rPr>
          <w:rFonts w:ascii="Verdana" w:hAnsi="Verdana"/>
          <w:sz w:val="22"/>
          <w:szCs w:val="22"/>
        </w:rPr>
      </w:pPr>
    </w:p>
    <w:p w14:paraId="6B057123" w14:textId="0C31EDFB" w:rsidR="001057C1" w:rsidRDefault="001057C1" w:rsidP="00AA6467">
      <w:pPr>
        <w:pStyle w:val="Prrafodelista"/>
        <w:rPr>
          <w:rFonts w:ascii="Verdana" w:hAnsi="Verdana"/>
          <w:sz w:val="22"/>
          <w:szCs w:val="22"/>
        </w:rPr>
      </w:pPr>
      <w:r w:rsidRPr="000827D6">
        <w:rPr>
          <w:rFonts w:ascii="Verdana" w:hAnsi="Verdana"/>
          <w:sz w:val="22"/>
          <w:szCs w:val="22"/>
        </w:rPr>
        <w:t>ASPECTO TÉCNICO</w:t>
      </w:r>
    </w:p>
    <w:p w14:paraId="378AD5E1" w14:textId="77777777" w:rsidR="00AA6467" w:rsidRPr="000827D6" w:rsidRDefault="00AA6467" w:rsidP="00AA6467">
      <w:pPr>
        <w:pStyle w:val="Prrafodelista"/>
        <w:rPr>
          <w:rFonts w:ascii="Verdana" w:hAnsi="Verdana"/>
          <w:sz w:val="22"/>
          <w:szCs w:val="22"/>
        </w:rPr>
      </w:pPr>
    </w:p>
    <w:p w14:paraId="7F24DA38" w14:textId="60803C29" w:rsidR="001057C1" w:rsidRPr="000827D6" w:rsidRDefault="001057C1" w:rsidP="00AA6467">
      <w:pPr>
        <w:pStyle w:val="Prrafodelista"/>
        <w:rPr>
          <w:rFonts w:ascii="Verdana" w:hAnsi="Verdana"/>
          <w:sz w:val="22"/>
          <w:szCs w:val="22"/>
        </w:rPr>
      </w:pPr>
      <w:r w:rsidRPr="000827D6">
        <w:rPr>
          <w:rFonts w:ascii="Verdana" w:hAnsi="Verdana"/>
          <w:sz w:val="22"/>
          <w:szCs w:val="22"/>
        </w:rPr>
        <w:t>El servicio de transporte que se ha venido desarrollando y que se requiere contratar permite el desarrollo de las actividades misionales de la entidad. Sin embargo, dicho servicio, tratándose de las regionales y centro zonales ubicados en los departamentos aquí relacionados, adquiere unas características especiales ya que el transporte además de multimodal (terrestre, aéreo y fluvial), requiere, en algunos casos, de la utilización de animales dada la situación geográfica en donde deben desarrollar sus actividades los funcionarios de la entidad.</w:t>
      </w:r>
    </w:p>
    <w:p w14:paraId="03C8603D" w14:textId="77777777" w:rsidR="00AA6467" w:rsidRDefault="00AA6467" w:rsidP="00AA6467">
      <w:pPr>
        <w:pStyle w:val="Prrafodelista"/>
        <w:rPr>
          <w:rFonts w:ascii="Verdana" w:hAnsi="Verdana"/>
          <w:sz w:val="22"/>
          <w:szCs w:val="22"/>
        </w:rPr>
      </w:pPr>
    </w:p>
    <w:p w14:paraId="5C11D697" w14:textId="77777777" w:rsidR="00ED7DCF" w:rsidRDefault="001057C1" w:rsidP="00ED7DCF">
      <w:pPr>
        <w:pStyle w:val="Prrafodelista"/>
        <w:rPr>
          <w:rFonts w:ascii="Verdana" w:hAnsi="Verdana"/>
          <w:sz w:val="22"/>
          <w:szCs w:val="22"/>
        </w:rPr>
      </w:pPr>
      <w:r w:rsidRPr="000827D6">
        <w:rPr>
          <w:rFonts w:ascii="Verdana" w:hAnsi="Verdana"/>
          <w:sz w:val="22"/>
          <w:szCs w:val="22"/>
        </w:rPr>
        <w:t>De otra parte, por efectos del control operativo que dicho tipo de transporte demanda (con las especificaciones de multimodal y tracción animal), los proveedores de dicho transporte se encuentran concentrados en la región o departamento donde se desarrolla el servicio, sin que necesariamente su presencia sea a nivel nacional y donde actualmente cuentan con un reconocimiento de carácter local que les permite prestar el servicio en condiciones geográficas y de seguridad que pueden ser muy difíciles y disímiles de las que se presentan en otros departamentos del país. Adicionalmente los grandes operadores de transporte terrestre especial con cobertura nacional y que prestan el servicio en departamentos menos alejados del país realizan su actividad comercial sin la inclusión de modalidades tan especiales como las ya mencionadas y que de hacerlo podrían implicar un impacto en sus modelos económicos que se vean reflejados en los precios ofertados a la Entidad.</w:t>
      </w:r>
    </w:p>
    <w:p w14:paraId="59A75C06" w14:textId="77777777" w:rsidR="00ED7DCF" w:rsidRDefault="00ED7DCF" w:rsidP="00ED7DCF">
      <w:pPr>
        <w:pStyle w:val="Prrafodelista"/>
        <w:rPr>
          <w:rFonts w:ascii="Verdana" w:hAnsi="Verdana"/>
          <w:sz w:val="22"/>
          <w:szCs w:val="22"/>
        </w:rPr>
      </w:pPr>
    </w:p>
    <w:p w14:paraId="17DE555B" w14:textId="77777777" w:rsidR="00ED7DCF" w:rsidRDefault="001057C1" w:rsidP="00ED7DCF">
      <w:pPr>
        <w:pStyle w:val="Prrafodelista"/>
        <w:rPr>
          <w:rFonts w:ascii="Verdana" w:hAnsi="Verdana"/>
          <w:sz w:val="22"/>
          <w:szCs w:val="22"/>
        </w:rPr>
      </w:pPr>
      <w:r w:rsidRPr="00ED7DCF">
        <w:rPr>
          <w:rFonts w:ascii="Verdana" w:hAnsi="Verdana"/>
          <w:sz w:val="22"/>
          <w:szCs w:val="22"/>
        </w:rPr>
        <w:t xml:space="preserve">Por lo expuesto el generar un solo proceso con la inclusión de todos los departamentos (incluyendo San Andrés, Chocó, Arauca, Casanare, Guaviare, Guainía, Vichada, Vaupés, Putumayo, Amazonas y Bolívar) y las demás macro regiones y estandarizar requisitos para dos tipos diferentes </w:t>
      </w:r>
      <w:r w:rsidRPr="00ED7DCF">
        <w:rPr>
          <w:rFonts w:ascii="Verdana" w:hAnsi="Verdana"/>
          <w:sz w:val="22"/>
          <w:szCs w:val="22"/>
        </w:rPr>
        <w:lastRenderedPageBreak/>
        <w:t>de operadores puede generar riesgo en la finalidad perseguida con el proceso que es la obtención de ofertas y lograr la contratación de servicios para cada uno de los departamentos en que la Entidad tiene presencia</w:t>
      </w:r>
      <w:r w:rsidR="00ED7DCF">
        <w:rPr>
          <w:rFonts w:ascii="Verdana" w:hAnsi="Verdana"/>
          <w:sz w:val="22"/>
          <w:szCs w:val="22"/>
        </w:rPr>
        <w:t>.</w:t>
      </w:r>
    </w:p>
    <w:p w14:paraId="2AFEC67A" w14:textId="77777777" w:rsidR="00ED7DCF" w:rsidRDefault="00ED7DCF" w:rsidP="00ED7DCF">
      <w:pPr>
        <w:pStyle w:val="Prrafodelista"/>
        <w:rPr>
          <w:rFonts w:ascii="Verdana" w:hAnsi="Verdana"/>
          <w:sz w:val="22"/>
          <w:szCs w:val="22"/>
        </w:rPr>
      </w:pPr>
    </w:p>
    <w:p w14:paraId="76E1CA57" w14:textId="477D3FA0" w:rsidR="001057C1" w:rsidRPr="00ED7DCF" w:rsidRDefault="001057C1" w:rsidP="00ED7DCF">
      <w:pPr>
        <w:pStyle w:val="Prrafodelista"/>
        <w:rPr>
          <w:rFonts w:ascii="Verdana" w:hAnsi="Verdana"/>
          <w:sz w:val="22"/>
          <w:szCs w:val="22"/>
        </w:rPr>
      </w:pPr>
      <w:r w:rsidRPr="00ED7DCF">
        <w:rPr>
          <w:rFonts w:ascii="Verdana" w:hAnsi="Verdana"/>
          <w:sz w:val="22"/>
          <w:szCs w:val="22"/>
        </w:rPr>
        <w:t>En virtud de lo anterior, se considera necesario que para el caso de los departamentos relacionados en este documento permitir la figura de la delegación contractual a fin de que se adelanten desde las mismas regionales los procesos correspondientes."</w:t>
      </w:r>
    </w:p>
    <w:p w14:paraId="0C8C8220" w14:textId="3861A066" w:rsidR="001057C1" w:rsidRPr="000827D6" w:rsidRDefault="001057C1" w:rsidP="000827D6">
      <w:pPr>
        <w:pStyle w:val="Prrafodelista"/>
        <w:numPr>
          <w:ilvl w:val="0"/>
          <w:numId w:val="1"/>
        </w:numPr>
        <w:rPr>
          <w:rFonts w:ascii="Verdana" w:hAnsi="Verdana"/>
          <w:sz w:val="22"/>
          <w:szCs w:val="22"/>
        </w:rPr>
      </w:pPr>
      <w:r w:rsidRPr="000827D6">
        <w:rPr>
          <w:rFonts w:ascii="Verdana" w:hAnsi="Verdana"/>
          <w:sz w:val="22"/>
          <w:szCs w:val="22"/>
        </w:rPr>
        <w:t xml:space="preserve">Que como consecuencia del concepto antes mencionado se hace necesario aclarar que el Departamento de Bolívar se encuentra contemplado en el proceso de contratación que se adelanta actualmente por parte de la Dirección Administrativa, por lo </w:t>
      </w:r>
      <w:r w:rsidR="00ED7DCF" w:rsidRPr="000827D6">
        <w:rPr>
          <w:rFonts w:ascii="Verdana" w:hAnsi="Verdana"/>
          <w:sz w:val="22"/>
          <w:szCs w:val="22"/>
        </w:rPr>
        <w:t>tanto,</w:t>
      </w:r>
      <w:r w:rsidRPr="000827D6">
        <w:rPr>
          <w:rFonts w:ascii="Verdana" w:hAnsi="Verdana"/>
          <w:sz w:val="22"/>
          <w:szCs w:val="22"/>
        </w:rPr>
        <w:t xml:space="preserve"> no es necesaria su inclusión dentro de dicho acto.</w:t>
      </w:r>
    </w:p>
    <w:p w14:paraId="1D780D49" w14:textId="33097E80" w:rsidR="001057C1" w:rsidRPr="000827D6" w:rsidRDefault="001057C1" w:rsidP="000827D6">
      <w:pPr>
        <w:pStyle w:val="Prrafodelista"/>
        <w:numPr>
          <w:ilvl w:val="0"/>
          <w:numId w:val="1"/>
        </w:numPr>
        <w:rPr>
          <w:rFonts w:ascii="Verdana" w:hAnsi="Verdana"/>
          <w:sz w:val="22"/>
          <w:szCs w:val="22"/>
        </w:rPr>
      </w:pPr>
      <w:r w:rsidRPr="000827D6">
        <w:rPr>
          <w:rFonts w:ascii="Verdana" w:hAnsi="Verdana"/>
          <w:sz w:val="22"/>
          <w:szCs w:val="22"/>
        </w:rPr>
        <w:t>Que el valor total de la delegación avalada es de MIL CUATROCIENTOS DOCE MILLONES SEISCIENTOS CUARENTA MIL OCHOCIENTOS OCHENTA Y SIETE PESOS MCTE (1.412.640.887).</w:t>
      </w:r>
    </w:p>
    <w:p w14:paraId="6C945748" w14:textId="110AC8F9" w:rsidR="001057C1" w:rsidRPr="000827D6" w:rsidRDefault="001057C1" w:rsidP="000827D6">
      <w:pPr>
        <w:pStyle w:val="Prrafodelista"/>
        <w:numPr>
          <w:ilvl w:val="0"/>
          <w:numId w:val="1"/>
        </w:numPr>
        <w:rPr>
          <w:rFonts w:ascii="Verdana" w:hAnsi="Verdana"/>
          <w:sz w:val="22"/>
          <w:szCs w:val="22"/>
        </w:rPr>
      </w:pPr>
      <w:r w:rsidRPr="000827D6">
        <w:rPr>
          <w:rFonts w:ascii="Verdana" w:hAnsi="Verdana"/>
          <w:sz w:val="22"/>
          <w:szCs w:val="22"/>
        </w:rPr>
        <w:t>Que el día 19 de Noviembre de 2015, el Comité de contratación de la Dirección General en sesión extraordinaria No. 106, aprobó la delegación especial del Director de la Regional Chocó del ICBF o quien haga sus veces para la ordenación del gasto y llevar a cabo el proceso de Selección Abreviada por Subasta Inversa Presencial para la contratación que tiene por objeto “PRESTAR EL SERVICIO PÚBLICO DE TRANSPORTE AUTOMOTOR ESPECIAL PARA EL INSTITUTO COLOMBIANO DE BIENESTAR FAMILIAR REGIONAL CHOCÓ DURANTE LAS VIGENCIAS 2015, 2016, 2017 Y 2018”, y aprobó el concepto emitido por parte de la Dirección Administrativa.</w:t>
      </w:r>
    </w:p>
    <w:p w14:paraId="25521012" w14:textId="09C852F0" w:rsidR="001057C1" w:rsidRPr="000827D6" w:rsidRDefault="001057C1" w:rsidP="000827D6">
      <w:pPr>
        <w:pStyle w:val="Prrafodelista"/>
        <w:numPr>
          <w:ilvl w:val="0"/>
          <w:numId w:val="1"/>
        </w:numPr>
        <w:rPr>
          <w:rFonts w:ascii="Verdana" w:hAnsi="Verdana"/>
          <w:sz w:val="22"/>
          <w:szCs w:val="22"/>
        </w:rPr>
      </w:pPr>
      <w:r w:rsidRPr="000827D6">
        <w:rPr>
          <w:rFonts w:ascii="Verdana" w:hAnsi="Verdana"/>
          <w:sz w:val="22"/>
          <w:szCs w:val="22"/>
        </w:rPr>
        <w:t>Que haciendo uso de la facultad otorgada por la ley y con el fin de prestar el servicio público de Bienestar Familiar en la Regional Chocó de manera eficaz y oportuna, este Despacho, estima pertinente disponer que el Director de la Regional Choco del ICBF o quien haga sus veces, sea el facultado para ordenar el gasto y llevar a cabo el proceso de Selección Abreviada por Subasta Inversa Presencial para la contratación antes descrita.</w:t>
      </w:r>
    </w:p>
    <w:p w14:paraId="0CA62204" w14:textId="106B2719" w:rsidR="001057C1" w:rsidRPr="000827D6" w:rsidRDefault="001057C1" w:rsidP="000827D6">
      <w:pPr>
        <w:pStyle w:val="Prrafodelista"/>
        <w:numPr>
          <w:ilvl w:val="0"/>
          <w:numId w:val="1"/>
        </w:numPr>
        <w:rPr>
          <w:rFonts w:ascii="Verdana" w:hAnsi="Verdana"/>
          <w:sz w:val="22"/>
          <w:szCs w:val="22"/>
        </w:rPr>
      </w:pPr>
      <w:r w:rsidRPr="000827D6">
        <w:rPr>
          <w:rFonts w:ascii="Verdana" w:hAnsi="Verdana"/>
          <w:sz w:val="22"/>
          <w:szCs w:val="22"/>
        </w:rPr>
        <w:t>Que en mérito de lo expuesto,</w:t>
      </w:r>
    </w:p>
    <w:p w14:paraId="5C4DA4D4" w14:textId="02C6E02E" w:rsidR="001057C1" w:rsidRPr="000827D6" w:rsidRDefault="001057C1" w:rsidP="000827D6">
      <w:pPr>
        <w:jc w:val="center"/>
        <w:rPr>
          <w:rFonts w:ascii="Verdana" w:hAnsi="Verdana"/>
          <w:b/>
          <w:bCs/>
          <w:sz w:val="22"/>
          <w:szCs w:val="22"/>
        </w:rPr>
      </w:pPr>
      <w:r w:rsidRPr="000827D6">
        <w:rPr>
          <w:rFonts w:ascii="Verdana" w:hAnsi="Verdana"/>
          <w:b/>
          <w:bCs/>
          <w:sz w:val="22"/>
          <w:szCs w:val="22"/>
        </w:rPr>
        <w:t>RESUELVE:</w:t>
      </w:r>
    </w:p>
    <w:p w14:paraId="443C4690" w14:textId="6B0CBEA9" w:rsidR="001057C1" w:rsidRPr="001057C1" w:rsidRDefault="001057C1" w:rsidP="001057C1">
      <w:pPr>
        <w:rPr>
          <w:rFonts w:ascii="Verdana" w:hAnsi="Verdana"/>
          <w:sz w:val="22"/>
          <w:szCs w:val="22"/>
        </w:rPr>
      </w:pPr>
      <w:r w:rsidRPr="000827D6">
        <w:rPr>
          <w:rFonts w:ascii="Verdana" w:hAnsi="Verdana"/>
          <w:b/>
          <w:bCs/>
          <w:sz w:val="22"/>
          <w:szCs w:val="22"/>
        </w:rPr>
        <w:t xml:space="preserve">ARTÍCULO </w:t>
      </w:r>
      <w:r w:rsidR="009E1E17" w:rsidRPr="000827D6">
        <w:rPr>
          <w:rFonts w:ascii="Verdana" w:hAnsi="Verdana"/>
          <w:b/>
          <w:bCs/>
          <w:sz w:val="22"/>
          <w:szCs w:val="22"/>
        </w:rPr>
        <w:t>1o.</w:t>
      </w:r>
      <w:r w:rsidR="000827D6">
        <w:rPr>
          <w:rFonts w:ascii="Verdana" w:hAnsi="Verdana"/>
          <w:sz w:val="22"/>
          <w:szCs w:val="22"/>
        </w:rPr>
        <w:t xml:space="preserve"> </w:t>
      </w:r>
      <w:r w:rsidRPr="001057C1">
        <w:rPr>
          <w:rFonts w:ascii="Verdana" w:hAnsi="Verdana"/>
          <w:sz w:val="22"/>
          <w:szCs w:val="22"/>
        </w:rPr>
        <w:t>Otorgar Delegación Especial en cabeza del Director de la Regional Chocó del ICBF o quien haga sus veces para la ordenación del gasto y llevar a cabo el proceso de Selección Abreviada por Subasta Inversa Presencial para la contratación que tiene por objeto “PRESTAR EL SERVICIO PÚBLICO DE TRANSPORTE AUTOMOTOR ESPECIAL PARA EL INSTITUTO COLOMBIANO DE BIENESTAR FAMILIAR REGIONAL CHOCÓ DURANTE LAS VIGENCIAS 2015, 2016, 2017 Y 2018”.</w:t>
      </w:r>
    </w:p>
    <w:p w14:paraId="576BD721" w14:textId="791B59CB" w:rsidR="001057C1" w:rsidRPr="001057C1" w:rsidRDefault="001057C1" w:rsidP="001057C1">
      <w:pPr>
        <w:rPr>
          <w:rFonts w:ascii="Verdana" w:hAnsi="Verdana"/>
          <w:sz w:val="22"/>
          <w:szCs w:val="22"/>
        </w:rPr>
      </w:pPr>
      <w:r w:rsidRPr="009E1E17">
        <w:rPr>
          <w:rFonts w:ascii="Verdana" w:hAnsi="Verdana"/>
          <w:b/>
          <w:bCs/>
          <w:sz w:val="22"/>
          <w:szCs w:val="22"/>
        </w:rPr>
        <w:t>PARÁGRAFO</w:t>
      </w:r>
      <w:r w:rsidR="009E1E17">
        <w:rPr>
          <w:rFonts w:ascii="Verdana" w:hAnsi="Verdana"/>
          <w:b/>
          <w:bCs/>
          <w:sz w:val="22"/>
          <w:szCs w:val="22"/>
        </w:rPr>
        <w:t>.</w:t>
      </w:r>
      <w:r w:rsidRPr="001057C1">
        <w:rPr>
          <w:rFonts w:ascii="Verdana" w:hAnsi="Verdana"/>
          <w:sz w:val="22"/>
          <w:szCs w:val="22"/>
        </w:rPr>
        <w:t xml:space="preserve"> La presente delegación especial no altera las delegaciones ya contenidas en el Manual de Contratación vigente.</w:t>
      </w:r>
    </w:p>
    <w:p w14:paraId="3A7302C7" w14:textId="1E6D2F7B" w:rsidR="001057C1" w:rsidRPr="001057C1" w:rsidRDefault="001057C1" w:rsidP="001057C1">
      <w:pPr>
        <w:rPr>
          <w:rFonts w:ascii="Verdana" w:hAnsi="Verdana"/>
          <w:sz w:val="22"/>
          <w:szCs w:val="22"/>
        </w:rPr>
      </w:pPr>
      <w:r w:rsidRPr="009E1E17">
        <w:rPr>
          <w:rFonts w:ascii="Verdana" w:hAnsi="Verdana"/>
          <w:b/>
          <w:bCs/>
          <w:sz w:val="22"/>
          <w:szCs w:val="22"/>
        </w:rPr>
        <w:t xml:space="preserve">ARTÍCULO </w:t>
      </w:r>
      <w:r w:rsidR="00585F30" w:rsidRPr="009E1E17">
        <w:rPr>
          <w:rFonts w:ascii="Verdana" w:hAnsi="Verdana"/>
          <w:b/>
          <w:bCs/>
          <w:sz w:val="22"/>
          <w:szCs w:val="22"/>
        </w:rPr>
        <w:t>2</w:t>
      </w:r>
      <w:r w:rsidR="009E1E17" w:rsidRPr="009E1E17">
        <w:rPr>
          <w:rFonts w:ascii="Verdana" w:hAnsi="Verdana"/>
          <w:b/>
          <w:bCs/>
          <w:sz w:val="22"/>
          <w:szCs w:val="22"/>
        </w:rPr>
        <w:t>o.</w:t>
      </w:r>
      <w:r w:rsidRPr="001057C1">
        <w:rPr>
          <w:rFonts w:ascii="Verdana" w:hAnsi="Verdana"/>
          <w:sz w:val="22"/>
          <w:szCs w:val="22"/>
        </w:rPr>
        <w:t xml:space="preserve"> Que el valor total de la delegación especial para llevar a cabo el proceso de Selección Abreviada por Subasta Inversa Presencial según el objeto </w:t>
      </w:r>
      <w:r w:rsidRPr="001057C1">
        <w:rPr>
          <w:rFonts w:ascii="Verdana" w:hAnsi="Verdana"/>
          <w:sz w:val="22"/>
          <w:szCs w:val="22"/>
        </w:rPr>
        <w:lastRenderedPageBreak/>
        <w:t>descrito en el artículo primero de la presente resolución es de MIL CUATROCIENTOS DOCE MILLONES SEISCIENTOS CUARENTA MIL OCHOCIENTOS OCHENTA Y SIETE PESOS MCTE (1.412.640.887).</w:t>
      </w:r>
    </w:p>
    <w:p w14:paraId="160FEDB5" w14:textId="06D2928A" w:rsidR="001057C1" w:rsidRPr="001057C1" w:rsidRDefault="001057C1" w:rsidP="001057C1">
      <w:pPr>
        <w:rPr>
          <w:rFonts w:ascii="Verdana" w:hAnsi="Verdana"/>
          <w:sz w:val="22"/>
          <w:szCs w:val="22"/>
        </w:rPr>
      </w:pPr>
      <w:r w:rsidRPr="00585F30">
        <w:rPr>
          <w:rFonts w:ascii="Verdana" w:hAnsi="Verdana"/>
          <w:b/>
          <w:bCs/>
          <w:sz w:val="22"/>
          <w:szCs w:val="22"/>
        </w:rPr>
        <w:t xml:space="preserve">ARTÍCULO </w:t>
      </w:r>
      <w:r w:rsidR="00585F30" w:rsidRPr="00585F30">
        <w:rPr>
          <w:rFonts w:ascii="Verdana" w:hAnsi="Verdana"/>
          <w:b/>
          <w:bCs/>
          <w:sz w:val="22"/>
          <w:szCs w:val="22"/>
        </w:rPr>
        <w:t>3o</w:t>
      </w:r>
      <w:r w:rsidRPr="00585F30">
        <w:rPr>
          <w:rFonts w:ascii="Verdana" w:hAnsi="Verdana"/>
          <w:b/>
          <w:bCs/>
          <w:sz w:val="22"/>
          <w:szCs w:val="22"/>
        </w:rPr>
        <w:t>.</w:t>
      </w:r>
      <w:r w:rsidRPr="001057C1">
        <w:rPr>
          <w:rFonts w:ascii="Verdana" w:hAnsi="Verdana"/>
          <w:sz w:val="22"/>
          <w:szCs w:val="22"/>
        </w:rPr>
        <w:t xml:space="preserve"> La presente delegación incluye todas las facultades necesarias para expedir los actos administrativos que demanden la ejecución de las etapas precontractual, contractual y postcontractual, de conformidad con la Ley.</w:t>
      </w:r>
    </w:p>
    <w:p w14:paraId="6F91506B" w14:textId="363A9385" w:rsidR="001057C1" w:rsidRPr="001057C1" w:rsidRDefault="001057C1" w:rsidP="001057C1">
      <w:pPr>
        <w:rPr>
          <w:rFonts w:ascii="Verdana" w:hAnsi="Verdana"/>
          <w:sz w:val="22"/>
          <w:szCs w:val="22"/>
        </w:rPr>
      </w:pPr>
      <w:r w:rsidRPr="00585F30">
        <w:rPr>
          <w:rFonts w:ascii="Verdana" w:hAnsi="Verdana"/>
          <w:b/>
          <w:bCs/>
          <w:sz w:val="22"/>
          <w:szCs w:val="22"/>
        </w:rPr>
        <w:t xml:space="preserve">ARTÍCULO </w:t>
      </w:r>
      <w:r w:rsidR="00585F30">
        <w:rPr>
          <w:rFonts w:ascii="Verdana" w:hAnsi="Verdana"/>
          <w:b/>
          <w:bCs/>
          <w:sz w:val="22"/>
          <w:szCs w:val="22"/>
        </w:rPr>
        <w:t>4º.</w:t>
      </w:r>
      <w:r w:rsidRPr="00585F30">
        <w:rPr>
          <w:rFonts w:ascii="Verdana" w:hAnsi="Verdana"/>
          <w:b/>
          <w:bCs/>
          <w:sz w:val="22"/>
          <w:szCs w:val="22"/>
        </w:rPr>
        <w:t xml:space="preserve"> </w:t>
      </w:r>
      <w:r w:rsidRPr="001057C1">
        <w:rPr>
          <w:rFonts w:ascii="Verdana" w:hAnsi="Verdana"/>
          <w:sz w:val="22"/>
          <w:szCs w:val="22"/>
        </w:rPr>
        <w:t>La presente Resolución rige a partir de la fecha de su expedición.</w:t>
      </w:r>
    </w:p>
    <w:p w14:paraId="47AFF188" w14:textId="537E7AC9" w:rsidR="00D16928" w:rsidRPr="00D16928" w:rsidRDefault="00D16928" w:rsidP="00D16928">
      <w:pPr>
        <w:jc w:val="center"/>
        <w:rPr>
          <w:rFonts w:ascii="Verdana" w:hAnsi="Verdana"/>
          <w:b/>
          <w:bCs/>
          <w:sz w:val="22"/>
          <w:szCs w:val="22"/>
        </w:rPr>
      </w:pPr>
      <w:r w:rsidRPr="00D16928">
        <w:rPr>
          <w:rFonts w:ascii="Verdana" w:hAnsi="Verdana"/>
          <w:b/>
          <w:bCs/>
          <w:sz w:val="22"/>
          <w:szCs w:val="22"/>
        </w:rPr>
        <w:t>COMUNÍQUESE Y CÚMPLASE,</w:t>
      </w:r>
    </w:p>
    <w:p w14:paraId="54000C52" w14:textId="54F149FA" w:rsidR="001057C1" w:rsidRPr="001057C1" w:rsidRDefault="001057C1" w:rsidP="001057C1">
      <w:pPr>
        <w:jc w:val="center"/>
        <w:rPr>
          <w:rFonts w:ascii="Verdana" w:hAnsi="Verdana"/>
          <w:sz w:val="22"/>
          <w:szCs w:val="22"/>
        </w:rPr>
      </w:pPr>
      <w:r w:rsidRPr="001057C1">
        <w:rPr>
          <w:rFonts w:ascii="Verdana" w:hAnsi="Verdana"/>
          <w:sz w:val="22"/>
          <w:szCs w:val="22"/>
        </w:rPr>
        <w:t xml:space="preserve">Dada en Bogotá D. C., </w:t>
      </w:r>
      <w:r>
        <w:rPr>
          <w:rFonts w:ascii="Verdana" w:hAnsi="Verdana"/>
          <w:sz w:val="22"/>
          <w:szCs w:val="22"/>
        </w:rPr>
        <w:t xml:space="preserve">a los </w:t>
      </w:r>
      <w:r w:rsidRPr="001057C1">
        <w:rPr>
          <w:rFonts w:ascii="Verdana" w:hAnsi="Verdana"/>
          <w:sz w:val="22"/>
          <w:szCs w:val="22"/>
        </w:rPr>
        <w:t xml:space="preserve">19 </w:t>
      </w:r>
      <w:r>
        <w:rPr>
          <w:rFonts w:ascii="Verdana" w:hAnsi="Verdana"/>
          <w:sz w:val="22"/>
          <w:szCs w:val="22"/>
        </w:rPr>
        <w:t xml:space="preserve">días del mes de noviembre de </w:t>
      </w:r>
      <w:r w:rsidRPr="001057C1">
        <w:rPr>
          <w:rFonts w:ascii="Verdana" w:hAnsi="Verdana"/>
          <w:sz w:val="22"/>
          <w:szCs w:val="22"/>
        </w:rPr>
        <w:t>2015</w:t>
      </w:r>
    </w:p>
    <w:p w14:paraId="1D7D5A22" w14:textId="504B6D7D" w:rsidR="001057C1" w:rsidRPr="001057C1" w:rsidRDefault="001057C1" w:rsidP="001057C1">
      <w:pPr>
        <w:jc w:val="center"/>
        <w:rPr>
          <w:rFonts w:ascii="Verdana" w:hAnsi="Verdana"/>
          <w:b/>
          <w:bCs/>
          <w:sz w:val="22"/>
          <w:szCs w:val="22"/>
        </w:rPr>
      </w:pPr>
      <w:r w:rsidRPr="001057C1">
        <w:rPr>
          <w:rFonts w:ascii="Verdana" w:hAnsi="Verdana"/>
          <w:b/>
          <w:bCs/>
          <w:sz w:val="22"/>
          <w:szCs w:val="22"/>
        </w:rPr>
        <w:t>CRISTINA PLAZAS MICHELSEN</w:t>
      </w:r>
    </w:p>
    <w:p w14:paraId="6CF79EDE" w14:textId="4867802F" w:rsidR="001057C1" w:rsidRPr="001057C1" w:rsidRDefault="001057C1" w:rsidP="001057C1">
      <w:pPr>
        <w:jc w:val="center"/>
        <w:rPr>
          <w:rFonts w:ascii="Verdana" w:hAnsi="Verdana"/>
          <w:sz w:val="22"/>
          <w:szCs w:val="22"/>
        </w:rPr>
      </w:pPr>
      <w:r w:rsidRPr="001057C1">
        <w:rPr>
          <w:rFonts w:ascii="Verdana" w:hAnsi="Verdana"/>
          <w:sz w:val="22"/>
          <w:szCs w:val="22"/>
        </w:rPr>
        <w:t>DIRECTORA GENERAL</w:t>
      </w:r>
    </w:p>
    <w:p w14:paraId="5794D67B" w14:textId="5DA55B68" w:rsidR="0088588F" w:rsidRPr="001057C1" w:rsidRDefault="0088588F" w:rsidP="001057C1">
      <w:pPr>
        <w:rPr>
          <w:rFonts w:ascii="Verdana" w:hAnsi="Verdana"/>
          <w:sz w:val="22"/>
          <w:szCs w:val="22"/>
        </w:rPr>
      </w:pPr>
    </w:p>
    <w:sectPr w:rsidR="0088588F" w:rsidRPr="001057C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0D5B2" w14:textId="77777777" w:rsidR="000827D6" w:rsidRDefault="000827D6" w:rsidP="000827D6">
      <w:pPr>
        <w:spacing w:after="0"/>
      </w:pPr>
      <w:r>
        <w:separator/>
      </w:r>
    </w:p>
  </w:endnote>
  <w:endnote w:type="continuationSeparator" w:id="0">
    <w:p w14:paraId="7AC36087" w14:textId="77777777" w:rsidR="000827D6" w:rsidRDefault="000827D6" w:rsidP="000827D6">
      <w:pPr>
        <w:spacing w:after="0"/>
      </w:pPr>
      <w:r>
        <w:continuationSeparator/>
      </w:r>
    </w:p>
  </w:endnote>
  <w:endnote w:id="1">
    <w:p w14:paraId="7D147032" w14:textId="2F68B05C" w:rsidR="000827D6" w:rsidRPr="008A2A9D" w:rsidRDefault="000827D6">
      <w:pPr>
        <w:pStyle w:val="Textonotaalfinal"/>
        <w:rPr>
          <w:rFonts w:ascii="Verdana" w:hAnsi="Verdana"/>
          <w:sz w:val="16"/>
          <w:szCs w:val="16"/>
        </w:rPr>
      </w:pPr>
      <w:r w:rsidRPr="008A2A9D">
        <w:rPr>
          <w:rStyle w:val="Refdenotaalfinal"/>
          <w:rFonts w:ascii="Verdana" w:hAnsi="Verdana"/>
          <w:sz w:val="16"/>
          <w:szCs w:val="16"/>
        </w:rPr>
        <w:endnoteRef/>
      </w:r>
      <w:r w:rsidRPr="008A2A9D">
        <w:rPr>
          <w:rFonts w:ascii="Verdana" w:hAnsi="Verdana"/>
          <w:sz w:val="16"/>
          <w:szCs w:val="16"/>
        </w:rPr>
        <w:t xml:space="preserve"> </w:t>
      </w:r>
      <w:r w:rsidR="00FC09FF" w:rsidRPr="008A2A9D">
        <w:rPr>
          <w:rFonts w:ascii="Verdana" w:hAnsi="Verdana"/>
          <w:sz w:val="16"/>
          <w:szCs w:val="16"/>
        </w:rPr>
        <w:t>Sentencia C-101 de 1996. M.P. Eduardo Cifuentes Muñoz</w:t>
      </w:r>
    </w:p>
  </w:endnote>
  <w:endnote w:id="2">
    <w:p w14:paraId="32F0C265" w14:textId="03E912A3" w:rsidR="00201D86" w:rsidRDefault="00201D86">
      <w:pPr>
        <w:pStyle w:val="Textonotaalfinal"/>
      </w:pPr>
      <w:r w:rsidRPr="008A2A9D">
        <w:rPr>
          <w:rStyle w:val="Refdenotaalfinal"/>
          <w:rFonts w:ascii="Verdana" w:hAnsi="Verdana"/>
          <w:sz w:val="16"/>
          <w:szCs w:val="16"/>
        </w:rPr>
        <w:endnoteRef/>
      </w:r>
      <w:r w:rsidRPr="008A2A9D">
        <w:rPr>
          <w:rFonts w:ascii="Verdana" w:hAnsi="Verdana"/>
          <w:sz w:val="16"/>
          <w:szCs w:val="16"/>
        </w:rPr>
        <w:t xml:space="preserve"> </w:t>
      </w:r>
      <w:r w:rsidR="008A2A9D" w:rsidRPr="008A2A9D">
        <w:rPr>
          <w:rFonts w:ascii="Verdana" w:hAnsi="Verdana"/>
          <w:sz w:val="16"/>
          <w:szCs w:val="16"/>
        </w:rPr>
        <w:t>Corte Constitucional, Sentencia C-283 de 1997 M.P. Eduardo Cifuentes Muñoz</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810A4" w14:textId="77777777" w:rsidR="000827D6" w:rsidRDefault="000827D6" w:rsidP="000827D6">
      <w:pPr>
        <w:spacing w:after="0"/>
      </w:pPr>
      <w:r>
        <w:separator/>
      </w:r>
    </w:p>
  </w:footnote>
  <w:footnote w:type="continuationSeparator" w:id="0">
    <w:p w14:paraId="09A1E6E1" w14:textId="77777777" w:rsidR="000827D6" w:rsidRDefault="000827D6" w:rsidP="000827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E1E71"/>
    <w:multiLevelType w:val="hybridMultilevel"/>
    <w:tmpl w:val="30C8E2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92654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12"/>
    <w:rsid w:val="00015D2A"/>
    <w:rsid w:val="000827D6"/>
    <w:rsid w:val="001057C1"/>
    <w:rsid w:val="001A25D7"/>
    <w:rsid w:val="00201D86"/>
    <w:rsid w:val="00361A34"/>
    <w:rsid w:val="003C46D8"/>
    <w:rsid w:val="00490B89"/>
    <w:rsid w:val="00550F5C"/>
    <w:rsid w:val="00585F30"/>
    <w:rsid w:val="0088588F"/>
    <w:rsid w:val="008A2A9D"/>
    <w:rsid w:val="009E1E17"/>
    <w:rsid w:val="00AA6467"/>
    <w:rsid w:val="00B1415F"/>
    <w:rsid w:val="00D16928"/>
    <w:rsid w:val="00ED7DCF"/>
    <w:rsid w:val="00F56C12"/>
    <w:rsid w:val="00FC09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8920"/>
  <w15:chartTrackingRefBased/>
  <w15:docId w15:val="{F336E210-120B-4698-A554-8ACF7533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56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56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56C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56C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56C1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56C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56C1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56C1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56C12"/>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6C1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56C1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56C1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56C1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56C1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56C1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56C1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56C1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56C1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56C1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56C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56C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56C1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56C12"/>
    <w:pPr>
      <w:spacing w:before="160"/>
      <w:jc w:val="center"/>
    </w:pPr>
    <w:rPr>
      <w:i/>
      <w:iCs/>
      <w:color w:val="404040" w:themeColor="text1" w:themeTint="BF"/>
    </w:rPr>
  </w:style>
  <w:style w:type="character" w:customStyle="1" w:styleId="CitaCar">
    <w:name w:val="Cita Car"/>
    <w:basedOn w:val="Fuentedeprrafopredeter"/>
    <w:link w:val="Cita"/>
    <w:uiPriority w:val="29"/>
    <w:rsid w:val="00F56C12"/>
    <w:rPr>
      <w:i/>
      <w:iCs/>
      <w:color w:val="404040" w:themeColor="text1" w:themeTint="BF"/>
    </w:rPr>
  </w:style>
  <w:style w:type="paragraph" w:styleId="Prrafodelista">
    <w:name w:val="List Paragraph"/>
    <w:basedOn w:val="Normal"/>
    <w:uiPriority w:val="34"/>
    <w:qFormat/>
    <w:rsid w:val="00F56C12"/>
    <w:pPr>
      <w:ind w:left="720"/>
      <w:contextualSpacing/>
    </w:pPr>
  </w:style>
  <w:style w:type="character" w:styleId="nfasisintenso">
    <w:name w:val="Intense Emphasis"/>
    <w:basedOn w:val="Fuentedeprrafopredeter"/>
    <w:uiPriority w:val="21"/>
    <w:qFormat/>
    <w:rsid w:val="00F56C12"/>
    <w:rPr>
      <w:i/>
      <w:iCs/>
      <w:color w:val="0F4761" w:themeColor="accent1" w:themeShade="BF"/>
    </w:rPr>
  </w:style>
  <w:style w:type="paragraph" w:styleId="Citadestacada">
    <w:name w:val="Intense Quote"/>
    <w:basedOn w:val="Normal"/>
    <w:next w:val="Normal"/>
    <w:link w:val="CitadestacadaCar"/>
    <w:uiPriority w:val="30"/>
    <w:qFormat/>
    <w:rsid w:val="00F56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56C12"/>
    <w:rPr>
      <w:i/>
      <w:iCs/>
      <w:color w:val="0F4761" w:themeColor="accent1" w:themeShade="BF"/>
    </w:rPr>
  </w:style>
  <w:style w:type="character" w:styleId="Referenciaintensa">
    <w:name w:val="Intense Reference"/>
    <w:basedOn w:val="Fuentedeprrafopredeter"/>
    <w:uiPriority w:val="32"/>
    <w:qFormat/>
    <w:rsid w:val="00F56C12"/>
    <w:rPr>
      <w:b/>
      <w:bCs/>
      <w:smallCaps/>
      <w:color w:val="0F4761" w:themeColor="accent1" w:themeShade="BF"/>
      <w:spacing w:val="5"/>
    </w:rPr>
  </w:style>
  <w:style w:type="paragraph" w:styleId="Textonotaalfinal">
    <w:name w:val="endnote text"/>
    <w:basedOn w:val="Normal"/>
    <w:link w:val="TextonotaalfinalCar"/>
    <w:uiPriority w:val="99"/>
    <w:semiHidden/>
    <w:unhideWhenUsed/>
    <w:rsid w:val="000827D6"/>
    <w:pPr>
      <w:spacing w:after="0"/>
    </w:pPr>
    <w:rPr>
      <w:sz w:val="20"/>
      <w:szCs w:val="20"/>
    </w:rPr>
  </w:style>
  <w:style w:type="character" w:customStyle="1" w:styleId="TextonotaalfinalCar">
    <w:name w:val="Texto nota al final Car"/>
    <w:basedOn w:val="Fuentedeprrafopredeter"/>
    <w:link w:val="Textonotaalfinal"/>
    <w:uiPriority w:val="99"/>
    <w:semiHidden/>
    <w:rsid w:val="000827D6"/>
    <w:rPr>
      <w:sz w:val="20"/>
      <w:szCs w:val="20"/>
    </w:rPr>
  </w:style>
  <w:style w:type="character" w:styleId="Refdenotaalfinal">
    <w:name w:val="endnote reference"/>
    <w:basedOn w:val="Fuentedeprrafopredeter"/>
    <w:uiPriority w:val="99"/>
    <w:semiHidden/>
    <w:unhideWhenUsed/>
    <w:rsid w:val="000827D6"/>
    <w:rPr>
      <w:vertAlign w:val="superscript"/>
    </w:rPr>
  </w:style>
  <w:style w:type="table" w:styleId="Tablaconcuadrcula">
    <w:name w:val="Table Grid"/>
    <w:basedOn w:val="Tablanormal"/>
    <w:uiPriority w:val="39"/>
    <w:rsid w:val="00AA646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29BFE-A306-4640-928E-B0B82EC6963C}">
  <ds:schemaRefs>
    <ds:schemaRef ds:uri="http://schemas.openxmlformats.org/officeDocument/2006/bibliography"/>
  </ds:schemaRefs>
</ds:datastoreItem>
</file>

<file path=customXml/itemProps2.xml><?xml version="1.0" encoding="utf-8"?>
<ds:datastoreItem xmlns:ds="http://schemas.openxmlformats.org/officeDocument/2006/customXml" ds:itemID="{1A34DAAB-B144-4481-992D-2835A5416DB2}"/>
</file>

<file path=customXml/itemProps3.xml><?xml version="1.0" encoding="utf-8"?>
<ds:datastoreItem xmlns:ds="http://schemas.openxmlformats.org/officeDocument/2006/customXml" ds:itemID="{26B17462-F450-4E80-96EC-664C0DCFBA83}"/>
</file>

<file path=customXml/itemProps4.xml><?xml version="1.0" encoding="utf-8"?>
<ds:datastoreItem xmlns:ds="http://schemas.openxmlformats.org/officeDocument/2006/customXml" ds:itemID="{2E366972-F06E-4EC5-9AD9-18EE805D30D6}"/>
</file>

<file path=docProps/app.xml><?xml version="1.0" encoding="utf-8"?>
<Properties xmlns="http://schemas.openxmlformats.org/officeDocument/2006/extended-properties" xmlns:vt="http://schemas.openxmlformats.org/officeDocument/2006/docPropsVTypes">
  <Template>Normal</Template>
  <TotalTime>12</TotalTime>
  <Pages>7</Pages>
  <Words>2428</Words>
  <Characters>13359</Characters>
  <Application>Microsoft Office Word</Application>
  <DocSecurity>0</DocSecurity>
  <Lines>111</Lines>
  <Paragraphs>31</Paragraphs>
  <ScaleCrop>false</ScaleCrop>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13</cp:revision>
  <dcterms:created xsi:type="dcterms:W3CDTF">2026-02-06T16:40:00Z</dcterms:created>
  <dcterms:modified xsi:type="dcterms:W3CDTF">2026-02-06T21:44:00Z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