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E7DC0" w14:textId="77777777" w:rsidR="00A23689" w:rsidRDefault="00A23689" w:rsidP="00A23689">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954 DE 1997</w:t>
      </w:r>
    </w:p>
    <w:p w14:paraId="5CA3194E" w14:textId="1B1AB34A" w:rsidR="00A23689" w:rsidRPr="00A23689" w:rsidRDefault="00A23689" w:rsidP="00A23689">
      <w:pPr>
        <w:pStyle w:val="Sinespaciado"/>
        <w:rPr>
          <w:sz w:val="20"/>
          <w:szCs w:val="20"/>
        </w:rPr>
      </w:pPr>
      <w:bookmarkStart w:id="0" w:name="_gkik43155102" w:colFirst="0" w:colLast="0"/>
      <w:bookmarkEnd w:id="0"/>
      <w:r w:rsidRPr="00A23689">
        <w:rPr>
          <w:sz w:val="20"/>
          <w:szCs w:val="20"/>
        </w:rPr>
        <w:t>Fecha de Expedición: 21 de abril de 1997</w:t>
      </w:r>
    </w:p>
    <w:p w14:paraId="780EB74C" w14:textId="77777777" w:rsidR="00A23689" w:rsidRPr="00A23689" w:rsidRDefault="00A23689" w:rsidP="00A23689">
      <w:pPr>
        <w:pStyle w:val="Sinespaciado"/>
        <w:rPr>
          <w:sz w:val="20"/>
          <w:szCs w:val="20"/>
        </w:rPr>
      </w:pPr>
      <w:r w:rsidRPr="00A23689">
        <w:rPr>
          <w:sz w:val="20"/>
          <w:szCs w:val="20"/>
        </w:rPr>
        <w:t xml:space="preserve">Fecha de </w:t>
      </w:r>
      <w:proofErr w:type="gramStart"/>
      <w:r w:rsidRPr="00A23689">
        <w:rPr>
          <w:sz w:val="20"/>
          <w:szCs w:val="20"/>
        </w:rPr>
        <w:t>entrada en vigencia</w:t>
      </w:r>
      <w:proofErr w:type="gramEnd"/>
      <w:r w:rsidRPr="00A23689">
        <w:rPr>
          <w:sz w:val="20"/>
          <w:szCs w:val="20"/>
        </w:rPr>
        <w:t>: 21 de abril de 1997</w:t>
      </w:r>
    </w:p>
    <w:p w14:paraId="679AE960" w14:textId="77777777" w:rsidR="00A23689" w:rsidRPr="00A23689" w:rsidRDefault="00A23689" w:rsidP="00A23689">
      <w:pPr>
        <w:pStyle w:val="Sinespaciado"/>
        <w:rPr>
          <w:sz w:val="20"/>
          <w:szCs w:val="20"/>
        </w:rPr>
      </w:pPr>
      <w:r w:rsidRPr="00A23689">
        <w:rPr>
          <w:sz w:val="20"/>
          <w:szCs w:val="20"/>
        </w:rPr>
        <w:t>Estado de la vigencia: Derogada por el artículo 44 de la Resolución 2680 de 1999</w:t>
      </w:r>
    </w:p>
    <w:p w14:paraId="5A1A8C53" w14:textId="77777777" w:rsidR="00A23689" w:rsidRDefault="00A23689" w:rsidP="00A23689">
      <w:pPr>
        <w:pStyle w:val="Sinespaciado"/>
        <w:rPr>
          <w:sz w:val="20"/>
          <w:szCs w:val="20"/>
        </w:rPr>
      </w:pPr>
    </w:p>
    <w:p w14:paraId="3CF7F100" w14:textId="543A429E" w:rsidR="00A23689" w:rsidRPr="00A23689" w:rsidRDefault="00A23689" w:rsidP="00A23689">
      <w:pPr>
        <w:pStyle w:val="Sinespaciado"/>
        <w:rPr>
          <w:sz w:val="20"/>
          <w:szCs w:val="20"/>
        </w:rPr>
      </w:pPr>
      <w:r w:rsidRPr="00A23689">
        <w:rPr>
          <w:sz w:val="20"/>
          <w:szCs w:val="20"/>
        </w:rPr>
        <w:t>Fecha de publicación en Diario Oficial: N/A</w:t>
      </w:r>
    </w:p>
    <w:p w14:paraId="28723A4B" w14:textId="0EE560C6" w:rsidR="00815170" w:rsidRDefault="00A23689" w:rsidP="00A23689">
      <w:pPr>
        <w:pStyle w:val="Sinespaciado"/>
        <w:rPr>
          <w:sz w:val="20"/>
          <w:szCs w:val="20"/>
        </w:rPr>
      </w:pPr>
      <w:r w:rsidRPr="00A23689">
        <w:rPr>
          <w:sz w:val="20"/>
          <w:szCs w:val="20"/>
        </w:rPr>
        <w:t>Número del Diario Oficial: N/A</w:t>
      </w:r>
    </w:p>
    <w:p w14:paraId="04464697" w14:textId="77777777" w:rsidR="00A23689" w:rsidRPr="00A23689" w:rsidRDefault="00A23689" w:rsidP="00A23689">
      <w:pPr>
        <w:pStyle w:val="Sinespaciado"/>
        <w:rPr>
          <w:sz w:val="20"/>
          <w:szCs w:val="20"/>
        </w:rPr>
      </w:pPr>
    </w:p>
    <w:p w14:paraId="4133209E" w14:textId="77777777" w:rsidR="00815170" w:rsidRDefault="00000000">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954 DE 1997</w:t>
      </w:r>
    </w:p>
    <w:p w14:paraId="61773147" w14:textId="77777777" w:rsidR="00815170" w:rsidRDefault="00000000">
      <w:pPr>
        <w:shd w:val="clear" w:color="auto" w:fill="FFFFFF"/>
        <w:spacing w:after="240" w:line="259" w:lineRule="auto"/>
        <w:jc w:val="center"/>
        <w:rPr>
          <w:rFonts w:ascii="Verdana" w:eastAsia="Verdana" w:hAnsi="Verdana" w:cs="Verdana"/>
        </w:rPr>
      </w:pPr>
      <w:r>
        <w:rPr>
          <w:rFonts w:ascii="Verdana" w:eastAsia="Verdana" w:hAnsi="Verdana" w:cs="Verdana"/>
        </w:rPr>
        <w:t>(21 abril)</w:t>
      </w:r>
    </w:p>
    <w:p w14:paraId="34AA4F81" w14:textId="77777777" w:rsidR="00815170" w:rsidRDefault="00000000">
      <w:pPr>
        <w:shd w:val="clear" w:color="auto" w:fill="FFFFFF"/>
        <w:spacing w:after="240" w:line="259" w:lineRule="auto"/>
        <w:jc w:val="center"/>
        <w:rPr>
          <w:rFonts w:ascii="Verdana" w:eastAsia="Verdana" w:hAnsi="Verdana" w:cs="Verdana"/>
          <w:b/>
          <w:bCs/>
        </w:rPr>
      </w:pPr>
      <w:r>
        <w:rPr>
          <w:rFonts w:ascii="Verdana" w:eastAsia="Verdana" w:hAnsi="Verdana" w:cs="Verdana"/>
          <w:b/>
          <w:bCs/>
        </w:rPr>
        <w:t>INSTITUTO COLOMBIANO DE BIENESTAR FAMILIAR – ICBF</w:t>
      </w:r>
    </w:p>
    <w:p w14:paraId="04B8D21F" w14:textId="13DC86BA" w:rsidR="00815170" w:rsidRDefault="00000000">
      <w:pPr>
        <w:shd w:val="clear" w:color="auto" w:fill="FFFFFF"/>
        <w:spacing w:after="240" w:line="259" w:lineRule="auto"/>
        <w:jc w:val="center"/>
        <w:rPr>
          <w:rFonts w:ascii="Verdana" w:eastAsia="Verdana" w:hAnsi="Verdana" w:cs="Verdana"/>
        </w:rPr>
      </w:pPr>
      <w:r>
        <w:rPr>
          <w:rFonts w:ascii="Verdana" w:eastAsia="Verdana" w:hAnsi="Verdana" w:cs="Verdana"/>
        </w:rPr>
        <w:t>“Por la cual se modifica la Resolución No. 1400 del 14 de julio de 1996”</w:t>
      </w:r>
    </w:p>
    <w:p w14:paraId="4161A2F6" w14:textId="77777777" w:rsidR="00815170" w:rsidRDefault="00000000">
      <w:pPr>
        <w:shd w:val="clear" w:color="auto" w:fill="FFFFFF"/>
        <w:spacing w:after="240" w:line="259"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59B59DF1" w14:textId="17F7F251" w:rsidR="00815170" w:rsidRDefault="00000000">
      <w:pPr>
        <w:shd w:val="clear" w:color="auto" w:fill="FFFFFF"/>
        <w:spacing w:after="240" w:line="259" w:lineRule="auto"/>
        <w:jc w:val="center"/>
        <w:rPr>
          <w:rFonts w:ascii="Verdana" w:eastAsia="Verdana" w:hAnsi="Verdana" w:cs="Verdana"/>
        </w:rPr>
      </w:pPr>
      <w:r>
        <w:rPr>
          <w:rFonts w:ascii="Verdana" w:eastAsia="Verdana" w:hAnsi="Verdana" w:cs="Verdana"/>
        </w:rPr>
        <w:t>en uso de sus facultades legales y estatutarias, en especial las conferidas por el literal b) del artículo 28 de la Ley 7a. de 1979 y el literal c) del artículo 28 de los Estatutos,</w:t>
      </w:r>
    </w:p>
    <w:p w14:paraId="277919F1" w14:textId="77777777" w:rsidR="00815170" w:rsidRDefault="00000000">
      <w:pPr>
        <w:shd w:val="clear" w:color="auto" w:fill="FFFFFF"/>
        <w:spacing w:after="240" w:line="259" w:lineRule="auto"/>
        <w:jc w:val="center"/>
        <w:rPr>
          <w:rFonts w:ascii="Verdana" w:eastAsia="Verdana" w:hAnsi="Verdana" w:cs="Verdana"/>
          <w:b/>
          <w:bCs/>
        </w:rPr>
      </w:pPr>
      <w:r>
        <w:rPr>
          <w:rFonts w:ascii="Verdana" w:eastAsia="Verdana" w:hAnsi="Verdana" w:cs="Verdana"/>
          <w:b/>
          <w:bCs/>
        </w:rPr>
        <w:t>RESUELVE:</w:t>
      </w:r>
    </w:p>
    <w:p w14:paraId="6BE501E6" w14:textId="0863E904"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Modificar el artículo quinto de la Resolución 1400 de 1996, el cual quedará así:</w:t>
      </w:r>
    </w:p>
    <w:p w14:paraId="4B86BC1B" w14:textId="1FEB3B5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Las </w:t>
      </w:r>
      <w:proofErr w:type="gramStart"/>
      <w:r>
        <w:rPr>
          <w:rFonts w:ascii="Verdana" w:eastAsia="Verdana" w:hAnsi="Verdana" w:cs="Verdana"/>
        </w:rPr>
        <w:t>Secretarias Generales</w:t>
      </w:r>
      <w:proofErr w:type="gramEnd"/>
      <w:r>
        <w:rPr>
          <w:rFonts w:ascii="Verdana" w:eastAsia="Verdana" w:hAnsi="Verdana" w:cs="Verdana"/>
        </w:rPr>
        <w:t xml:space="preserve">, las Subdirecciones y las Oficinas en la Sede Nacional, las Divisiones en las Regionales y los </w:t>
      </w:r>
      <w:proofErr w:type="gramStart"/>
      <w:r>
        <w:rPr>
          <w:rFonts w:ascii="Verdana" w:eastAsia="Verdana" w:hAnsi="Verdana" w:cs="Verdana"/>
        </w:rPr>
        <w:t>Directores</w:t>
      </w:r>
      <w:proofErr w:type="gramEnd"/>
      <w:r>
        <w:rPr>
          <w:rFonts w:ascii="Verdana" w:eastAsia="Verdana" w:hAnsi="Verdana" w:cs="Verdana"/>
        </w:rPr>
        <w:t xml:space="preserve"> Seccionales de Agencia, elaborarán un cuadro de programación de actividades que impliquen adquisición de bienes o servicios, con el fin de que la misma sea aprobada por la Dirección General o Regional.</w:t>
      </w:r>
    </w:p>
    <w:p w14:paraId="0AEB32DA"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Esta programación debe contener la siguiente información:</w:t>
      </w:r>
    </w:p>
    <w:p w14:paraId="7C0A7CE7"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1. Actividad por realizar, que requiera contrataciones de bienes, servicios u obras públicas.</w:t>
      </w:r>
    </w:p>
    <w:p w14:paraId="3966B476"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2. Obra, bien o servicio por contratar.</w:t>
      </w:r>
    </w:p>
    <w:p w14:paraId="3425E72A"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3. Presupuesto aproximado</w:t>
      </w:r>
    </w:p>
    <w:p w14:paraId="2D21F6FF"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Estas programaciones deben remitirse a la Subdirección Administrativa en la Sede Nacional y a las Divisiones Administrativas y Financieras o Administrativas en las Regionales, dentro de la última semana del mes anterior al cual corresponde la programación.</w:t>
      </w:r>
    </w:p>
    <w:p w14:paraId="0B0D6C15"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 xml:space="preserve">El primer día hábil de cada mes, la Subdirección Administrativa, las Divisiones </w:t>
      </w:r>
    </w:p>
    <w:p w14:paraId="1CF81422"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lastRenderedPageBreak/>
        <w:t xml:space="preserve">Administrativas y Financieras o Administrativas presentarán para aprobación de la </w:t>
      </w:r>
    </w:p>
    <w:p w14:paraId="74292029"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Dirección General o las Direcciones Regionales, las respectivas programaciones.</w:t>
      </w:r>
    </w:p>
    <w:p w14:paraId="68C3AD7E"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w:t>
      </w:r>
      <w:proofErr w:type="gramStart"/>
      <w:r>
        <w:rPr>
          <w:rFonts w:ascii="Verdana" w:eastAsia="Verdana" w:hAnsi="Verdana" w:cs="Verdana"/>
        </w:rPr>
        <w:t>Subdirector</w:t>
      </w:r>
      <w:proofErr w:type="gramEnd"/>
      <w:r>
        <w:rPr>
          <w:rFonts w:ascii="Verdana" w:eastAsia="Verdana" w:hAnsi="Verdana" w:cs="Verdana"/>
        </w:rPr>
        <w:t xml:space="preserve"> Administrativo en la Sede Nacional y los </w:t>
      </w:r>
      <w:proofErr w:type="gramStart"/>
      <w:r>
        <w:rPr>
          <w:rFonts w:ascii="Verdana" w:eastAsia="Verdana" w:hAnsi="Verdana" w:cs="Verdana"/>
        </w:rPr>
        <w:t>Jefes</w:t>
      </w:r>
      <w:proofErr w:type="gramEnd"/>
      <w:r>
        <w:rPr>
          <w:rFonts w:ascii="Verdana" w:eastAsia="Verdana" w:hAnsi="Verdana" w:cs="Verdana"/>
        </w:rPr>
        <w:t xml:space="preserve"> Administrativos y Financieros o Administrativos en las Regionales, de manera inmediata, informarán a las dependencias respectivas la programación aprobada y remitirán copia de los cuadros respectivos a la División de Recursos Físicos de la Sede Nacional y a la División Jurídica en las Regionales.</w:t>
      </w:r>
    </w:p>
    <w:p w14:paraId="35E3AA7E" w14:textId="4AF99664"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Modificar el artículo sexto de la Resolución 1400 de 1996, el cual quedará así:</w:t>
      </w:r>
    </w:p>
    <w:p w14:paraId="7A1076F1" w14:textId="73853E74"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 xml:space="preserve">Conocida por las diferentes áreas la programación de actividades aprobada, los </w:t>
      </w:r>
      <w:proofErr w:type="gramStart"/>
      <w:r>
        <w:rPr>
          <w:rFonts w:ascii="Verdana" w:eastAsia="Verdana" w:hAnsi="Verdana" w:cs="Verdana"/>
        </w:rPr>
        <w:t>Secretarios Generales</w:t>
      </w:r>
      <w:proofErr w:type="gramEnd"/>
      <w:r>
        <w:rPr>
          <w:rFonts w:ascii="Verdana" w:eastAsia="Verdana" w:hAnsi="Verdana" w:cs="Verdana"/>
        </w:rPr>
        <w:t xml:space="preserve">, </w:t>
      </w:r>
      <w:proofErr w:type="gramStart"/>
      <w:r>
        <w:rPr>
          <w:rFonts w:ascii="Verdana" w:eastAsia="Verdana" w:hAnsi="Verdana" w:cs="Verdana"/>
        </w:rPr>
        <w:t>Subdirectores</w:t>
      </w:r>
      <w:proofErr w:type="gramEnd"/>
      <w:r>
        <w:rPr>
          <w:rFonts w:ascii="Verdana" w:eastAsia="Verdana" w:hAnsi="Verdana" w:cs="Verdana"/>
        </w:rPr>
        <w:t xml:space="preserve">, jefes de Oficina en la Sede Nacional y los </w:t>
      </w:r>
      <w:proofErr w:type="gramStart"/>
      <w:r>
        <w:rPr>
          <w:rFonts w:ascii="Verdana" w:eastAsia="Verdana" w:hAnsi="Verdana" w:cs="Verdana"/>
        </w:rPr>
        <w:t>Jefes</w:t>
      </w:r>
      <w:proofErr w:type="gramEnd"/>
      <w:r>
        <w:rPr>
          <w:rFonts w:ascii="Verdana" w:eastAsia="Verdana" w:hAnsi="Verdana" w:cs="Verdana"/>
        </w:rPr>
        <w:t xml:space="preserve"> de las Divisiones en las Regionales, elevarán ante la Subdirección Administrativa en la Sede Nacional y ante las Divisiones Administrativas y Financieras o Administrativas en las Regionales, las solicitudes de contratos, según anexos 1 y 2, las cuales sólo podrán ser suscritas por los citados funcionarios.</w:t>
      </w:r>
    </w:p>
    <w:p w14:paraId="64AFED37" w14:textId="3685CAC0"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Modificar el artículo séptimo de la Resolución 1400 de 1996, el cual quedará así:</w:t>
      </w:r>
    </w:p>
    <w:p w14:paraId="4C2C45F3" w14:textId="7A74E719"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En la Sede Nacional, la Subdirección Administrativa, previa verificación de la programación aprobada por la Dirección General, remitirá a la División de Recursos Físicos las solicitudes de contrato elevadas por las diferentes dependencias, para que, con base en la información que acompaña a las mismas y teniendo en cuenta los precios del mercado y el presupuesto estimado de la contratación, solicite dentro del día hábil siguiente los respectivos certificados de disponibilidad presupuestal. La División de Presupuesto expedirá dichos certificados en un término no mayor de tres (3) días hábiles. En las Regionales estos trámites se adelantarán por parte de los </w:t>
      </w:r>
      <w:proofErr w:type="gramStart"/>
      <w:r>
        <w:rPr>
          <w:rFonts w:ascii="Verdana" w:eastAsia="Verdana" w:hAnsi="Verdana" w:cs="Verdana"/>
        </w:rPr>
        <w:t>Jefes</w:t>
      </w:r>
      <w:proofErr w:type="gramEnd"/>
      <w:r>
        <w:rPr>
          <w:rFonts w:ascii="Verdana" w:eastAsia="Verdana" w:hAnsi="Verdana" w:cs="Verdana"/>
        </w:rPr>
        <w:t xml:space="preserve"> de las Divisiones Administrativa y Financiera o Administrativa.</w:t>
      </w:r>
    </w:p>
    <w:p w14:paraId="5984557D"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 xml:space="preserve">Obtenidas las cotizaciones u ofertas, la División de Recursos Físicos y las Divisiones Administrativa y Financiera o Administrativa de las Regionales, </w:t>
      </w:r>
      <w:proofErr w:type="gramStart"/>
      <w:r>
        <w:rPr>
          <w:rFonts w:ascii="Verdana" w:eastAsia="Verdana" w:hAnsi="Verdana" w:cs="Verdana"/>
        </w:rPr>
        <w:t>conjuntamente con</w:t>
      </w:r>
      <w:proofErr w:type="gramEnd"/>
      <w:r>
        <w:rPr>
          <w:rFonts w:ascii="Verdana" w:eastAsia="Verdana" w:hAnsi="Verdana" w:cs="Verdana"/>
        </w:rPr>
        <w:t xml:space="preserve"> la dependencia solicitante, procederán dentro de los cinco (5) días hábiles siguientes, a la evaluación general de las mismas y a la selección objetiva del contratista. La decisión que se </w:t>
      </w:r>
      <w:proofErr w:type="gramStart"/>
      <w:r>
        <w:rPr>
          <w:rFonts w:ascii="Verdana" w:eastAsia="Verdana" w:hAnsi="Verdana" w:cs="Verdana"/>
        </w:rPr>
        <w:t>tome,</w:t>
      </w:r>
      <w:proofErr w:type="gramEnd"/>
      <w:r>
        <w:rPr>
          <w:rFonts w:ascii="Verdana" w:eastAsia="Verdana" w:hAnsi="Verdana" w:cs="Verdana"/>
        </w:rPr>
        <w:t xml:space="preserve"> deberá constar en Acta de Evaluación de las ofertas y Selección Objetiva del Contratista, según Anexo No.3.</w:t>
      </w:r>
    </w:p>
    <w:p w14:paraId="44D090EC"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Las solicitudes de contratos que no reúnan los requisitos de los </w:t>
      </w:r>
    </w:p>
    <w:p w14:paraId="105498E3"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 xml:space="preserve">Anexos Nos. </w:t>
      </w:r>
      <w:r>
        <w:rPr>
          <w:rFonts w:ascii="Verdana" w:eastAsia="Verdana" w:hAnsi="Verdana" w:cs="Verdana"/>
          <w:i/>
          <w:iCs/>
        </w:rPr>
        <w:t xml:space="preserve">1 </w:t>
      </w:r>
      <w:r>
        <w:rPr>
          <w:rFonts w:ascii="Verdana" w:eastAsia="Verdana" w:hAnsi="Verdana" w:cs="Verdana"/>
        </w:rPr>
        <w:t>y 2, serán devueltas a la dependencia solicitante.</w:t>
      </w:r>
    </w:p>
    <w:p w14:paraId="1879E634" w14:textId="77777777" w:rsidR="00815170" w:rsidRDefault="00815170">
      <w:pPr>
        <w:shd w:val="clear" w:color="auto" w:fill="FFFFFF"/>
        <w:spacing w:line="259" w:lineRule="auto"/>
        <w:jc w:val="both"/>
        <w:rPr>
          <w:rFonts w:ascii="Verdana" w:eastAsia="Verdana" w:hAnsi="Verdana" w:cs="Verdana"/>
        </w:rPr>
      </w:pPr>
    </w:p>
    <w:p w14:paraId="1781130A" w14:textId="5BA3A5D4"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lastRenderedPageBreak/>
        <w:t>ARTÍCULO CUARTO.</w:t>
      </w:r>
      <w:r>
        <w:rPr>
          <w:rFonts w:ascii="Verdana" w:eastAsia="Verdana" w:hAnsi="Verdana" w:cs="Verdana"/>
        </w:rPr>
        <w:t xml:space="preserve"> Reemplazar el Anexo No. 2 de la Resolución 1400 de 1996, por el Anexo con igual número que aprueba la presente Resolución y que hace parte de </w:t>
      </w:r>
      <w:proofErr w:type="gramStart"/>
      <w:r>
        <w:rPr>
          <w:rFonts w:ascii="Verdana" w:eastAsia="Verdana" w:hAnsi="Verdana" w:cs="Verdana"/>
        </w:rPr>
        <w:t>la misma</w:t>
      </w:r>
      <w:proofErr w:type="gramEnd"/>
      <w:r>
        <w:rPr>
          <w:rFonts w:ascii="Verdana" w:eastAsia="Verdana" w:hAnsi="Verdana" w:cs="Verdana"/>
        </w:rPr>
        <w:t>.</w:t>
      </w:r>
    </w:p>
    <w:p w14:paraId="4DC4184F" w14:textId="487208F4"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Adicionar en el numeral 4.1 (página 18) del Anexo No.1 de la Resolución No. 1400 de 1996, lo siguiente: De conformidad con lo establecido en el Decreto No. 1086 del 15 de abril de 1997, los contratos de prestación de servicios sólo podrán celebrarse con personas naturales o jurídicas cuando no exista personal de planta especializado para la labor requerida.</w:t>
      </w:r>
    </w:p>
    <w:p w14:paraId="76E578F2"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 xml:space="preserve">A estos efectos, el </w:t>
      </w:r>
      <w:proofErr w:type="gramStart"/>
      <w:r>
        <w:rPr>
          <w:rFonts w:ascii="Verdana" w:eastAsia="Verdana" w:hAnsi="Verdana" w:cs="Verdana"/>
        </w:rPr>
        <w:t>Jefe</w:t>
      </w:r>
      <w:proofErr w:type="gramEnd"/>
      <w:r>
        <w:rPr>
          <w:rFonts w:ascii="Verdana" w:eastAsia="Verdana" w:hAnsi="Verdana" w:cs="Verdana"/>
        </w:rPr>
        <w:t xml:space="preserve"> de la Entidad en forma indelegable deberá certificar la inexistencia de personal de planta especializado para desarrollar las actividades que se pretendan contratar.</w:t>
      </w:r>
    </w:p>
    <w:p w14:paraId="5C5DCB7B" w14:textId="019CDCDC"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Modificar el numeral 4.1.1 (página 18) del Anexo No. 1 de la Resolución No. 1400 de 1996, el cual quedará así:</w:t>
      </w:r>
    </w:p>
    <w:p w14:paraId="1554195C" w14:textId="1E753E6D"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 xml:space="preserve">4.1.1. Certificado del </w:t>
      </w:r>
      <w:proofErr w:type="gramStart"/>
      <w:r>
        <w:rPr>
          <w:rFonts w:ascii="Verdana" w:eastAsia="Verdana" w:hAnsi="Verdana" w:cs="Verdana"/>
        </w:rPr>
        <w:t>Director General</w:t>
      </w:r>
      <w:proofErr w:type="gramEnd"/>
      <w:r>
        <w:rPr>
          <w:rFonts w:ascii="Verdana" w:eastAsia="Verdana" w:hAnsi="Verdana" w:cs="Verdana"/>
        </w:rPr>
        <w:t xml:space="preserve"> del ICBF, sobre la inexistencia de personal de planta especializado para desarrollar las actividades que se pretendan contratar (Decreto No. 1086 de 1997).</w:t>
      </w:r>
    </w:p>
    <w:p w14:paraId="565D9292" w14:textId="32826F9D"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Adicionar en el numeral 4.2.1 (página 20) del Anexo No. 1 de la Resolución No. 1400 de 1996, lo siguiente:</w:t>
      </w:r>
    </w:p>
    <w:p w14:paraId="5ECCD510" w14:textId="3C3041DE"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 xml:space="preserve">4.2.1. Servicios de Publicidad: Estos contratos sólo podrán celebrarse cuando tengan por objeto publicitar bienes y servicios que las entidades públicas ofrezcan en competencia con los particulares. </w:t>
      </w:r>
      <w:proofErr w:type="spellStart"/>
      <w:r>
        <w:rPr>
          <w:rFonts w:ascii="Verdana" w:eastAsia="Verdana" w:hAnsi="Verdana" w:cs="Verdana"/>
        </w:rPr>
        <w:t>Prohíbese</w:t>
      </w:r>
      <w:proofErr w:type="spellEnd"/>
      <w:r>
        <w:rPr>
          <w:rFonts w:ascii="Verdana" w:eastAsia="Verdana" w:hAnsi="Verdana" w:cs="Verdana"/>
        </w:rPr>
        <w:t xml:space="preserve"> la celebración de contratos de publicidad cuyo objeto no se ajuste a esta disposición (Decreto No. 1086 de 1997).</w:t>
      </w:r>
    </w:p>
    <w:p w14:paraId="7316A179" w14:textId="7E62F8F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Toda celebración de contratos de publicidad requerirá el concepto previo de la Consejería Presidencial para las Comunicaciones, el cual se solicitará siempre a través de la Dirección General del ICBF (Artículos 2 y 3, Decreto No.1086 de1997).</w:t>
      </w:r>
    </w:p>
    <w:p w14:paraId="463D96EB" w14:textId="6A1B4E0F"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Adicionar en el numeral 7 (página 25) del Anexo No.1 de la Resolución No. 1400 de 1996, lo siguiente: De conformidad con lo establecido en el Decreto No. 1086 del 15 de abril de 1997, los contratos de consultoría sólo podrán celebrarse con personas naturales o jurídicas cuando no exista personal de planta especializado para la labor requerida.</w:t>
      </w:r>
    </w:p>
    <w:p w14:paraId="43D387DE"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rPr>
        <w:t xml:space="preserve">El primer requisito para la celebración de los contratos de consultoría será la certificación del </w:t>
      </w:r>
      <w:proofErr w:type="gramStart"/>
      <w:r>
        <w:rPr>
          <w:rFonts w:ascii="Verdana" w:eastAsia="Verdana" w:hAnsi="Verdana" w:cs="Verdana"/>
        </w:rPr>
        <w:t>Director General</w:t>
      </w:r>
      <w:proofErr w:type="gramEnd"/>
      <w:r>
        <w:rPr>
          <w:rFonts w:ascii="Verdana" w:eastAsia="Verdana" w:hAnsi="Verdana" w:cs="Verdana"/>
        </w:rPr>
        <w:t xml:space="preserve"> del ICBF sobre la inexistencia de personal de planta para el desarrollo de la actividad que se pretende contratar.</w:t>
      </w:r>
    </w:p>
    <w:p w14:paraId="251028F7" w14:textId="77777777" w:rsidR="00815170" w:rsidRDefault="00815170">
      <w:pPr>
        <w:shd w:val="clear" w:color="auto" w:fill="FFFFFF"/>
        <w:spacing w:line="259" w:lineRule="auto"/>
        <w:jc w:val="both"/>
        <w:rPr>
          <w:rFonts w:ascii="Verdana" w:eastAsia="Verdana" w:hAnsi="Verdana" w:cs="Verdana"/>
        </w:rPr>
      </w:pPr>
    </w:p>
    <w:p w14:paraId="780052FC" w14:textId="77777777" w:rsidR="00815170" w:rsidRDefault="00000000">
      <w:pPr>
        <w:shd w:val="clear" w:color="auto" w:fill="FFFFFF"/>
        <w:spacing w:after="240" w:line="259" w:lineRule="auto"/>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La presente Resolución rige a partir de la fecha de su expedición.</w:t>
      </w:r>
    </w:p>
    <w:p w14:paraId="3F7C83C9" w14:textId="77777777" w:rsidR="00815170" w:rsidRDefault="00815170">
      <w:pPr>
        <w:shd w:val="clear" w:color="auto" w:fill="FFFFFF"/>
        <w:spacing w:after="240" w:line="259" w:lineRule="auto"/>
        <w:jc w:val="center"/>
        <w:rPr>
          <w:rFonts w:ascii="Verdana" w:eastAsia="Verdana" w:hAnsi="Verdana" w:cs="Verdana"/>
        </w:rPr>
      </w:pPr>
    </w:p>
    <w:p w14:paraId="26D881C6" w14:textId="77777777" w:rsidR="00815170" w:rsidRDefault="00815170">
      <w:pPr>
        <w:shd w:val="clear" w:color="auto" w:fill="FFFFFF"/>
        <w:spacing w:after="240" w:line="259" w:lineRule="auto"/>
        <w:jc w:val="center"/>
        <w:rPr>
          <w:rFonts w:ascii="Verdana" w:eastAsia="Verdana" w:hAnsi="Verdana" w:cs="Verdana"/>
        </w:rPr>
      </w:pPr>
    </w:p>
    <w:p w14:paraId="5AF754E8" w14:textId="77777777" w:rsidR="00815170" w:rsidRDefault="00000000">
      <w:pPr>
        <w:shd w:val="clear" w:color="auto" w:fill="FFFFFF"/>
        <w:spacing w:after="240" w:line="259" w:lineRule="auto"/>
        <w:jc w:val="center"/>
        <w:rPr>
          <w:rFonts w:ascii="Verdana" w:eastAsia="Verdana" w:hAnsi="Verdana" w:cs="Verdana"/>
          <w:b/>
          <w:bCs/>
        </w:rPr>
      </w:pPr>
      <w:r>
        <w:rPr>
          <w:rFonts w:ascii="Verdana" w:eastAsia="Verdana" w:hAnsi="Verdana" w:cs="Verdana"/>
          <w:b/>
          <w:bCs/>
        </w:rPr>
        <w:lastRenderedPageBreak/>
        <w:t>COMUNIQUESE Y CUMPLASE,</w:t>
      </w:r>
    </w:p>
    <w:p w14:paraId="5D812929" w14:textId="77777777" w:rsidR="00815170" w:rsidRDefault="00000000">
      <w:pPr>
        <w:shd w:val="clear" w:color="auto" w:fill="FFFFFF"/>
        <w:spacing w:after="240" w:line="259" w:lineRule="auto"/>
        <w:jc w:val="center"/>
        <w:rPr>
          <w:rFonts w:ascii="Verdana" w:eastAsia="Verdana" w:hAnsi="Verdana" w:cs="Verdana"/>
        </w:rPr>
      </w:pPr>
      <w:r>
        <w:rPr>
          <w:rFonts w:ascii="Verdana" w:eastAsia="Verdana" w:hAnsi="Verdana" w:cs="Verdana"/>
        </w:rPr>
        <w:t xml:space="preserve">Dada en Santa Fe de Bogotá, D. C., </w:t>
      </w:r>
      <w:proofErr w:type="gramStart"/>
      <w:r>
        <w:rPr>
          <w:rFonts w:ascii="Verdana" w:eastAsia="Verdana" w:hAnsi="Verdana" w:cs="Verdana"/>
        </w:rPr>
        <w:t>a los 21 de abril de 1997</w:t>
      </w:r>
      <w:proofErr w:type="gramEnd"/>
    </w:p>
    <w:p w14:paraId="3F1504C7" w14:textId="77777777" w:rsidR="00815170" w:rsidRDefault="00000000">
      <w:pPr>
        <w:shd w:val="clear" w:color="auto" w:fill="FFFFFF"/>
        <w:spacing w:after="240" w:line="259" w:lineRule="auto"/>
        <w:jc w:val="center"/>
        <w:rPr>
          <w:rFonts w:ascii="Verdana" w:eastAsia="Verdana" w:hAnsi="Verdana" w:cs="Verdana"/>
          <w:b/>
          <w:bCs/>
        </w:rPr>
      </w:pPr>
      <w:r>
        <w:rPr>
          <w:rFonts w:ascii="Verdana" w:eastAsia="Verdana" w:hAnsi="Verdana" w:cs="Verdana"/>
          <w:b/>
          <w:bCs/>
        </w:rPr>
        <w:t>ADELINA COVO DE GUERRERO</w:t>
      </w:r>
    </w:p>
    <w:p w14:paraId="24651BF0" w14:textId="77777777" w:rsidR="00815170" w:rsidRDefault="00000000">
      <w:pPr>
        <w:shd w:val="clear" w:color="auto" w:fill="FFFFFF"/>
        <w:spacing w:after="240" w:line="259" w:lineRule="auto"/>
        <w:jc w:val="center"/>
        <w:rPr>
          <w:rFonts w:ascii="Verdana" w:eastAsia="Verdana" w:hAnsi="Verdana" w:cs="Verdana"/>
        </w:rPr>
      </w:pPr>
      <w:r>
        <w:rPr>
          <w:rFonts w:ascii="Verdana" w:eastAsia="Verdana" w:hAnsi="Verdana" w:cs="Verdana"/>
        </w:rPr>
        <w:t>Directora General</w:t>
      </w:r>
    </w:p>
    <w:p w14:paraId="55ED9144" w14:textId="77777777" w:rsidR="00815170" w:rsidRDefault="00815170">
      <w:pPr>
        <w:spacing w:after="160" w:line="259" w:lineRule="auto"/>
        <w:jc w:val="center"/>
        <w:rPr>
          <w:rFonts w:ascii="Verdana" w:eastAsia="Verdana" w:hAnsi="Verdana" w:cs="Verdana"/>
        </w:rPr>
      </w:pPr>
    </w:p>
    <w:p w14:paraId="15EAB7B2" w14:textId="77777777" w:rsidR="00815170" w:rsidRDefault="00815170">
      <w:pPr>
        <w:spacing w:after="160" w:line="259" w:lineRule="auto"/>
        <w:jc w:val="center"/>
        <w:rPr>
          <w:rFonts w:ascii="Verdana" w:eastAsia="Verdana" w:hAnsi="Verdana" w:cs="Verdana"/>
        </w:rPr>
      </w:pPr>
    </w:p>
    <w:sectPr w:rsidR="0081517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1AED87D-CCDE-40AB-B5A4-7B6185FF89E4}"/>
    <w:embedBold r:id="rId2" w:fontKey="{1AE75F52-67B8-4795-8E58-2759011F3D14}"/>
    <w:embedItalic r:id="rId3" w:fontKey="{09B6ACF2-7413-46FF-BE08-7082E0CE639F}"/>
  </w:font>
  <w:font w:name="Calibri">
    <w:panose1 w:val="020F0502020204030204"/>
    <w:charset w:val="00"/>
    <w:family w:val="swiss"/>
    <w:pitch w:val="variable"/>
    <w:sig w:usb0="E4002EFF" w:usb1="C000247B" w:usb2="00000009" w:usb3="00000000" w:csb0="000001FF" w:csb1="00000000"/>
    <w:embedRegular r:id="rId4" w:fontKey="{EE5C10DA-9D93-4D31-AD2E-9CE62C9D6E7D}"/>
  </w:font>
  <w:font w:name="Cambria">
    <w:panose1 w:val="02040503050406030204"/>
    <w:charset w:val="00"/>
    <w:family w:val="roman"/>
    <w:pitch w:val="variable"/>
    <w:sig w:usb0="E00006FF" w:usb1="420024FF" w:usb2="02000000" w:usb3="00000000" w:csb0="0000019F" w:csb1="00000000"/>
    <w:embedRegular r:id="rId5" w:fontKey="{3E385008-3F2D-4F55-AC65-FF9F2B5A61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170"/>
    <w:rsid w:val="00815170"/>
    <w:rsid w:val="00A23689"/>
    <w:rsid w:val="00FE18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EC2EB"/>
  <w15:docId w15:val="{CC60ACE2-9EA0-4C92-9CDA-61E19BEDB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A2368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8A120F-12D9-4F7F-92D8-911FF4E63CB4}"/>
</file>

<file path=customXml/itemProps2.xml><?xml version="1.0" encoding="utf-8"?>
<ds:datastoreItem xmlns:ds="http://schemas.openxmlformats.org/officeDocument/2006/customXml" ds:itemID="{2B3C0146-8ABF-4A47-A9F8-BCCC081BEDC7}"/>
</file>

<file path=customXml/itemProps3.xml><?xml version="1.0" encoding="utf-8"?>
<ds:datastoreItem xmlns:ds="http://schemas.openxmlformats.org/officeDocument/2006/customXml" ds:itemID="{CA9087B3-799A-4E56-866F-527D6096B090}"/>
</file>

<file path=docProps/app.xml><?xml version="1.0" encoding="utf-8"?>
<Properties xmlns="http://schemas.openxmlformats.org/officeDocument/2006/extended-properties" xmlns:vt="http://schemas.openxmlformats.org/officeDocument/2006/docPropsVTypes">
  <Template>Normal</Template>
  <TotalTime>10</TotalTime>
  <Pages>4</Pages>
  <Words>1053</Words>
  <Characters>5792</Characters>
  <Application>Microsoft Office Word</Application>
  <DocSecurity>0</DocSecurity>
  <Lines>48</Lines>
  <Paragraphs>13</Paragraphs>
  <ScaleCrop>false</ScaleCrop>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2</cp:revision>
  <dcterms:created xsi:type="dcterms:W3CDTF">2026-01-09T20:32:00Z</dcterms:created>
  <dcterms:modified xsi:type="dcterms:W3CDTF">2026-01-09T20:32:00Z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