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6BE6" w14:textId="77777777" w:rsidR="00E53927" w:rsidRDefault="00E53927" w:rsidP="00E53927">
      <w:pPr>
        <w:jc w:val="center"/>
        <w:rPr>
          <w:rFonts w:ascii="Verdana" w:hAnsi="Verdana"/>
          <w:b/>
          <w:bCs/>
        </w:rPr>
      </w:pPr>
      <w:r w:rsidRPr="00E53927">
        <w:rPr>
          <w:rFonts w:ascii="Verdana" w:hAnsi="Verdana"/>
          <w:b/>
          <w:bCs/>
        </w:rPr>
        <w:t>RESOLUCIÓN 9518 DE 2019</w:t>
      </w:r>
    </w:p>
    <w:p w14:paraId="269B8CB5" w14:textId="3C744A6E" w:rsidR="00E53927" w:rsidRPr="001E5EDB" w:rsidRDefault="00E53927" w:rsidP="00E53927">
      <w:pPr>
        <w:rPr>
          <w:rFonts w:ascii="Verdana" w:hAnsi="Verdana"/>
          <w:sz w:val="20"/>
          <w:szCs w:val="20"/>
        </w:rPr>
      </w:pPr>
      <w:r w:rsidRPr="001E5EDB">
        <w:rPr>
          <w:rFonts w:ascii="Verdana" w:hAnsi="Verdana"/>
          <w:sz w:val="20"/>
          <w:szCs w:val="20"/>
        </w:rPr>
        <w:t>Fecha de Expedición: 17 de octubre 2019</w:t>
      </w:r>
    </w:p>
    <w:p w14:paraId="3871CEED" w14:textId="2CE99CC8" w:rsidR="00E53927" w:rsidRPr="001E5EDB" w:rsidRDefault="00E53927" w:rsidP="00E53927">
      <w:pPr>
        <w:rPr>
          <w:rFonts w:ascii="Verdana" w:hAnsi="Verdana"/>
          <w:sz w:val="20"/>
          <w:szCs w:val="20"/>
        </w:rPr>
      </w:pPr>
      <w:r w:rsidRPr="001E5EDB">
        <w:rPr>
          <w:rFonts w:ascii="Verdana" w:hAnsi="Verdana"/>
          <w:sz w:val="20"/>
          <w:szCs w:val="20"/>
        </w:rPr>
        <w:t>Fecha de entrada en vigencia: 17 de octubre 2019</w:t>
      </w:r>
    </w:p>
    <w:p w14:paraId="011C2568" w14:textId="56049FB0" w:rsidR="00E53927" w:rsidRPr="001E5EDB" w:rsidRDefault="00E53927" w:rsidP="00E53927">
      <w:pPr>
        <w:rPr>
          <w:rFonts w:ascii="Verdana" w:hAnsi="Verdana"/>
          <w:sz w:val="20"/>
          <w:szCs w:val="20"/>
        </w:rPr>
      </w:pPr>
      <w:r w:rsidRPr="001E5EDB">
        <w:rPr>
          <w:rFonts w:ascii="Verdana" w:hAnsi="Verdana"/>
          <w:sz w:val="20"/>
          <w:szCs w:val="20"/>
        </w:rPr>
        <w:t xml:space="preserve">Estado de la vigencia: </w:t>
      </w:r>
      <w:r w:rsidR="00B756A7" w:rsidRPr="001E5EDB">
        <w:rPr>
          <w:rFonts w:ascii="Verdana" w:hAnsi="Verdana"/>
          <w:sz w:val="20"/>
          <w:szCs w:val="20"/>
        </w:rPr>
        <w:t>esta resolución fue derogada por el Artículo 3 de la Resolución 2112 de 2020</w:t>
      </w:r>
    </w:p>
    <w:p w14:paraId="2FD3A8F3" w14:textId="77777777" w:rsidR="00E53927" w:rsidRPr="001E5EDB" w:rsidRDefault="00E53927" w:rsidP="00E53927">
      <w:pPr>
        <w:rPr>
          <w:rFonts w:ascii="Verdana" w:hAnsi="Verdana"/>
          <w:sz w:val="20"/>
          <w:szCs w:val="20"/>
        </w:rPr>
      </w:pPr>
      <w:r w:rsidRPr="001E5EDB">
        <w:rPr>
          <w:rFonts w:ascii="Verdana" w:hAnsi="Verdana"/>
          <w:sz w:val="20"/>
          <w:szCs w:val="20"/>
        </w:rPr>
        <w:t xml:space="preserve"> </w:t>
      </w:r>
    </w:p>
    <w:p w14:paraId="66054586" w14:textId="277C7651" w:rsidR="00E53927" w:rsidRPr="001E5EDB" w:rsidRDefault="00E53927" w:rsidP="00E53927">
      <w:pPr>
        <w:rPr>
          <w:rFonts w:ascii="Verdana" w:hAnsi="Verdana"/>
          <w:sz w:val="20"/>
          <w:szCs w:val="20"/>
        </w:rPr>
      </w:pPr>
      <w:r w:rsidRPr="001E5EDB">
        <w:rPr>
          <w:rFonts w:ascii="Verdana" w:hAnsi="Verdana"/>
          <w:sz w:val="20"/>
          <w:szCs w:val="20"/>
        </w:rPr>
        <w:t>Fecha de publicación en Diario Oficial: 17 de octubre 2019</w:t>
      </w:r>
    </w:p>
    <w:p w14:paraId="4B04778C" w14:textId="77777777" w:rsidR="00E53927" w:rsidRPr="001E5EDB" w:rsidRDefault="00E53927" w:rsidP="00E53927">
      <w:pPr>
        <w:rPr>
          <w:rFonts w:ascii="Verdana" w:hAnsi="Verdana"/>
          <w:sz w:val="20"/>
          <w:szCs w:val="20"/>
        </w:rPr>
      </w:pPr>
      <w:r w:rsidRPr="001E5EDB">
        <w:rPr>
          <w:rFonts w:ascii="Verdana" w:hAnsi="Verdana"/>
          <w:sz w:val="20"/>
          <w:szCs w:val="20"/>
        </w:rPr>
        <w:t xml:space="preserve">Número del Diario Oficial: No. 51.109 </w:t>
      </w:r>
    </w:p>
    <w:p w14:paraId="44D8C9F3" w14:textId="247C2E2F" w:rsidR="00E53927" w:rsidRPr="00E53927" w:rsidRDefault="00E53927" w:rsidP="00E53927">
      <w:pPr>
        <w:jc w:val="center"/>
        <w:rPr>
          <w:rFonts w:ascii="Verdana" w:hAnsi="Verdana"/>
          <w:b/>
          <w:bCs/>
        </w:rPr>
      </w:pPr>
      <w:r w:rsidRPr="00E53927">
        <w:rPr>
          <w:rFonts w:ascii="Verdana" w:hAnsi="Verdana"/>
          <w:b/>
          <w:bCs/>
        </w:rPr>
        <w:t>RESOLUCIÓN 9518 DE 2019</w:t>
      </w:r>
    </w:p>
    <w:p w14:paraId="3FBF6D77" w14:textId="545834CD" w:rsidR="00E53927" w:rsidRPr="00E53927" w:rsidRDefault="00E53927" w:rsidP="00E53927">
      <w:pPr>
        <w:jc w:val="center"/>
        <w:rPr>
          <w:rFonts w:ascii="Verdana" w:hAnsi="Verdana"/>
        </w:rPr>
      </w:pPr>
      <w:r w:rsidRPr="00E53927">
        <w:rPr>
          <w:rFonts w:ascii="Verdana" w:hAnsi="Verdana"/>
        </w:rPr>
        <w:t>(</w:t>
      </w:r>
      <w:r w:rsidRPr="00E53927">
        <w:rPr>
          <w:rFonts w:ascii="Verdana" w:hAnsi="Verdana"/>
        </w:rPr>
        <w:t xml:space="preserve">17 de </w:t>
      </w:r>
      <w:r w:rsidRPr="00E53927">
        <w:rPr>
          <w:rFonts w:ascii="Verdana" w:hAnsi="Verdana"/>
        </w:rPr>
        <w:t>octubre)</w:t>
      </w:r>
    </w:p>
    <w:p w14:paraId="0F0DFB2E" w14:textId="0A6EF9EF" w:rsidR="00E53927" w:rsidRPr="00E53927" w:rsidRDefault="00E53927" w:rsidP="00B756A7">
      <w:pPr>
        <w:jc w:val="center"/>
        <w:rPr>
          <w:rFonts w:ascii="Verdana" w:hAnsi="Verdana"/>
          <w:b/>
          <w:bCs/>
        </w:rPr>
      </w:pPr>
      <w:r w:rsidRPr="00E53927">
        <w:rPr>
          <w:rFonts w:ascii="Verdana" w:hAnsi="Verdana"/>
          <w:b/>
          <w:bCs/>
        </w:rPr>
        <w:t>INSTITUTO COLOMBIANO DE BIENESTAR FAMILIAR CECILIA DE LA FUENTE DE LLERAS DIRECCIÓN GENERAL</w:t>
      </w:r>
    </w:p>
    <w:p w14:paraId="3B0F86C2" w14:textId="0181F16B" w:rsidR="00E53927" w:rsidRPr="00B756A7" w:rsidRDefault="00B756A7" w:rsidP="00E53927">
      <w:pPr>
        <w:jc w:val="center"/>
        <w:rPr>
          <w:rFonts w:ascii="Verdana" w:hAnsi="Verdana"/>
        </w:rPr>
      </w:pPr>
      <w:r w:rsidRPr="00B756A7">
        <w:rPr>
          <w:rFonts w:ascii="Verdana" w:hAnsi="Verdana"/>
        </w:rPr>
        <w:t>“</w:t>
      </w:r>
      <w:r w:rsidR="00E53927" w:rsidRPr="00B756A7">
        <w:rPr>
          <w:rFonts w:ascii="Verdana" w:hAnsi="Verdana"/>
        </w:rPr>
        <w:t>Por la cual se actualiza el Plan de Enajenación Onerosa del Instituto Colombiano de Bienestar Familiar (ICBF)</w:t>
      </w:r>
      <w:r w:rsidRPr="00B756A7">
        <w:rPr>
          <w:rFonts w:ascii="Verdana" w:hAnsi="Verdana"/>
        </w:rPr>
        <w:t>”</w:t>
      </w:r>
      <w:r w:rsidR="00E53927" w:rsidRPr="00B756A7">
        <w:rPr>
          <w:rFonts w:ascii="Verdana" w:hAnsi="Verdana"/>
        </w:rPr>
        <w:t>.</w:t>
      </w:r>
    </w:p>
    <w:p w14:paraId="09A0DCD1" w14:textId="57B5B5C8" w:rsidR="00B756A7" w:rsidRPr="00B756A7" w:rsidRDefault="00B756A7" w:rsidP="00B756A7">
      <w:pPr>
        <w:jc w:val="center"/>
        <w:rPr>
          <w:rFonts w:ascii="Verdana" w:hAnsi="Verdana"/>
          <w:b/>
          <w:bCs/>
        </w:rPr>
      </w:pPr>
      <w:r w:rsidRPr="00B756A7">
        <w:rPr>
          <w:rFonts w:ascii="Verdana" w:hAnsi="Verdana"/>
          <w:b/>
          <w:bCs/>
        </w:rPr>
        <w:t>LA DIRECTORA GENERAL DEL INSTITUTO COLOMBIANO DE BIENESTAR FAMILIAR - CECILIA DE LA FUENTE DE LLERAS (ICBF),</w:t>
      </w:r>
    </w:p>
    <w:p w14:paraId="7931C6D8" w14:textId="710BA51A" w:rsidR="00B756A7" w:rsidRPr="00B756A7" w:rsidRDefault="00B756A7" w:rsidP="00B756A7">
      <w:pPr>
        <w:jc w:val="center"/>
        <w:rPr>
          <w:rFonts w:ascii="Verdana" w:hAnsi="Verdana"/>
        </w:rPr>
      </w:pPr>
      <w:r w:rsidRPr="00B756A7">
        <w:rPr>
          <w:rFonts w:ascii="Verdana" w:hAnsi="Verdana"/>
        </w:rPr>
        <w:t>en uso de sus facultades legales y estatutarias, en especial las conferidas por el literal b) del artículo 28 de la Ley 7 de 1979, el artículo 78 de la Ley 489 de 1998, el artículo 8o de la Ley 708 de 2001, el artículo 2.5.2.4.2 del Decreto número 1068 de 2015,</w:t>
      </w:r>
    </w:p>
    <w:p w14:paraId="7117435A" w14:textId="66C9C26A" w:rsidR="00B756A7" w:rsidRDefault="00B756A7" w:rsidP="00B756A7">
      <w:pPr>
        <w:jc w:val="center"/>
        <w:rPr>
          <w:rFonts w:ascii="Verdana" w:hAnsi="Verdana"/>
          <w:b/>
          <w:bCs/>
        </w:rPr>
      </w:pPr>
      <w:r w:rsidRPr="00B756A7">
        <w:rPr>
          <w:rFonts w:ascii="Verdana" w:hAnsi="Verdana"/>
          <w:b/>
          <w:bCs/>
        </w:rPr>
        <w:t>CONSIDERANDO:</w:t>
      </w:r>
    </w:p>
    <w:p w14:paraId="21F50407" w14:textId="4D47F090" w:rsidR="00B756A7" w:rsidRPr="00B756A7" w:rsidRDefault="00B756A7" w:rsidP="00B756A7">
      <w:pPr>
        <w:jc w:val="both"/>
        <w:rPr>
          <w:rFonts w:ascii="Verdana" w:hAnsi="Verdana"/>
        </w:rPr>
      </w:pPr>
      <w:r w:rsidRPr="00B756A7">
        <w:rPr>
          <w:rFonts w:ascii="Verdana" w:hAnsi="Verdana"/>
        </w:rPr>
        <w:t>Que, el artículo 62 de la Ley 75 de 1968, subrogado por el artículo 39 de la Ley 7 de 1979, determina que el patrimonio del ICBF está conformado por “(…) 3. Los bienes y rentas que se incorporaron al Instituto en virtud de la Ley 75 de 1968 y que le pertenecen; (…) 5. Los recaudos que se obtuvieron en virtud de la Ley 27 de 1974 y los bienes muebles e inmuebles que se adquirieron en el ejercicio de la misma Ley; (…) 7. El producto de las donaciones, ayudas o subvenciones que le hagan entidades internacionales, extranjeras, fundaciones o cualesquiera otras personas naturales o jurídicas; 8. Los bienes que reciba como heredero o legatario; 9. Los bienes muebles o inmuebles, que se adquieran en el ejercicio de sus actividades como persona jurídica independiente; (…) 12. Los bienes vacantes y mostrencos conforme a lo dispuesto en el artículo 66 de la Ley 75 de 1968. (…)”.</w:t>
      </w:r>
    </w:p>
    <w:p w14:paraId="05FF9D0A" w14:textId="5BE4A3D8" w:rsidR="00B756A7" w:rsidRPr="00B756A7" w:rsidRDefault="00B756A7" w:rsidP="00B756A7">
      <w:pPr>
        <w:jc w:val="both"/>
        <w:rPr>
          <w:rFonts w:ascii="Verdana" w:hAnsi="Verdana"/>
        </w:rPr>
      </w:pPr>
      <w:r w:rsidRPr="00B756A7">
        <w:rPr>
          <w:rFonts w:ascii="Verdana" w:hAnsi="Verdana"/>
        </w:rPr>
        <w:t>Que, en concordancia con el artículo anterior, el artículo 66 de la misma Ley consagra que</w:t>
      </w:r>
    </w:p>
    <w:p w14:paraId="1D4F4E5A" w14:textId="6D6E8602" w:rsidR="00B756A7" w:rsidRPr="00B756A7" w:rsidRDefault="00B756A7" w:rsidP="00B756A7">
      <w:pPr>
        <w:jc w:val="both"/>
        <w:rPr>
          <w:rFonts w:ascii="Verdana" w:hAnsi="Verdana"/>
        </w:rPr>
      </w:pPr>
      <w:r w:rsidRPr="00B756A7">
        <w:rPr>
          <w:rFonts w:ascii="Verdana" w:hAnsi="Verdana"/>
        </w:rPr>
        <w:lastRenderedPageBreak/>
        <w:t>“El Instituto de Bienestar Familiar tendrá en las sucesiones intestadas los derechos que hoy corresponden al municipio de la vecindad del extinto de conformidad con el artículo 85 de la Ley 153 de 1887. También tendrá el Instituto los derechos que hoy corresponden a otras entidades con relación a los bienes vacantes y mostrencos”.</w:t>
      </w:r>
    </w:p>
    <w:p w14:paraId="19856CAB" w14:textId="4417F42F" w:rsidR="00B756A7" w:rsidRPr="00B756A7" w:rsidRDefault="00B756A7" w:rsidP="00B756A7">
      <w:pPr>
        <w:jc w:val="both"/>
        <w:rPr>
          <w:rFonts w:ascii="Verdana" w:hAnsi="Verdana"/>
        </w:rPr>
      </w:pPr>
      <w:r w:rsidRPr="00B756A7">
        <w:rPr>
          <w:rFonts w:ascii="Verdana" w:hAnsi="Verdana"/>
        </w:rPr>
        <w:t>Que, el artículo 33 de la Ley 9 de 1989, dispone que las entidades públicas que hayan adquirido bienes a cualquier título deberán aplicarlos a los fines para los cuales fueron adquiridos o en su defecto enajenarlos.</w:t>
      </w:r>
    </w:p>
    <w:p w14:paraId="460DDBB2" w14:textId="65FF99D8" w:rsidR="00B756A7" w:rsidRPr="00B756A7" w:rsidRDefault="00B756A7" w:rsidP="00B756A7">
      <w:pPr>
        <w:jc w:val="both"/>
        <w:rPr>
          <w:rFonts w:ascii="Verdana" w:hAnsi="Verdana"/>
        </w:rPr>
      </w:pPr>
      <w:r w:rsidRPr="00B756A7">
        <w:rPr>
          <w:rFonts w:ascii="Verdana" w:hAnsi="Verdana"/>
        </w:rPr>
        <w:t>Que, en tal virtud el ICBF ha ceñido sus procedimientos de venta de los bienes inmuebles al mandato anteriormente referido y a las normas actuales que se refieren sobre el asunto, es decir, lo contenido en la Ley 80 de 1993, modificada por la Ley 1150 de 2007(1) y el Decreto número 1082 de 2015(2).</w:t>
      </w:r>
    </w:p>
    <w:p w14:paraId="75F5B2C9" w14:textId="19BDED74" w:rsidR="00B756A7" w:rsidRPr="00B756A7" w:rsidRDefault="00B756A7" w:rsidP="00B756A7">
      <w:pPr>
        <w:jc w:val="both"/>
        <w:rPr>
          <w:rFonts w:ascii="Verdana" w:hAnsi="Verdana"/>
        </w:rPr>
      </w:pPr>
      <w:r w:rsidRPr="00B756A7">
        <w:rPr>
          <w:rFonts w:ascii="Verdana" w:hAnsi="Verdana"/>
        </w:rPr>
        <w:t>Que, los artículos 2.5.2.4.1 y 2.5.2.4.2 del Decreto número 1068 de 2015, dispusieron que las entidades públicas del orden nacional deberán adoptar un Plan de Enajenación Onerosa, el cual debe incluir los bienes inmuebles de propiedad que no se requirieran para el ejercicio de sus funciones, que no fueran de vocación para la construcción de vivienda de interés social y que no sean solicitados por otras entidades para el desarrollo de los programas del Plan Nacional de Desarrollo.</w:t>
      </w:r>
    </w:p>
    <w:p w14:paraId="2CD82DA1" w14:textId="264B49E4" w:rsidR="00B756A7" w:rsidRPr="00B756A7" w:rsidRDefault="00B756A7" w:rsidP="00B756A7">
      <w:pPr>
        <w:jc w:val="both"/>
        <w:rPr>
          <w:rFonts w:ascii="Verdana" w:hAnsi="Verdana"/>
        </w:rPr>
      </w:pPr>
      <w:r w:rsidRPr="00B756A7">
        <w:rPr>
          <w:rFonts w:ascii="Verdana" w:hAnsi="Verdana"/>
        </w:rPr>
        <w:t>Que, el inciso 2 del artículo 2.5.2.4.2 del Decreto número 1068 de 2015(3) determinó que la entidad identificará los activos inmobiliarios que no sean requeridos para el ejercicio de sus funciones, excluyendo aquellos que: “1. Estén ubicados en zonas declaradas de alto riesgo no mitigable, identificadas en el Plan de Ordenamiento Territorial y en los instrumentos que lo desarrollen y complementen, o en aquellas que de acuerdo a estudios geotécnicos que en cualquier momento adopte la Administración Municipal, Distrital o el Departamento Archipiélago de San Andrés, Providencia y Santa Catalina; 2. No sean aptos para la construcción y los que estén ubicados en zonas de cantera que hayan sufrido grave deterioro físico; 3. Los contemplados en el inciso 1 del artículo 1o de la Ley 708 de 2001, vale decir, aquellos que tengan la naturaleza de bienes inmuebles fiscales con vocación para la construcción de vivienda de interés social urbana o rural, los cuales deberán ser reportados al Ministerio de Vivienda, Ciudad y Territorio, o al Ministerio de Agricultura y Desarrollo Rural, siempre que se cumpla con lo establecido en las disposiciones sobre estos inmuebles fiscales contenidas en el Decreto Único Reglamentario del Sector Vivienda, Ciudad y Territorio y el artículo 1o del Decreto número 724 de 2002 compilado en el Decreto Único Reglamentario del Sector de Agricultura y Desarrollo Rural. (…)”.</w:t>
      </w:r>
    </w:p>
    <w:p w14:paraId="7C5B52B9" w14:textId="77777777" w:rsidR="00B756A7" w:rsidRPr="00B756A7" w:rsidRDefault="00B756A7" w:rsidP="00B756A7">
      <w:pPr>
        <w:jc w:val="both"/>
        <w:rPr>
          <w:rFonts w:ascii="Verdana" w:hAnsi="Verdana"/>
        </w:rPr>
      </w:pPr>
      <w:r w:rsidRPr="00B756A7">
        <w:rPr>
          <w:rFonts w:ascii="Verdana" w:hAnsi="Verdana"/>
        </w:rPr>
        <w:t>Que, el ICBF, a partir de la Resolución 783 de 2007, adoptó el correspondiente Plan de Enajenación Onerosa, el cual ha sido actualizado periódicamente, respecto de los inmuebles que salen a la venta.</w:t>
      </w:r>
    </w:p>
    <w:p w14:paraId="56819039" w14:textId="77777777" w:rsidR="00B756A7" w:rsidRPr="00B756A7" w:rsidRDefault="00B756A7" w:rsidP="00B756A7">
      <w:pPr>
        <w:jc w:val="both"/>
        <w:rPr>
          <w:rFonts w:ascii="Verdana" w:hAnsi="Verdana"/>
        </w:rPr>
      </w:pPr>
    </w:p>
    <w:p w14:paraId="20EEBA5D" w14:textId="315E85FF" w:rsidR="00B756A7" w:rsidRPr="00B756A7" w:rsidRDefault="00B756A7" w:rsidP="00B756A7">
      <w:pPr>
        <w:jc w:val="both"/>
        <w:rPr>
          <w:rFonts w:ascii="Verdana" w:hAnsi="Verdana"/>
        </w:rPr>
      </w:pPr>
      <w:r w:rsidRPr="00B756A7">
        <w:rPr>
          <w:rFonts w:ascii="Verdana" w:hAnsi="Verdana"/>
        </w:rPr>
        <w:t>Que, la última actualización del Plan de Enajenación Onerosa del ICBF se realizó mediante Resolución número 13683 del 16 de noviembre de 2018, en la cual se incluyeron diez inmuebles, se excluyeron tres por venta y se actualizó el precio mínimo de venta de tres inmuebles con base en la Resolución número 5920 de 2012, modificada por la Resolución 6969 de 2018, que determina los criterios y procedimientos para la fijación del precio mínimo de venta de los bienes inmuebles de propiedad del ICBF, que deban enajenarse por no ser necesarios para el uso de la Entidad.</w:t>
      </w:r>
    </w:p>
    <w:p w14:paraId="499852ED" w14:textId="12475D22" w:rsidR="00B756A7" w:rsidRPr="00B756A7" w:rsidRDefault="00B756A7" w:rsidP="00B756A7">
      <w:pPr>
        <w:jc w:val="both"/>
        <w:rPr>
          <w:rFonts w:ascii="Verdana" w:hAnsi="Verdana"/>
        </w:rPr>
      </w:pPr>
      <w:r w:rsidRPr="00B756A7">
        <w:rPr>
          <w:rFonts w:ascii="Verdana" w:hAnsi="Verdana"/>
        </w:rPr>
        <w:t>Que, el Comité de Gestión de Bienes de la Sede de la Dirección General, en sesión del 19 de junio de 2019 consideró viable la actualización en el Plan de Enajenación Onerosa de la entidad, el cual quedará conformado por treinta y un (31) bienes inmuebles que el ICBF no requiere para uso institucional de conformidad con el análisis de utilidad realizado a cada uno.</w:t>
      </w:r>
    </w:p>
    <w:p w14:paraId="12741931" w14:textId="56CC9E7E" w:rsidR="00B756A7" w:rsidRPr="00B756A7" w:rsidRDefault="00B756A7" w:rsidP="00B756A7">
      <w:pPr>
        <w:jc w:val="both"/>
        <w:rPr>
          <w:rFonts w:ascii="Verdana" w:hAnsi="Verdana"/>
        </w:rPr>
      </w:pPr>
      <w:r w:rsidRPr="00B756A7">
        <w:rPr>
          <w:rFonts w:ascii="Verdana" w:hAnsi="Verdana"/>
        </w:rPr>
        <w:t>En mérito de lo expuesto,</w:t>
      </w:r>
    </w:p>
    <w:p w14:paraId="472503E0" w14:textId="45FD4739" w:rsidR="00B756A7" w:rsidRPr="00B756A7" w:rsidRDefault="00B756A7" w:rsidP="00B756A7">
      <w:pPr>
        <w:jc w:val="center"/>
        <w:rPr>
          <w:rFonts w:ascii="Verdana" w:hAnsi="Verdana"/>
          <w:b/>
          <w:bCs/>
        </w:rPr>
      </w:pPr>
      <w:r w:rsidRPr="00B756A7">
        <w:rPr>
          <w:rFonts w:ascii="Verdana" w:hAnsi="Verdana"/>
          <w:b/>
          <w:bCs/>
        </w:rPr>
        <w:t>RESUELVE:</w:t>
      </w:r>
    </w:p>
    <w:p w14:paraId="653452F8" w14:textId="40102034" w:rsidR="00B756A7" w:rsidRDefault="00B756A7" w:rsidP="00B756A7">
      <w:pPr>
        <w:jc w:val="both"/>
        <w:rPr>
          <w:rFonts w:ascii="Verdana" w:hAnsi="Verdana"/>
        </w:rPr>
      </w:pPr>
      <w:r w:rsidRPr="00B756A7">
        <w:rPr>
          <w:rFonts w:ascii="Verdana" w:hAnsi="Verdana"/>
          <w:b/>
          <w:bCs/>
        </w:rPr>
        <w:t>ARTÍCULO 1o</w:t>
      </w:r>
      <w:r w:rsidRPr="00B756A7">
        <w:rPr>
          <w:rFonts w:ascii="Verdana" w:hAnsi="Verdana"/>
        </w:rPr>
        <w:t>. Actualizar el Plan de Enajenación Onerosa Vigente del ICBF el cual quedará conformado por los siguientes bienes inmuebles cuya descripción se encuentra en las fichas técnicas de cada uno de estos, las cuales hacen parte integral de la presente resolución:</w:t>
      </w:r>
    </w:p>
    <w:tbl>
      <w:tblPr>
        <w:tblStyle w:val="Tablaconcuadrcula"/>
        <w:tblW w:w="8114" w:type="dxa"/>
        <w:tblLook w:val="04A0" w:firstRow="1" w:lastRow="0" w:firstColumn="1" w:lastColumn="0" w:noHBand="0" w:noVBand="1"/>
      </w:tblPr>
      <w:tblGrid>
        <w:gridCol w:w="473"/>
        <w:gridCol w:w="1292"/>
        <w:gridCol w:w="1138"/>
        <w:gridCol w:w="1317"/>
        <w:gridCol w:w="1195"/>
        <w:gridCol w:w="1155"/>
        <w:gridCol w:w="1129"/>
        <w:gridCol w:w="1129"/>
      </w:tblGrid>
      <w:tr w:rsidR="001E5EDB" w:rsidRPr="001E64C2" w14:paraId="44D2E6C3" w14:textId="77777777" w:rsidTr="001E5EDB">
        <w:trPr>
          <w:trHeight w:val="1128"/>
        </w:trPr>
        <w:tc>
          <w:tcPr>
            <w:tcW w:w="413" w:type="dxa"/>
            <w:hideMark/>
          </w:tcPr>
          <w:p w14:paraId="7FFB17C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No.</w:t>
            </w:r>
          </w:p>
        </w:tc>
        <w:tc>
          <w:tcPr>
            <w:tcW w:w="1194" w:type="dxa"/>
            <w:hideMark/>
          </w:tcPr>
          <w:p w14:paraId="5ECCB0D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Departamento</w:t>
            </w:r>
          </w:p>
        </w:tc>
        <w:tc>
          <w:tcPr>
            <w:tcW w:w="1047" w:type="dxa"/>
            <w:hideMark/>
          </w:tcPr>
          <w:p w14:paraId="6DA9301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Municipio </w:t>
            </w:r>
          </w:p>
        </w:tc>
        <w:tc>
          <w:tcPr>
            <w:tcW w:w="1218" w:type="dxa"/>
            <w:hideMark/>
          </w:tcPr>
          <w:p w14:paraId="0EA722E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Dirección </w:t>
            </w:r>
          </w:p>
        </w:tc>
        <w:tc>
          <w:tcPr>
            <w:tcW w:w="1101" w:type="dxa"/>
            <w:hideMark/>
          </w:tcPr>
          <w:p w14:paraId="3CF38AAE"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Tipo de Inmueble </w:t>
            </w:r>
          </w:p>
        </w:tc>
        <w:tc>
          <w:tcPr>
            <w:tcW w:w="1063" w:type="dxa"/>
            <w:hideMark/>
          </w:tcPr>
          <w:p w14:paraId="661C11F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Matricula </w:t>
            </w:r>
            <w:proofErr w:type="spellStart"/>
            <w:r w:rsidRPr="001E64C2">
              <w:rPr>
                <w:rFonts w:ascii="Calibri" w:eastAsia="Times New Roman" w:hAnsi="Calibri" w:cs="Calibri"/>
                <w:color w:val="000000"/>
                <w:lang w:eastAsia="es-CO"/>
              </w:rPr>
              <w:t>inmoviliaria</w:t>
            </w:r>
            <w:proofErr w:type="spellEnd"/>
            <w:r w:rsidRPr="001E64C2">
              <w:rPr>
                <w:rFonts w:ascii="Calibri" w:eastAsia="Times New Roman" w:hAnsi="Calibri" w:cs="Calibri"/>
                <w:color w:val="000000"/>
                <w:lang w:eastAsia="es-CO"/>
              </w:rPr>
              <w:t xml:space="preserve"> </w:t>
            </w:r>
          </w:p>
        </w:tc>
        <w:tc>
          <w:tcPr>
            <w:tcW w:w="1039" w:type="dxa"/>
            <w:hideMark/>
          </w:tcPr>
          <w:p w14:paraId="5DEA525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Precio de </w:t>
            </w:r>
            <w:proofErr w:type="spellStart"/>
            <w:r w:rsidRPr="001E64C2">
              <w:rPr>
                <w:rFonts w:ascii="Calibri" w:eastAsia="Times New Roman" w:hAnsi="Calibri" w:cs="Calibri"/>
                <w:color w:val="000000"/>
                <w:lang w:eastAsia="es-CO"/>
              </w:rPr>
              <w:t>Avaluo</w:t>
            </w:r>
            <w:proofErr w:type="spellEnd"/>
            <w:r w:rsidRPr="001E64C2">
              <w:rPr>
                <w:rFonts w:ascii="Calibri" w:eastAsia="Times New Roman" w:hAnsi="Calibri" w:cs="Calibri"/>
                <w:color w:val="000000"/>
                <w:lang w:eastAsia="es-CO"/>
              </w:rPr>
              <w:t xml:space="preserve"> Comercial </w:t>
            </w:r>
          </w:p>
        </w:tc>
        <w:tc>
          <w:tcPr>
            <w:tcW w:w="1039" w:type="dxa"/>
            <w:hideMark/>
          </w:tcPr>
          <w:p w14:paraId="016618D2"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Precio </w:t>
            </w:r>
            <w:proofErr w:type="spellStart"/>
            <w:r w:rsidRPr="001E64C2">
              <w:rPr>
                <w:rFonts w:ascii="Calibri" w:eastAsia="Times New Roman" w:hAnsi="Calibri" w:cs="Calibri"/>
                <w:color w:val="000000"/>
                <w:lang w:eastAsia="es-CO"/>
              </w:rPr>
              <w:t>minimo</w:t>
            </w:r>
            <w:proofErr w:type="spellEnd"/>
            <w:r w:rsidRPr="001E64C2">
              <w:rPr>
                <w:rFonts w:ascii="Calibri" w:eastAsia="Times New Roman" w:hAnsi="Calibri" w:cs="Calibri"/>
                <w:color w:val="000000"/>
                <w:lang w:eastAsia="es-CO"/>
              </w:rPr>
              <w:t xml:space="preserve"> de venta autorizado </w:t>
            </w:r>
          </w:p>
        </w:tc>
      </w:tr>
      <w:tr w:rsidR="001E5EDB" w:rsidRPr="001E64C2" w14:paraId="37791780" w14:textId="77777777" w:rsidTr="001E5EDB">
        <w:trPr>
          <w:trHeight w:val="564"/>
        </w:trPr>
        <w:tc>
          <w:tcPr>
            <w:tcW w:w="413" w:type="dxa"/>
            <w:hideMark/>
          </w:tcPr>
          <w:p w14:paraId="69EBA2B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w:t>
            </w:r>
          </w:p>
        </w:tc>
        <w:tc>
          <w:tcPr>
            <w:tcW w:w="1194" w:type="dxa"/>
            <w:hideMark/>
          </w:tcPr>
          <w:p w14:paraId="0FCDACD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Antioquia </w:t>
            </w:r>
          </w:p>
        </w:tc>
        <w:tc>
          <w:tcPr>
            <w:tcW w:w="1047" w:type="dxa"/>
            <w:hideMark/>
          </w:tcPr>
          <w:p w14:paraId="606D22C0"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Medellin</w:t>
            </w:r>
            <w:proofErr w:type="spellEnd"/>
            <w:r w:rsidRPr="001E64C2">
              <w:rPr>
                <w:rFonts w:ascii="Calibri" w:eastAsia="Times New Roman" w:hAnsi="Calibri" w:cs="Calibri"/>
                <w:color w:val="000000"/>
                <w:lang w:eastAsia="es-CO"/>
              </w:rPr>
              <w:t xml:space="preserve"> </w:t>
            </w:r>
          </w:p>
        </w:tc>
        <w:tc>
          <w:tcPr>
            <w:tcW w:w="1218" w:type="dxa"/>
            <w:hideMark/>
          </w:tcPr>
          <w:p w14:paraId="55DB0DBE"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46 48 57 AP 401</w:t>
            </w:r>
          </w:p>
        </w:tc>
        <w:tc>
          <w:tcPr>
            <w:tcW w:w="1101" w:type="dxa"/>
            <w:hideMark/>
          </w:tcPr>
          <w:p w14:paraId="4FAB24B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Apartamento </w:t>
            </w:r>
          </w:p>
        </w:tc>
        <w:tc>
          <w:tcPr>
            <w:tcW w:w="1063" w:type="dxa"/>
            <w:hideMark/>
          </w:tcPr>
          <w:p w14:paraId="73AD440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1205411</w:t>
            </w:r>
          </w:p>
        </w:tc>
        <w:tc>
          <w:tcPr>
            <w:tcW w:w="1039" w:type="dxa"/>
            <w:hideMark/>
          </w:tcPr>
          <w:p w14:paraId="59175A1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79.764.000</w:t>
            </w:r>
          </w:p>
        </w:tc>
        <w:tc>
          <w:tcPr>
            <w:tcW w:w="1039" w:type="dxa"/>
            <w:hideMark/>
          </w:tcPr>
          <w:p w14:paraId="6FE8224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79.764.000</w:t>
            </w:r>
          </w:p>
        </w:tc>
      </w:tr>
      <w:tr w:rsidR="001E5EDB" w:rsidRPr="001E64C2" w14:paraId="7371984D" w14:textId="77777777" w:rsidTr="001E5EDB">
        <w:trPr>
          <w:trHeight w:val="564"/>
        </w:trPr>
        <w:tc>
          <w:tcPr>
            <w:tcW w:w="413" w:type="dxa"/>
            <w:hideMark/>
          </w:tcPr>
          <w:p w14:paraId="3B876B6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w:t>
            </w:r>
          </w:p>
        </w:tc>
        <w:tc>
          <w:tcPr>
            <w:tcW w:w="1194" w:type="dxa"/>
            <w:hideMark/>
          </w:tcPr>
          <w:p w14:paraId="5531444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Antioquia </w:t>
            </w:r>
          </w:p>
        </w:tc>
        <w:tc>
          <w:tcPr>
            <w:tcW w:w="1047" w:type="dxa"/>
            <w:hideMark/>
          </w:tcPr>
          <w:p w14:paraId="5E16735F"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Medellin</w:t>
            </w:r>
            <w:proofErr w:type="spellEnd"/>
            <w:r w:rsidRPr="001E64C2">
              <w:rPr>
                <w:rFonts w:ascii="Calibri" w:eastAsia="Times New Roman" w:hAnsi="Calibri" w:cs="Calibri"/>
                <w:color w:val="000000"/>
                <w:lang w:eastAsia="es-CO"/>
              </w:rPr>
              <w:t xml:space="preserve"> </w:t>
            </w:r>
          </w:p>
        </w:tc>
        <w:tc>
          <w:tcPr>
            <w:tcW w:w="1218" w:type="dxa"/>
            <w:hideMark/>
          </w:tcPr>
          <w:p w14:paraId="1E54FA3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 28 84 195 AP 522</w:t>
            </w:r>
          </w:p>
        </w:tc>
        <w:tc>
          <w:tcPr>
            <w:tcW w:w="1101" w:type="dxa"/>
            <w:hideMark/>
          </w:tcPr>
          <w:p w14:paraId="3D0F459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Apartamento </w:t>
            </w:r>
          </w:p>
        </w:tc>
        <w:tc>
          <w:tcPr>
            <w:tcW w:w="1063" w:type="dxa"/>
            <w:hideMark/>
          </w:tcPr>
          <w:p w14:paraId="0DED0A72"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1527244</w:t>
            </w:r>
          </w:p>
        </w:tc>
        <w:tc>
          <w:tcPr>
            <w:tcW w:w="1039" w:type="dxa"/>
            <w:hideMark/>
          </w:tcPr>
          <w:p w14:paraId="59B67C6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180.900.000</w:t>
            </w:r>
          </w:p>
        </w:tc>
        <w:tc>
          <w:tcPr>
            <w:tcW w:w="1039" w:type="dxa"/>
            <w:hideMark/>
          </w:tcPr>
          <w:p w14:paraId="48D0203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180.900.000</w:t>
            </w:r>
          </w:p>
        </w:tc>
      </w:tr>
      <w:tr w:rsidR="001E5EDB" w:rsidRPr="001E64C2" w14:paraId="75121B6D" w14:textId="77777777" w:rsidTr="001E5EDB">
        <w:trPr>
          <w:trHeight w:val="282"/>
        </w:trPr>
        <w:tc>
          <w:tcPr>
            <w:tcW w:w="413" w:type="dxa"/>
            <w:hideMark/>
          </w:tcPr>
          <w:p w14:paraId="67ECC18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3</w:t>
            </w:r>
          </w:p>
        </w:tc>
        <w:tc>
          <w:tcPr>
            <w:tcW w:w="1194" w:type="dxa"/>
            <w:hideMark/>
          </w:tcPr>
          <w:p w14:paraId="00C82B5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Antioquia </w:t>
            </w:r>
          </w:p>
        </w:tc>
        <w:tc>
          <w:tcPr>
            <w:tcW w:w="1047" w:type="dxa"/>
            <w:hideMark/>
          </w:tcPr>
          <w:p w14:paraId="1A3341EF"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Medellin</w:t>
            </w:r>
            <w:proofErr w:type="spellEnd"/>
            <w:r w:rsidRPr="001E64C2">
              <w:rPr>
                <w:rFonts w:ascii="Calibri" w:eastAsia="Times New Roman" w:hAnsi="Calibri" w:cs="Calibri"/>
                <w:color w:val="000000"/>
                <w:lang w:eastAsia="es-CO"/>
              </w:rPr>
              <w:t xml:space="preserve"> </w:t>
            </w:r>
          </w:p>
        </w:tc>
        <w:tc>
          <w:tcPr>
            <w:tcW w:w="1218" w:type="dxa"/>
            <w:hideMark/>
          </w:tcPr>
          <w:p w14:paraId="3B75307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65G 24 29</w:t>
            </w:r>
          </w:p>
        </w:tc>
        <w:tc>
          <w:tcPr>
            <w:tcW w:w="1101" w:type="dxa"/>
            <w:hideMark/>
          </w:tcPr>
          <w:p w14:paraId="19D00A0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 </w:t>
            </w:r>
          </w:p>
        </w:tc>
        <w:tc>
          <w:tcPr>
            <w:tcW w:w="1063" w:type="dxa"/>
            <w:hideMark/>
          </w:tcPr>
          <w:p w14:paraId="5D1D555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1614645</w:t>
            </w:r>
          </w:p>
        </w:tc>
        <w:tc>
          <w:tcPr>
            <w:tcW w:w="1039" w:type="dxa"/>
            <w:hideMark/>
          </w:tcPr>
          <w:p w14:paraId="4960615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198.963.000</w:t>
            </w:r>
          </w:p>
        </w:tc>
        <w:tc>
          <w:tcPr>
            <w:tcW w:w="1039" w:type="dxa"/>
            <w:hideMark/>
          </w:tcPr>
          <w:p w14:paraId="11834C4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198.963.000</w:t>
            </w:r>
          </w:p>
        </w:tc>
      </w:tr>
      <w:tr w:rsidR="001E5EDB" w:rsidRPr="001E64C2" w14:paraId="6F5D8E08" w14:textId="77777777" w:rsidTr="001E5EDB">
        <w:trPr>
          <w:trHeight w:val="564"/>
        </w:trPr>
        <w:tc>
          <w:tcPr>
            <w:tcW w:w="413" w:type="dxa"/>
            <w:hideMark/>
          </w:tcPr>
          <w:p w14:paraId="52B32A6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4</w:t>
            </w:r>
          </w:p>
        </w:tc>
        <w:tc>
          <w:tcPr>
            <w:tcW w:w="1194" w:type="dxa"/>
            <w:hideMark/>
          </w:tcPr>
          <w:p w14:paraId="3E6F349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Antioquia </w:t>
            </w:r>
          </w:p>
        </w:tc>
        <w:tc>
          <w:tcPr>
            <w:tcW w:w="1047" w:type="dxa"/>
            <w:hideMark/>
          </w:tcPr>
          <w:p w14:paraId="4B41905F"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Medellin</w:t>
            </w:r>
            <w:proofErr w:type="spellEnd"/>
            <w:r w:rsidRPr="001E64C2">
              <w:rPr>
                <w:rFonts w:ascii="Calibri" w:eastAsia="Times New Roman" w:hAnsi="Calibri" w:cs="Calibri"/>
                <w:color w:val="000000"/>
                <w:lang w:eastAsia="es-CO"/>
              </w:rPr>
              <w:t xml:space="preserve"> </w:t>
            </w:r>
          </w:p>
        </w:tc>
        <w:tc>
          <w:tcPr>
            <w:tcW w:w="1218" w:type="dxa"/>
            <w:hideMark/>
          </w:tcPr>
          <w:p w14:paraId="2D4C6E9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 57 50 69 AP 204</w:t>
            </w:r>
          </w:p>
        </w:tc>
        <w:tc>
          <w:tcPr>
            <w:tcW w:w="1101" w:type="dxa"/>
            <w:hideMark/>
          </w:tcPr>
          <w:p w14:paraId="683B8E2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Apartamento </w:t>
            </w:r>
          </w:p>
        </w:tc>
        <w:tc>
          <w:tcPr>
            <w:tcW w:w="1063" w:type="dxa"/>
            <w:hideMark/>
          </w:tcPr>
          <w:p w14:paraId="4FC8DB8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01N5037218</w:t>
            </w:r>
          </w:p>
        </w:tc>
        <w:tc>
          <w:tcPr>
            <w:tcW w:w="1039" w:type="dxa"/>
            <w:hideMark/>
          </w:tcPr>
          <w:p w14:paraId="679A01A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99.693.000</w:t>
            </w:r>
          </w:p>
        </w:tc>
        <w:tc>
          <w:tcPr>
            <w:tcW w:w="1039" w:type="dxa"/>
            <w:hideMark/>
          </w:tcPr>
          <w:p w14:paraId="1A3E9EC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99.693.000</w:t>
            </w:r>
          </w:p>
        </w:tc>
      </w:tr>
      <w:tr w:rsidR="001E5EDB" w:rsidRPr="001E64C2" w14:paraId="78A0E52F" w14:textId="77777777" w:rsidTr="001E5EDB">
        <w:trPr>
          <w:trHeight w:val="564"/>
        </w:trPr>
        <w:tc>
          <w:tcPr>
            <w:tcW w:w="413" w:type="dxa"/>
            <w:hideMark/>
          </w:tcPr>
          <w:p w14:paraId="731EB80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5</w:t>
            </w:r>
          </w:p>
        </w:tc>
        <w:tc>
          <w:tcPr>
            <w:tcW w:w="1194" w:type="dxa"/>
            <w:hideMark/>
          </w:tcPr>
          <w:p w14:paraId="7C86A667"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Antioquia </w:t>
            </w:r>
          </w:p>
        </w:tc>
        <w:tc>
          <w:tcPr>
            <w:tcW w:w="1047" w:type="dxa"/>
            <w:hideMark/>
          </w:tcPr>
          <w:p w14:paraId="54AAB0B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san </w:t>
            </w:r>
            <w:proofErr w:type="spellStart"/>
            <w:r w:rsidRPr="001E64C2">
              <w:rPr>
                <w:rFonts w:ascii="Calibri" w:eastAsia="Times New Roman" w:hAnsi="Calibri" w:cs="Calibri"/>
                <w:color w:val="000000"/>
                <w:lang w:eastAsia="es-CO"/>
              </w:rPr>
              <w:t>jeronimo</w:t>
            </w:r>
            <w:proofErr w:type="spellEnd"/>
            <w:r w:rsidRPr="001E64C2">
              <w:rPr>
                <w:rFonts w:ascii="Calibri" w:eastAsia="Times New Roman" w:hAnsi="Calibri" w:cs="Calibri"/>
                <w:color w:val="000000"/>
                <w:lang w:eastAsia="es-CO"/>
              </w:rPr>
              <w:t xml:space="preserve"> </w:t>
            </w:r>
          </w:p>
        </w:tc>
        <w:tc>
          <w:tcPr>
            <w:tcW w:w="1218" w:type="dxa"/>
            <w:hideMark/>
          </w:tcPr>
          <w:p w14:paraId="334AE4C1"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 18 9A 90 92</w:t>
            </w:r>
          </w:p>
        </w:tc>
        <w:tc>
          <w:tcPr>
            <w:tcW w:w="1101" w:type="dxa"/>
            <w:hideMark/>
          </w:tcPr>
          <w:p w14:paraId="5B368C6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 </w:t>
            </w:r>
          </w:p>
        </w:tc>
        <w:tc>
          <w:tcPr>
            <w:tcW w:w="1063" w:type="dxa"/>
            <w:hideMark/>
          </w:tcPr>
          <w:p w14:paraId="56B4AEB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298607</w:t>
            </w:r>
          </w:p>
        </w:tc>
        <w:tc>
          <w:tcPr>
            <w:tcW w:w="1039" w:type="dxa"/>
            <w:hideMark/>
          </w:tcPr>
          <w:p w14:paraId="6C9FB33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110.400.000</w:t>
            </w:r>
          </w:p>
        </w:tc>
        <w:tc>
          <w:tcPr>
            <w:tcW w:w="1039" w:type="dxa"/>
            <w:hideMark/>
          </w:tcPr>
          <w:p w14:paraId="45AC28A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110.400.000</w:t>
            </w:r>
          </w:p>
        </w:tc>
      </w:tr>
      <w:tr w:rsidR="001E5EDB" w:rsidRPr="001E64C2" w14:paraId="508CE440" w14:textId="77777777" w:rsidTr="001E5EDB">
        <w:trPr>
          <w:trHeight w:val="282"/>
        </w:trPr>
        <w:tc>
          <w:tcPr>
            <w:tcW w:w="413" w:type="dxa"/>
            <w:hideMark/>
          </w:tcPr>
          <w:p w14:paraId="4F853DB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6</w:t>
            </w:r>
          </w:p>
        </w:tc>
        <w:tc>
          <w:tcPr>
            <w:tcW w:w="1194" w:type="dxa"/>
            <w:hideMark/>
          </w:tcPr>
          <w:p w14:paraId="459CDF2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Caldas </w:t>
            </w:r>
          </w:p>
        </w:tc>
        <w:tc>
          <w:tcPr>
            <w:tcW w:w="1047" w:type="dxa"/>
            <w:hideMark/>
          </w:tcPr>
          <w:p w14:paraId="2E29E74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La Dorada </w:t>
            </w:r>
          </w:p>
        </w:tc>
        <w:tc>
          <w:tcPr>
            <w:tcW w:w="1218" w:type="dxa"/>
            <w:hideMark/>
          </w:tcPr>
          <w:p w14:paraId="189AA8A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 17 9 46</w:t>
            </w:r>
          </w:p>
        </w:tc>
        <w:tc>
          <w:tcPr>
            <w:tcW w:w="1101" w:type="dxa"/>
            <w:hideMark/>
          </w:tcPr>
          <w:p w14:paraId="0043B21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CASALOTE </w:t>
            </w:r>
          </w:p>
        </w:tc>
        <w:tc>
          <w:tcPr>
            <w:tcW w:w="1063" w:type="dxa"/>
            <w:hideMark/>
          </w:tcPr>
          <w:p w14:paraId="40138CB2"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1062535</w:t>
            </w:r>
          </w:p>
        </w:tc>
        <w:tc>
          <w:tcPr>
            <w:tcW w:w="1039" w:type="dxa"/>
            <w:hideMark/>
          </w:tcPr>
          <w:p w14:paraId="490963EE"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196.300.000</w:t>
            </w:r>
          </w:p>
        </w:tc>
        <w:tc>
          <w:tcPr>
            <w:tcW w:w="1039" w:type="dxa"/>
            <w:hideMark/>
          </w:tcPr>
          <w:p w14:paraId="084B6C7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196.300.000</w:t>
            </w:r>
          </w:p>
        </w:tc>
      </w:tr>
      <w:tr w:rsidR="001E5EDB" w:rsidRPr="001E64C2" w14:paraId="58A41D34" w14:textId="77777777" w:rsidTr="001E5EDB">
        <w:trPr>
          <w:trHeight w:val="282"/>
        </w:trPr>
        <w:tc>
          <w:tcPr>
            <w:tcW w:w="413" w:type="dxa"/>
            <w:hideMark/>
          </w:tcPr>
          <w:p w14:paraId="481D4EF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7</w:t>
            </w:r>
          </w:p>
        </w:tc>
        <w:tc>
          <w:tcPr>
            <w:tcW w:w="1194" w:type="dxa"/>
            <w:hideMark/>
          </w:tcPr>
          <w:p w14:paraId="276BC3F5"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Caqueta</w:t>
            </w:r>
            <w:proofErr w:type="spellEnd"/>
            <w:r w:rsidRPr="001E64C2">
              <w:rPr>
                <w:rFonts w:ascii="Calibri" w:eastAsia="Times New Roman" w:hAnsi="Calibri" w:cs="Calibri"/>
                <w:color w:val="000000"/>
                <w:lang w:eastAsia="es-CO"/>
              </w:rPr>
              <w:t xml:space="preserve"> </w:t>
            </w:r>
          </w:p>
        </w:tc>
        <w:tc>
          <w:tcPr>
            <w:tcW w:w="1047" w:type="dxa"/>
            <w:hideMark/>
          </w:tcPr>
          <w:p w14:paraId="6C49607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El Doncello </w:t>
            </w:r>
          </w:p>
        </w:tc>
        <w:tc>
          <w:tcPr>
            <w:tcW w:w="1218" w:type="dxa"/>
            <w:hideMark/>
          </w:tcPr>
          <w:p w14:paraId="5607E7D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5A 15A 17</w:t>
            </w:r>
          </w:p>
        </w:tc>
        <w:tc>
          <w:tcPr>
            <w:tcW w:w="1101" w:type="dxa"/>
            <w:hideMark/>
          </w:tcPr>
          <w:p w14:paraId="0855043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w:t>
            </w:r>
          </w:p>
        </w:tc>
        <w:tc>
          <w:tcPr>
            <w:tcW w:w="1063" w:type="dxa"/>
            <w:hideMark/>
          </w:tcPr>
          <w:p w14:paraId="408E4EF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42085815</w:t>
            </w:r>
          </w:p>
        </w:tc>
        <w:tc>
          <w:tcPr>
            <w:tcW w:w="1039" w:type="dxa"/>
            <w:hideMark/>
          </w:tcPr>
          <w:p w14:paraId="2E778BE2"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35.600.000</w:t>
            </w:r>
          </w:p>
        </w:tc>
        <w:tc>
          <w:tcPr>
            <w:tcW w:w="1039" w:type="dxa"/>
            <w:hideMark/>
          </w:tcPr>
          <w:p w14:paraId="3B3E1B2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35.600.000</w:t>
            </w:r>
          </w:p>
        </w:tc>
      </w:tr>
      <w:tr w:rsidR="001E5EDB" w:rsidRPr="001E64C2" w14:paraId="0C6D95D8" w14:textId="77777777" w:rsidTr="001E5EDB">
        <w:trPr>
          <w:trHeight w:val="564"/>
        </w:trPr>
        <w:tc>
          <w:tcPr>
            <w:tcW w:w="413" w:type="dxa"/>
            <w:hideMark/>
          </w:tcPr>
          <w:p w14:paraId="2B0127A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8</w:t>
            </w:r>
          </w:p>
        </w:tc>
        <w:tc>
          <w:tcPr>
            <w:tcW w:w="1194" w:type="dxa"/>
            <w:hideMark/>
          </w:tcPr>
          <w:p w14:paraId="665B5B1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Casanare</w:t>
            </w:r>
          </w:p>
        </w:tc>
        <w:tc>
          <w:tcPr>
            <w:tcW w:w="1047" w:type="dxa"/>
            <w:hideMark/>
          </w:tcPr>
          <w:p w14:paraId="59C2028E"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Yopal </w:t>
            </w:r>
          </w:p>
        </w:tc>
        <w:tc>
          <w:tcPr>
            <w:tcW w:w="1218" w:type="dxa"/>
            <w:hideMark/>
          </w:tcPr>
          <w:p w14:paraId="02E8D7D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 31A 7 32 MZ 6 CS 7 </w:t>
            </w:r>
          </w:p>
        </w:tc>
        <w:tc>
          <w:tcPr>
            <w:tcW w:w="1101" w:type="dxa"/>
            <w:hideMark/>
          </w:tcPr>
          <w:p w14:paraId="39ACBC7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w:t>
            </w:r>
          </w:p>
        </w:tc>
        <w:tc>
          <w:tcPr>
            <w:tcW w:w="1063" w:type="dxa"/>
            <w:hideMark/>
          </w:tcPr>
          <w:p w14:paraId="32C773B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47068766</w:t>
            </w:r>
          </w:p>
        </w:tc>
        <w:tc>
          <w:tcPr>
            <w:tcW w:w="1039" w:type="dxa"/>
            <w:hideMark/>
          </w:tcPr>
          <w:p w14:paraId="28AEBA0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75.000.000</w:t>
            </w:r>
          </w:p>
        </w:tc>
        <w:tc>
          <w:tcPr>
            <w:tcW w:w="1039" w:type="dxa"/>
            <w:hideMark/>
          </w:tcPr>
          <w:p w14:paraId="5222644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75.000.000</w:t>
            </w:r>
          </w:p>
        </w:tc>
      </w:tr>
      <w:tr w:rsidR="001E5EDB" w:rsidRPr="001E64C2" w14:paraId="684D8DE4" w14:textId="77777777" w:rsidTr="001E5EDB">
        <w:trPr>
          <w:trHeight w:val="282"/>
        </w:trPr>
        <w:tc>
          <w:tcPr>
            <w:tcW w:w="413" w:type="dxa"/>
            <w:hideMark/>
          </w:tcPr>
          <w:p w14:paraId="631A2CB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lastRenderedPageBreak/>
              <w:t>9</w:t>
            </w:r>
          </w:p>
        </w:tc>
        <w:tc>
          <w:tcPr>
            <w:tcW w:w="1194" w:type="dxa"/>
            <w:hideMark/>
          </w:tcPr>
          <w:p w14:paraId="7E32AA51"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Cordoba</w:t>
            </w:r>
            <w:proofErr w:type="spellEnd"/>
            <w:r w:rsidRPr="001E64C2">
              <w:rPr>
                <w:rFonts w:ascii="Calibri" w:eastAsia="Times New Roman" w:hAnsi="Calibri" w:cs="Calibri"/>
                <w:color w:val="000000"/>
                <w:lang w:eastAsia="es-CO"/>
              </w:rPr>
              <w:t xml:space="preserve"> </w:t>
            </w:r>
          </w:p>
        </w:tc>
        <w:tc>
          <w:tcPr>
            <w:tcW w:w="1047" w:type="dxa"/>
            <w:hideMark/>
          </w:tcPr>
          <w:p w14:paraId="78BCE1F4"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Sahagun</w:t>
            </w:r>
            <w:proofErr w:type="spellEnd"/>
            <w:r w:rsidRPr="001E64C2">
              <w:rPr>
                <w:rFonts w:ascii="Calibri" w:eastAsia="Times New Roman" w:hAnsi="Calibri" w:cs="Calibri"/>
                <w:color w:val="000000"/>
                <w:lang w:eastAsia="es-CO"/>
              </w:rPr>
              <w:t xml:space="preserve"> </w:t>
            </w:r>
          </w:p>
        </w:tc>
        <w:tc>
          <w:tcPr>
            <w:tcW w:w="1218" w:type="dxa"/>
            <w:hideMark/>
          </w:tcPr>
          <w:p w14:paraId="013549A7"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5 7 46</w:t>
            </w:r>
          </w:p>
        </w:tc>
        <w:tc>
          <w:tcPr>
            <w:tcW w:w="1101" w:type="dxa"/>
            <w:hideMark/>
          </w:tcPr>
          <w:p w14:paraId="7457307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CASALOTE </w:t>
            </w:r>
          </w:p>
        </w:tc>
        <w:tc>
          <w:tcPr>
            <w:tcW w:w="1063" w:type="dxa"/>
            <w:hideMark/>
          </w:tcPr>
          <w:p w14:paraId="4FEAD97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14847553</w:t>
            </w:r>
          </w:p>
        </w:tc>
        <w:tc>
          <w:tcPr>
            <w:tcW w:w="1039" w:type="dxa"/>
            <w:hideMark/>
          </w:tcPr>
          <w:p w14:paraId="7FA56AE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121.880.000</w:t>
            </w:r>
          </w:p>
        </w:tc>
        <w:tc>
          <w:tcPr>
            <w:tcW w:w="1039" w:type="dxa"/>
            <w:hideMark/>
          </w:tcPr>
          <w:p w14:paraId="0802A3A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121.880.000</w:t>
            </w:r>
          </w:p>
        </w:tc>
      </w:tr>
      <w:tr w:rsidR="001E5EDB" w:rsidRPr="001E64C2" w14:paraId="2843E951" w14:textId="77777777" w:rsidTr="001E5EDB">
        <w:trPr>
          <w:trHeight w:val="1128"/>
        </w:trPr>
        <w:tc>
          <w:tcPr>
            <w:tcW w:w="413" w:type="dxa"/>
            <w:hideMark/>
          </w:tcPr>
          <w:p w14:paraId="02495B91"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10</w:t>
            </w:r>
          </w:p>
        </w:tc>
        <w:tc>
          <w:tcPr>
            <w:tcW w:w="1194" w:type="dxa"/>
            <w:hideMark/>
          </w:tcPr>
          <w:p w14:paraId="534A8731"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Meta </w:t>
            </w:r>
          </w:p>
        </w:tc>
        <w:tc>
          <w:tcPr>
            <w:tcW w:w="1047" w:type="dxa"/>
            <w:hideMark/>
          </w:tcPr>
          <w:p w14:paraId="6D31418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Villavicencio </w:t>
            </w:r>
          </w:p>
        </w:tc>
        <w:tc>
          <w:tcPr>
            <w:tcW w:w="1218" w:type="dxa"/>
            <w:hideMark/>
          </w:tcPr>
          <w:p w14:paraId="15AB1FD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25 34 09 11 C 34 25 04 BR SAN LS</w:t>
            </w:r>
          </w:p>
        </w:tc>
        <w:tc>
          <w:tcPr>
            <w:tcW w:w="1101" w:type="dxa"/>
            <w:hideMark/>
          </w:tcPr>
          <w:p w14:paraId="60F198F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w:t>
            </w:r>
          </w:p>
        </w:tc>
        <w:tc>
          <w:tcPr>
            <w:tcW w:w="1063" w:type="dxa"/>
            <w:hideMark/>
          </w:tcPr>
          <w:p w14:paraId="2F86A42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23047742</w:t>
            </w:r>
          </w:p>
        </w:tc>
        <w:tc>
          <w:tcPr>
            <w:tcW w:w="1039" w:type="dxa"/>
            <w:hideMark/>
          </w:tcPr>
          <w:p w14:paraId="5B547D9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120.300.000</w:t>
            </w:r>
          </w:p>
        </w:tc>
        <w:tc>
          <w:tcPr>
            <w:tcW w:w="1039" w:type="dxa"/>
            <w:hideMark/>
          </w:tcPr>
          <w:p w14:paraId="53636C7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120.300.000</w:t>
            </w:r>
          </w:p>
        </w:tc>
      </w:tr>
      <w:tr w:rsidR="001E5EDB" w:rsidRPr="001E64C2" w14:paraId="5312290D" w14:textId="77777777" w:rsidTr="001E5EDB">
        <w:trPr>
          <w:trHeight w:val="846"/>
        </w:trPr>
        <w:tc>
          <w:tcPr>
            <w:tcW w:w="413" w:type="dxa"/>
            <w:hideMark/>
          </w:tcPr>
          <w:p w14:paraId="505AA017"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11</w:t>
            </w:r>
          </w:p>
        </w:tc>
        <w:tc>
          <w:tcPr>
            <w:tcW w:w="1194" w:type="dxa"/>
            <w:hideMark/>
          </w:tcPr>
          <w:p w14:paraId="3FBC802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Meta </w:t>
            </w:r>
          </w:p>
        </w:tc>
        <w:tc>
          <w:tcPr>
            <w:tcW w:w="1047" w:type="dxa"/>
            <w:hideMark/>
          </w:tcPr>
          <w:p w14:paraId="3D8C297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San Martin </w:t>
            </w:r>
          </w:p>
        </w:tc>
        <w:tc>
          <w:tcPr>
            <w:tcW w:w="1218" w:type="dxa"/>
            <w:hideMark/>
          </w:tcPr>
          <w:p w14:paraId="451E710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 20A 14 39 MZ K CS 21 PEDRO DAZA </w:t>
            </w:r>
          </w:p>
        </w:tc>
        <w:tc>
          <w:tcPr>
            <w:tcW w:w="1101" w:type="dxa"/>
            <w:hideMark/>
          </w:tcPr>
          <w:p w14:paraId="3BE3BE8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w:t>
            </w:r>
          </w:p>
        </w:tc>
        <w:tc>
          <w:tcPr>
            <w:tcW w:w="1063" w:type="dxa"/>
            <w:hideMark/>
          </w:tcPr>
          <w:p w14:paraId="2B1089A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23647436</w:t>
            </w:r>
          </w:p>
        </w:tc>
        <w:tc>
          <w:tcPr>
            <w:tcW w:w="1039" w:type="dxa"/>
            <w:hideMark/>
          </w:tcPr>
          <w:p w14:paraId="347E5C6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84.000.000</w:t>
            </w:r>
          </w:p>
        </w:tc>
        <w:tc>
          <w:tcPr>
            <w:tcW w:w="1039" w:type="dxa"/>
            <w:hideMark/>
          </w:tcPr>
          <w:p w14:paraId="6EABE23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84.000.000</w:t>
            </w:r>
          </w:p>
        </w:tc>
      </w:tr>
      <w:tr w:rsidR="001E5EDB" w:rsidRPr="001E64C2" w14:paraId="1FCBDF3D" w14:textId="77777777" w:rsidTr="001E5EDB">
        <w:trPr>
          <w:trHeight w:val="282"/>
        </w:trPr>
        <w:tc>
          <w:tcPr>
            <w:tcW w:w="413" w:type="dxa"/>
            <w:hideMark/>
          </w:tcPr>
          <w:p w14:paraId="7ABDC63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12</w:t>
            </w:r>
          </w:p>
        </w:tc>
        <w:tc>
          <w:tcPr>
            <w:tcW w:w="1194" w:type="dxa"/>
            <w:hideMark/>
          </w:tcPr>
          <w:p w14:paraId="5D6B0F4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Meta </w:t>
            </w:r>
          </w:p>
        </w:tc>
        <w:tc>
          <w:tcPr>
            <w:tcW w:w="1047" w:type="dxa"/>
            <w:hideMark/>
          </w:tcPr>
          <w:p w14:paraId="6F3670E8"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Granada </w:t>
            </w:r>
          </w:p>
        </w:tc>
        <w:tc>
          <w:tcPr>
            <w:tcW w:w="1218" w:type="dxa"/>
            <w:hideMark/>
          </w:tcPr>
          <w:p w14:paraId="16966B1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K 15 13 05</w:t>
            </w:r>
          </w:p>
        </w:tc>
        <w:tc>
          <w:tcPr>
            <w:tcW w:w="1101" w:type="dxa"/>
            <w:hideMark/>
          </w:tcPr>
          <w:p w14:paraId="23983B0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CASALOTE </w:t>
            </w:r>
          </w:p>
        </w:tc>
        <w:tc>
          <w:tcPr>
            <w:tcW w:w="1063" w:type="dxa"/>
            <w:hideMark/>
          </w:tcPr>
          <w:p w14:paraId="221D99A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23656558</w:t>
            </w:r>
          </w:p>
        </w:tc>
        <w:tc>
          <w:tcPr>
            <w:tcW w:w="1039" w:type="dxa"/>
            <w:hideMark/>
          </w:tcPr>
          <w:p w14:paraId="649C0C7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60.000.000</w:t>
            </w:r>
          </w:p>
        </w:tc>
        <w:tc>
          <w:tcPr>
            <w:tcW w:w="1039" w:type="dxa"/>
            <w:hideMark/>
          </w:tcPr>
          <w:p w14:paraId="5196C336"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60.000.000</w:t>
            </w:r>
          </w:p>
        </w:tc>
      </w:tr>
      <w:tr w:rsidR="001E5EDB" w:rsidRPr="001E64C2" w14:paraId="45833E7C" w14:textId="77777777" w:rsidTr="001E5EDB">
        <w:trPr>
          <w:trHeight w:val="846"/>
        </w:trPr>
        <w:tc>
          <w:tcPr>
            <w:tcW w:w="413" w:type="dxa"/>
            <w:hideMark/>
          </w:tcPr>
          <w:p w14:paraId="6B3FDAD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13</w:t>
            </w:r>
          </w:p>
        </w:tc>
        <w:tc>
          <w:tcPr>
            <w:tcW w:w="1194" w:type="dxa"/>
            <w:hideMark/>
          </w:tcPr>
          <w:p w14:paraId="0BBC1081"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Nariño</w:t>
            </w:r>
          </w:p>
        </w:tc>
        <w:tc>
          <w:tcPr>
            <w:tcW w:w="1047" w:type="dxa"/>
            <w:hideMark/>
          </w:tcPr>
          <w:p w14:paraId="48D1CB9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Pasto </w:t>
            </w:r>
          </w:p>
        </w:tc>
        <w:tc>
          <w:tcPr>
            <w:tcW w:w="1218" w:type="dxa"/>
            <w:hideMark/>
          </w:tcPr>
          <w:p w14:paraId="337CA94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PARCELA 25 CAMPESTRE - LA ESTANCIA </w:t>
            </w:r>
          </w:p>
        </w:tc>
        <w:tc>
          <w:tcPr>
            <w:tcW w:w="1101" w:type="dxa"/>
            <w:hideMark/>
          </w:tcPr>
          <w:p w14:paraId="507652C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LOTE DE TERRENO </w:t>
            </w:r>
          </w:p>
        </w:tc>
        <w:tc>
          <w:tcPr>
            <w:tcW w:w="1063" w:type="dxa"/>
            <w:hideMark/>
          </w:tcPr>
          <w:p w14:paraId="66522AD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240185995</w:t>
            </w:r>
          </w:p>
        </w:tc>
        <w:tc>
          <w:tcPr>
            <w:tcW w:w="1039" w:type="dxa"/>
            <w:hideMark/>
          </w:tcPr>
          <w:p w14:paraId="7941E9FE"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240.560.000</w:t>
            </w:r>
          </w:p>
        </w:tc>
        <w:tc>
          <w:tcPr>
            <w:tcW w:w="1039" w:type="dxa"/>
            <w:hideMark/>
          </w:tcPr>
          <w:p w14:paraId="70BAB373"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240.560.000</w:t>
            </w:r>
          </w:p>
        </w:tc>
      </w:tr>
      <w:tr w:rsidR="001E5EDB" w:rsidRPr="001E64C2" w14:paraId="1C69DE4B" w14:textId="77777777" w:rsidTr="001E5EDB">
        <w:trPr>
          <w:trHeight w:val="1411"/>
        </w:trPr>
        <w:tc>
          <w:tcPr>
            <w:tcW w:w="413" w:type="dxa"/>
            <w:hideMark/>
          </w:tcPr>
          <w:p w14:paraId="5700F0B0"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14</w:t>
            </w:r>
          </w:p>
        </w:tc>
        <w:tc>
          <w:tcPr>
            <w:tcW w:w="1194" w:type="dxa"/>
            <w:hideMark/>
          </w:tcPr>
          <w:p w14:paraId="5A1E8161" w14:textId="77777777" w:rsidR="001E64C2" w:rsidRPr="001E64C2" w:rsidRDefault="001E64C2" w:rsidP="001E64C2">
            <w:pPr>
              <w:jc w:val="center"/>
              <w:rPr>
                <w:rFonts w:ascii="Calibri" w:eastAsia="Times New Roman" w:hAnsi="Calibri" w:cs="Calibri"/>
                <w:color w:val="000000"/>
                <w:lang w:eastAsia="es-CO"/>
              </w:rPr>
            </w:pPr>
            <w:proofErr w:type="spellStart"/>
            <w:r w:rsidRPr="001E64C2">
              <w:rPr>
                <w:rFonts w:ascii="Calibri" w:eastAsia="Times New Roman" w:hAnsi="Calibri" w:cs="Calibri"/>
                <w:color w:val="000000"/>
                <w:lang w:eastAsia="es-CO"/>
              </w:rPr>
              <w:t>Quindio</w:t>
            </w:r>
            <w:proofErr w:type="spellEnd"/>
            <w:r w:rsidRPr="001E64C2">
              <w:rPr>
                <w:rFonts w:ascii="Calibri" w:eastAsia="Times New Roman" w:hAnsi="Calibri" w:cs="Calibri"/>
                <w:color w:val="000000"/>
                <w:lang w:eastAsia="es-CO"/>
              </w:rPr>
              <w:t xml:space="preserve"> </w:t>
            </w:r>
          </w:p>
        </w:tc>
        <w:tc>
          <w:tcPr>
            <w:tcW w:w="1047" w:type="dxa"/>
            <w:hideMark/>
          </w:tcPr>
          <w:p w14:paraId="5F56403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Montenegro </w:t>
            </w:r>
          </w:p>
        </w:tc>
        <w:tc>
          <w:tcPr>
            <w:tcW w:w="1218" w:type="dxa"/>
            <w:hideMark/>
          </w:tcPr>
          <w:p w14:paraId="0AEAD0AF"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MZ C2 CS 22 UR COMPARTIR MONTENEGRO </w:t>
            </w:r>
          </w:p>
        </w:tc>
        <w:tc>
          <w:tcPr>
            <w:tcW w:w="1101" w:type="dxa"/>
            <w:hideMark/>
          </w:tcPr>
          <w:p w14:paraId="6D54745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CASA</w:t>
            </w:r>
          </w:p>
        </w:tc>
        <w:tc>
          <w:tcPr>
            <w:tcW w:w="1063" w:type="dxa"/>
            <w:hideMark/>
          </w:tcPr>
          <w:p w14:paraId="5C00BC6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280132481</w:t>
            </w:r>
          </w:p>
        </w:tc>
        <w:tc>
          <w:tcPr>
            <w:tcW w:w="1039" w:type="dxa"/>
            <w:hideMark/>
          </w:tcPr>
          <w:p w14:paraId="234859EA"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47.600.000</w:t>
            </w:r>
          </w:p>
        </w:tc>
        <w:tc>
          <w:tcPr>
            <w:tcW w:w="1039" w:type="dxa"/>
            <w:hideMark/>
          </w:tcPr>
          <w:p w14:paraId="29AE3D14"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47.600.000</w:t>
            </w:r>
          </w:p>
        </w:tc>
      </w:tr>
      <w:tr w:rsidR="001E5EDB" w:rsidRPr="001E64C2" w14:paraId="3922989D" w14:textId="77777777" w:rsidTr="001E5EDB">
        <w:trPr>
          <w:trHeight w:val="564"/>
        </w:trPr>
        <w:tc>
          <w:tcPr>
            <w:tcW w:w="413" w:type="dxa"/>
            <w:hideMark/>
          </w:tcPr>
          <w:p w14:paraId="2481954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15</w:t>
            </w:r>
          </w:p>
        </w:tc>
        <w:tc>
          <w:tcPr>
            <w:tcW w:w="1194" w:type="dxa"/>
            <w:hideMark/>
          </w:tcPr>
          <w:p w14:paraId="1A496B57"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Valle del Cauca </w:t>
            </w:r>
          </w:p>
        </w:tc>
        <w:tc>
          <w:tcPr>
            <w:tcW w:w="1047" w:type="dxa"/>
            <w:hideMark/>
          </w:tcPr>
          <w:p w14:paraId="0DA79D35"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Cali </w:t>
            </w:r>
          </w:p>
        </w:tc>
        <w:tc>
          <w:tcPr>
            <w:tcW w:w="1218" w:type="dxa"/>
            <w:hideMark/>
          </w:tcPr>
          <w:p w14:paraId="7246C15C"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 13 19 37 </w:t>
            </w:r>
          </w:p>
        </w:tc>
        <w:tc>
          <w:tcPr>
            <w:tcW w:w="1101" w:type="dxa"/>
            <w:hideMark/>
          </w:tcPr>
          <w:p w14:paraId="1F74CEB9"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 xml:space="preserve">CASA </w:t>
            </w:r>
          </w:p>
        </w:tc>
        <w:tc>
          <w:tcPr>
            <w:tcW w:w="1063" w:type="dxa"/>
            <w:hideMark/>
          </w:tcPr>
          <w:p w14:paraId="5F2B630D"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3702961</w:t>
            </w:r>
          </w:p>
        </w:tc>
        <w:tc>
          <w:tcPr>
            <w:tcW w:w="1039" w:type="dxa"/>
            <w:hideMark/>
          </w:tcPr>
          <w:p w14:paraId="1E83CD61"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215.000.000</w:t>
            </w:r>
          </w:p>
        </w:tc>
        <w:tc>
          <w:tcPr>
            <w:tcW w:w="1039" w:type="dxa"/>
            <w:hideMark/>
          </w:tcPr>
          <w:p w14:paraId="416ACC0B" w14:textId="77777777" w:rsidR="001E64C2" w:rsidRPr="001E64C2" w:rsidRDefault="001E64C2" w:rsidP="001E64C2">
            <w:pPr>
              <w:jc w:val="center"/>
              <w:rPr>
                <w:rFonts w:ascii="Calibri" w:eastAsia="Times New Roman" w:hAnsi="Calibri" w:cs="Calibri"/>
                <w:color w:val="000000"/>
                <w:lang w:eastAsia="es-CO"/>
              </w:rPr>
            </w:pPr>
            <w:r w:rsidRPr="001E64C2">
              <w:rPr>
                <w:rFonts w:ascii="Calibri" w:eastAsia="Times New Roman" w:hAnsi="Calibri" w:cs="Calibri"/>
                <w:color w:val="000000"/>
                <w:lang w:eastAsia="es-CO"/>
              </w:rPr>
              <w:t>215.000.000</w:t>
            </w:r>
          </w:p>
        </w:tc>
      </w:tr>
    </w:tbl>
    <w:p w14:paraId="45B02FD3" w14:textId="7F4597F9" w:rsidR="001E64C2" w:rsidRDefault="001E64C2" w:rsidP="00B756A7">
      <w:pPr>
        <w:jc w:val="both"/>
        <w:rPr>
          <w:rFonts w:ascii="Verdana" w:hAnsi="Verdana"/>
        </w:rPr>
      </w:pPr>
    </w:p>
    <w:p w14:paraId="2BE41C9A" w14:textId="77777777" w:rsidR="001E64C2" w:rsidRPr="00B756A7" w:rsidRDefault="001E64C2" w:rsidP="00B756A7">
      <w:pPr>
        <w:jc w:val="both"/>
        <w:rPr>
          <w:rFonts w:ascii="Verdana" w:hAnsi="Verdana"/>
        </w:rPr>
      </w:pPr>
    </w:p>
    <w:tbl>
      <w:tblPr>
        <w:tblStyle w:val="Tablaconcuadrcula"/>
        <w:tblW w:w="8177" w:type="dxa"/>
        <w:tblLook w:val="04A0" w:firstRow="1" w:lastRow="0" w:firstColumn="1" w:lastColumn="0" w:noHBand="0" w:noVBand="1"/>
      </w:tblPr>
      <w:tblGrid>
        <w:gridCol w:w="641"/>
        <w:gridCol w:w="1345"/>
        <w:gridCol w:w="1298"/>
        <w:gridCol w:w="872"/>
        <w:gridCol w:w="1252"/>
        <w:gridCol w:w="1108"/>
        <w:gridCol w:w="1156"/>
        <w:gridCol w:w="1156"/>
      </w:tblGrid>
      <w:tr w:rsidR="001E5EDB" w:rsidRPr="001E5EDB" w14:paraId="3D5BE6E3" w14:textId="77777777" w:rsidTr="001E5EDB">
        <w:trPr>
          <w:trHeight w:val="1091"/>
        </w:trPr>
        <w:tc>
          <w:tcPr>
            <w:tcW w:w="567" w:type="dxa"/>
            <w:hideMark/>
          </w:tcPr>
          <w:p w14:paraId="5929687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No.</w:t>
            </w:r>
          </w:p>
        </w:tc>
        <w:tc>
          <w:tcPr>
            <w:tcW w:w="1268" w:type="dxa"/>
            <w:hideMark/>
          </w:tcPr>
          <w:p w14:paraId="2499AD0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Departamento</w:t>
            </w:r>
          </w:p>
        </w:tc>
        <w:tc>
          <w:tcPr>
            <w:tcW w:w="1219" w:type="dxa"/>
            <w:hideMark/>
          </w:tcPr>
          <w:p w14:paraId="368F621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Municipio </w:t>
            </w:r>
          </w:p>
        </w:tc>
        <w:tc>
          <w:tcPr>
            <w:tcW w:w="781" w:type="dxa"/>
            <w:hideMark/>
          </w:tcPr>
          <w:p w14:paraId="35B3254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Dirección </w:t>
            </w:r>
          </w:p>
        </w:tc>
        <w:tc>
          <w:tcPr>
            <w:tcW w:w="1172" w:type="dxa"/>
            <w:hideMark/>
          </w:tcPr>
          <w:p w14:paraId="34AA30F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Tipo de Inmueble </w:t>
            </w:r>
          </w:p>
        </w:tc>
        <w:tc>
          <w:tcPr>
            <w:tcW w:w="1024" w:type="dxa"/>
            <w:hideMark/>
          </w:tcPr>
          <w:p w14:paraId="00247C1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Matricula </w:t>
            </w:r>
            <w:proofErr w:type="spellStart"/>
            <w:r w:rsidRPr="001E5EDB">
              <w:rPr>
                <w:rFonts w:ascii="Calibri" w:eastAsia="Times New Roman" w:hAnsi="Calibri" w:cs="Calibri"/>
                <w:color w:val="000000"/>
                <w:lang w:eastAsia="es-CO"/>
              </w:rPr>
              <w:t>inmoviliaria</w:t>
            </w:r>
            <w:proofErr w:type="spellEnd"/>
            <w:r w:rsidRPr="001E5EDB">
              <w:rPr>
                <w:rFonts w:ascii="Calibri" w:eastAsia="Times New Roman" w:hAnsi="Calibri" w:cs="Calibri"/>
                <w:color w:val="000000"/>
                <w:lang w:eastAsia="es-CO"/>
              </w:rPr>
              <w:t xml:space="preserve"> </w:t>
            </w:r>
          </w:p>
        </w:tc>
        <w:tc>
          <w:tcPr>
            <w:tcW w:w="1073" w:type="dxa"/>
            <w:hideMark/>
          </w:tcPr>
          <w:p w14:paraId="12B8954F"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Precio de </w:t>
            </w:r>
            <w:proofErr w:type="spellStart"/>
            <w:r w:rsidRPr="001E5EDB">
              <w:rPr>
                <w:rFonts w:ascii="Calibri" w:eastAsia="Times New Roman" w:hAnsi="Calibri" w:cs="Calibri"/>
                <w:color w:val="000000"/>
                <w:lang w:eastAsia="es-CO"/>
              </w:rPr>
              <w:t>Avaluo</w:t>
            </w:r>
            <w:proofErr w:type="spellEnd"/>
            <w:r w:rsidRPr="001E5EDB">
              <w:rPr>
                <w:rFonts w:ascii="Calibri" w:eastAsia="Times New Roman" w:hAnsi="Calibri" w:cs="Calibri"/>
                <w:color w:val="000000"/>
                <w:lang w:eastAsia="es-CO"/>
              </w:rPr>
              <w:t xml:space="preserve"> Comercial </w:t>
            </w:r>
          </w:p>
        </w:tc>
        <w:tc>
          <w:tcPr>
            <w:tcW w:w="1073" w:type="dxa"/>
            <w:hideMark/>
          </w:tcPr>
          <w:p w14:paraId="4E44B83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Precio </w:t>
            </w:r>
            <w:proofErr w:type="spellStart"/>
            <w:r w:rsidRPr="001E5EDB">
              <w:rPr>
                <w:rFonts w:ascii="Calibri" w:eastAsia="Times New Roman" w:hAnsi="Calibri" w:cs="Calibri"/>
                <w:color w:val="000000"/>
                <w:lang w:eastAsia="es-CO"/>
              </w:rPr>
              <w:t>minimo</w:t>
            </w:r>
            <w:proofErr w:type="spellEnd"/>
            <w:r w:rsidRPr="001E5EDB">
              <w:rPr>
                <w:rFonts w:ascii="Calibri" w:eastAsia="Times New Roman" w:hAnsi="Calibri" w:cs="Calibri"/>
                <w:color w:val="000000"/>
                <w:lang w:eastAsia="es-CO"/>
              </w:rPr>
              <w:t xml:space="preserve"> de venta autorizado </w:t>
            </w:r>
          </w:p>
        </w:tc>
      </w:tr>
      <w:tr w:rsidR="001E5EDB" w:rsidRPr="001E5EDB" w14:paraId="59E157F8" w14:textId="77777777" w:rsidTr="001E5EDB">
        <w:trPr>
          <w:trHeight w:val="545"/>
        </w:trPr>
        <w:tc>
          <w:tcPr>
            <w:tcW w:w="567" w:type="dxa"/>
            <w:hideMark/>
          </w:tcPr>
          <w:p w14:paraId="09B5546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16</w:t>
            </w:r>
          </w:p>
        </w:tc>
        <w:tc>
          <w:tcPr>
            <w:tcW w:w="1268" w:type="dxa"/>
            <w:hideMark/>
          </w:tcPr>
          <w:p w14:paraId="0C73C744"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50B038FE"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1387587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AK 14 15 88 AP 202</w:t>
            </w:r>
          </w:p>
        </w:tc>
        <w:tc>
          <w:tcPr>
            <w:tcW w:w="1172" w:type="dxa"/>
            <w:hideMark/>
          </w:tcPr>
          <w:p w14:paraId="4A58BDA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APARTAMENTO </w:t>
            </w:r>
          </w:p>
        </w:tc>
        <w:tc>
          <w:tcPr>
            <w:tcW w:w="1024" w:type="dxa"/>
            <w:hideMark/>
          </w:tcPr>
          <w:p w14:paraId="4971221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50C312681</w:t>
            </w:r>
          </w:p>
        </w:tc>
        <w:tc>
          <w:tcPr>
            <w:tcW w:w="1073" w:type="dxa"/>
            <w:hideMark/>
          </w:tcPr>
          <w:p w14:paraId="14348A9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128.340.000</w:t>
            </w:r>
          </w:p>
        </w:tc>
        <w:tc>
          <w:tcPr>
            <w:tcW w:w="1073" w:type="dxa"/>
            <w:hideMark/>
          </w:tcPr>
          <w:p w14:paraId="3EB5A75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128.340.000</w:t>
            </w:r>
          </w:p>
        </w:tc>
      </w:tr>
      <w:tr w:rsidR="001E5EDB" w:rsidRPr="001E5EDB" w14:paraId="7F08E4B7" w14:textId="77777777" w:rsidTr="001E5EDB">
        <w:trPr>
          <w:trHeight w:val="545"/>
        </w:trPr>
        <w:tc>
          <w:tcPr>
            <w:tcW w:w="567" w:type="dxa"/>
            <w:hideMark/>
          </w:tcPr>
          <w:p w14:paraId="34F8BB1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17</w:t>
            </w:r>
          </w:p>
        </w:tc>
        <w:tc>
          <w:tcPr>
            <w:tcW w:w="1268" w:type="dxa"/>
            <w:hideMark/>
          </w:tcPr>
          <w:p w14:paraId="452ED7DF"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CUNDINAMARCA </w:t>
            </w:r>
          </w:p>
        </w:tc>
        <w:tc>
          <w:tcPr>
            <w:tcW w:w="1219" w:type="dxa"/>
            <w:hideMark/>
          </w:tcPr>
          <w:p w14:paraId="311C506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FUSAGASUGA</w:t>
            </w:r>
          </w:p>
        </w:tc>
        <w:tc>
          <w:tcPr>
            <w:tcW w:w="781" w:type="dxa"/>
            <w:hideMark/>
          </w:tcPr>
          <w:p w14:paraId="2645DA8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LT DE TERRENO</w:t>
            </w:r>
          </w:p>
        </w:tc>
        <w:tc>
          <w:tcPr>
            <w:tcW w:w="1172" w:type="dxa"/>
            <w:hideMark/>
          </w:tcPr>
          <w:p w14:paraId="60DC8B8F"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FINCA</w:t>
            </w:r>
          </w:p>
        </w:tc>
        <w:tc>
          <w:tcPr>
            <w:tcW w:w="1024" w:type="dxa"/>
            <w:hideMark/>
          </w:tcPr>
          <w:p w14:paraId="07E2E11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15714325</w:t>
            </w:r>
          </w:p>
        </w:tc>
        <w:tc>
          <w:tcPr>
            <w:tcW w:w="1073" w:type="dxa"/>
            <w:hideMark/>
          </w:tcPr>
          <w:p w14:paraId="25E1F7AA"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2.560.000.000</w:t>
            </w:r>
          </w:p>
        </w:tc>
        <w:tc>
          <w:tcPr>
            <w:tcW w:w="1073" w:type="dxa"/>
            <w:hideMark/>
          </w:tcPr>
          <w:p w14:paraId="68E6F31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2.560.000.000</w:t>
            </w:r>
          </w:p>
        </w:tc>
      </w:tr>
      <w:tr w:rsidR="001E5EDB" w:rsidRPr="001E5EDB" w14:paraId="0BB3A376" w14:textId="77777777" w:rsidTr="001E5EDB">
        <w:trPr>
          <w:trHeight w:val="545"/>
        </w:trPr>
        <w:tc>
          <w:tcPr>
            <w:tcW w:w="567" w:type="dxa"/>
            <w:hideMark/>
          </w:tcPr>
          <w:p w14:paraId="133B2A2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18</w:t>
            </w:r>
          </w:p>
        </w:tc>
        <w:tc>
          <w:tcPr>
            <w:tcW w:w="1268" w:type="dxa"/>
            <w:hideMark/>
          </w:tcPr>
          <w:p w14:paraId="5FCC1252"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32E7C7EE"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00EDBDC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KR 19A </w:t>
            </w:r>
            <w:proofErr w:type="spellStart"/>
            <w:r w:rsidRPr="001E5EDB">
              <w:rPr>
                <w:rFonts w:ascii="Calibri" w:eastAsia="Times New Roman" w:hAnsi="Calibri" w:cs="Calibri"/>
                <w:color w:val="000000"/>
                <w:lang w:eastAsia="es-CO"/>
              </w:rPr>
              <w:t>19A</w:t>
            </w:r>
            <w:proofErr w:type="spellEnd"/>
            <w:r w:rsidRPr="001E5EDB">
              <w:rPr>
                <w:rFonts w:ascii="Calibri" w:eastAsia="Times New Roman" w:hAnsi="Calibri" w:cs="Calibri"/>
                <w:color w:val="000000"/>
                <w:lang w:eastAsia="es-CO"/>
              </w:rPr>
              <w:t xml:space="preserve"> 35</w:t>
            </w:r>
          </w:p>
        </w:tc>
        <w:tc>
          <w:tcPr>
            <w:tcW w:w="1172" w:type="dxa"/>
            <w:hideMark/>
          </w:tcPr>
          <w:p w14:paraId="3B95ECE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CASA </w:t>
            </w:r>
          </w:p>
        </w:tc>
        <w:tc>
          <w:tcPr>
            <w:tcW w:w="1024" w:type="dxa"/>
            <w:hideMark/>
          </w:tcPr>
          <w:p w14:paraId="01AE5EE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50C390678</w:t>
            </w:r>
          </w:p>
        </w:tc>
        <w:tc>
          <w:tcPr>
            <w:tcW w:w="1073" w:type="dxa"/>
            <w:hideMark/>
          </w:tcPr>
          <w:p w14:paraId="197C2C2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234.600.000</w:t>
            </w:r>
          </w:p>
        </w:tc>
        <w:tc>
          <w:tcPr>
            <w:tcW w:w="1073" w:type="dxa"/>
            <w:hideMark/>
          </w:tcPr>
          <w:p w14:paraId="4BB5776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234.600.000</w:t>
            </w:r>
          </w:p>
        </w:tc>
      </w:tr>
      <w:tr w:rsidR="001E5EDB" w:rsidRPr="001E5EDB" w14:paraId="37AB7715" w14:textId="77777777" w:rsidTr="001E5EDB">
        <w:trPr>
          <w:trHeight w:val="545"/>
        </w:trPr>
        <w:tc>
          <w:tcPr>
            <w:tcW w:w="567" w:type="dxa"/>
            <w:hideMark/>
          </w:tcPr>
          <w:p w14:paraId="059299F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19</w:t>
            </w:r>
          </w:p>
        </w:tc>
        <w:tc>
          <w:tcPr>
            <w:tcW w:w="1268" w:type="dxa"/>
            <w:hideMark/>
          </w:tcPr>
          <w:p w14:paraId="6428959B"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04003A19"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17C17BF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KR. 16 32 83 AP 304</w:t>
            </w:r>
          </w:p>
        </w:tc>
        <w:tc>
          <w:tcPr>
            <w:tcW w:w="1172" w:type="dxa"/>
            <w:hideMark/>
          </w:tcPr>
          <w:p w14:paraId="74BCA27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APARTAMENTO </w:t>
            </w:r>
          </w:p>
        </w:tc>
        <w:tc>
          <w:tcPr>
            <w:tcW w:w="1024" w:type="dxa"/>
            <w:hideMark/>
          </w:tcPr>
          <w:p w14:paraId="03B2A2B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50CC441500</w:t>
            </w:r>
          </w:p>
        </w:tc>
        <w:tc>
          <w:tcPr>
            <w:tcW w:w="1073" w:type="dxa"/>
            <w:hideMark/>
          </w:tcPr>
          <w:p w14:paraId="7719833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267.380.000</w:t>
            </w:r>
          </w:p>
        </w:tc>
        <w:tc>
          <w:tcPr>
            <w:tcW w:w="1073" w:type="dxa"/>
            <w:hideMark/>
          </w:tcPr>
          <w:p w14:paraId="28CC10C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267.380.000</w:t>
            </w:r>
          </w:p>
        </w:tc>
      </w:tr>
      <w:tr w:rsidR="001E5EDB" w:rsidRPr="001E5EDB" w14:paraId="44AE58F3" w14:textId="77777777" w:rsidTr="001E5EDB">
        <w:trPr>
          <w:trHeight w:val="545"/>
        </w:trPr>
        <w:tc>
          <w:tcPr>
            <w:tcW w:w="567" w:type="dxa"/>
            <w:hideMark/>
          </w:tcPr>
          <w:p w14:paraId="4804389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20</w:t>
            </w:r>
          </w:p>
        </w:tc>
        <w:tc>
          <w:tcPr>
            <w:tcW w:w="1268" w:type="dxa"/>
            <w:hideMark/>
          </w:tcPr>
          <w:p w14:paraId="64FC027F"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32F8B5D4"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0A644AE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KR. 9 61 86</w:t>
            </w:r>
          </w:p>
        </w:tc>
        <w:tc>
          <w:tcPr>
            <w:tcW w:w="1172" w:type="dxa"/>
            <w:hideMark/>
          </w:tcPr>
          <w:p w14:paraId="44994A7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CASA </w:t>
            </w:r>
          </w:p>
        </w:tc>
        <w:tc>
          <w:tcPr>
            <w:tcW w:w="1024" w:type="dxa"/>
            <w:hideMark/>
          </w:tcPr>
          <w:p w14:paraId="47C9AD7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50C599287</w:t>
            </w:r>
          </w:p>
        </w:tc>
        <w:tc>
          <w:tcPr>
            <w:tcW w:w="1073" w:type="dxa"/>
            <w:hideMark/>
          </w:tcPr>
          <w:p w14:paraId="1F0F7A1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477.000.000</w:t>
            </w:r>
          </w:p>
        </w:tc>
        <w:tc>
          <w:tcPr>
            <w:tcW w:w="1073" w:type="dxa"/>
            <w:hideMark/>
          </w:tcPr>
          <w:p w14:paraId="2FCC1E2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477.000.000</w:t>
            </w:r>
          </w:p>
        </w:tc>
      </w:tr>
      <w:tr w:rsidR="001E5EDB" w:rsidRPr="001E5EDB" w14:paraId="749690D6" w14:textId="77777777" w:rsidTr="001E5EDB">
        <w:trPr>
          <w:trHeight w:val="545"/>
        </w:trPr>
        <w:tc>
          <w:tcPr>
            <w:tcW w:w="567" w:type="dxa"/>
            <w:hideMark/>
          </w:tcPr>
          <w:p w14:paraId="6F97296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21</w:t>
            </w:r>
          </w:p>
        </w:tc>
        <w:tc>
          <w:tcPr>
            <w:tcW w:w="1268" w:type="dxa"/>
            <w:hideMark/>
          </w:tcPr>
          <w:p w14:paraId="151B7CE8"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5A937DC3"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674C857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KR. 55 335</w:t>
            </w:r>
          </w:p>
        </w:tc>
        <w:tc>
          <w:tcPr>
            <w:tcW w:w="1172" w:type="dxa"/>
            <w:hideMark/>
          </w:tcPr>
          <w:p w14:paraId="7DAA22F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CASA </w:t>
            </w:r>
          </w:p>
        </w:tc>
        <w:tc>
          <w:tcPr>
            <w:tcW w:w="1024" w:type="dxa"/>
            <w:hideMark/>
          </w:tcPr>
          <w:p w14:paraId="030B4E2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50C81112</w:t>
            </w:r>
          </w:p>
        </w:tc>
        <w:tc>
          <w:tcPr>
            <w:tcW w:w="1073" w:type="dxa"/>
            <w:hideMark/>
          </w:tcPr>
          <w:p w14:paraId="63C2A08F"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224.235.000</w:t>
            </w:r>
          </w:p>
        </w:tc>
        <w:tc>
          <w:tcPr>
            <w:tcW w:w="1073" w:type="dxa"/>
            <w:hideMark/>
          </w:tcPr>
          <w:p w14:paraId="3C967F1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224.235.000</w:t>
            </w:r>
          </w:p>
        </w:tc>
      </w:tr>
      <w:tr w:rsidR="001E5EDB" w:rsidRPr="001E5EDB" w14:paraId="727075D7" w14:textId="77777777" w:rsidTr="001E5EDB">
        <w:trPr>
          <w:trHeight w:val="545"/>
        </w:trPr>
        <w:tc>
          <w:tcPr>
            <w:tcW w:w="567" w:type="dxa"/>
            <w:hideMark/>
          </w:tcPr>
          <w:p w14:paraId="4F3F48C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lastRenderedPageBreak/>
              <w:t>22</w:t>
            </w:r>
          </w:p>
        </w:tc>
        <w:tc>
          <w:tcPr>
            <w:tcW w:w="1268" w:type="dxa"/>
            <w:hideMark/>
          </w:tcPr>
          <w:p w14:paraId="49D77E1D"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6B0E027D"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13825B1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TV 13F 45F 54 SUR</w:t>
            </w:r>
          </w:p>
        </w:tc>
        <w:tc>
          <w:tcPr>
            <w:tcW w:w="1172" w:type="dxa"/>
            <w:hideMark/>
          </w:tcPr>
          <w:p w14:paraId="0AED479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CASA </w:t>
            </w:r>
          </w:p>
        </w:tc>
        <w:tc>
          <w:tcPr>
            <w:tcW w:w="1024" w:type="dxa"/>
            <w:hideMark/>
          </w:tcPr>
          <w:p w14:paraId="4BDF40B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50S1186408</w:t>
            </w:r>
          </w:p>
        </w:tc>
        <w:tc>
          <w:tcPr>
            <w:tcW w:w="1073" w:type="dxa"/>
            <w:hideMark/>
          </w:tcPr>
          <w:p w14:paraId="4EC2B1C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181.660.000</w:t>
            </w:r>
          </w:p>
        </w:tc>
        <w:tc>
          <w:tcPr>
            <w:tcW w:w="1073" w:type="dxa"/>
            <w:hideMark/>
          </w:tcPr>
          <w:p w14:paraId="1E2AFE74"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181.660.000</w:t>
            </w:r>
          </w:p>
        </w:tc>
      </w:tr>
      <w:tr w:rsidR="001E5EDB" w:rsidRPr="001E5EDB" w14:paraId="202C6F38" w14:textId="77777777" w:rsidTr="001E5EDB">
        <w:trPr>
          <w:trHeight w:val="545"/>
        </w:trPr>
        <w:tc>
          <w:tcPr>
            <w:tcW w:w="567" w:type="dxa"/>
            <w:hideMark/>
          </w:tcPr>
          <w:p w14:paraId="5F65A0C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23</w:t>
            </w:r>
          </w:p>
        </w:tc>
        <w:tc>
          <w:tcPr>
            <w:tcW w:w="1268" w:type="dxa"/>
            <w:hideMark/>
          </w:tcPr>
          <w:p w14:paraId="58D6E7A9"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47821CA7"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65921FD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CL 110 SUR 10C 54 ESTE</w:t>
            </w:r>
          </w:p>
        </w:tc>
        <w:tc>
          <w:tcPr>
            <w:tcW w:w="1172" w:type="dxa"/>
            <w:hideMark/>
          </w:tcPr>
          <w:p w14:paraId="31DC478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LOTE DE TERRENO </w:t>
            </w:r>
          </w:p>
        </w:tc>
        <w:tc>
          <w:tcPr>
            <w:tcW w:w="1024" w:type="dxa"/>
            <w:hideMark/>
          </w:tcPr>
          <w:p w14:paraId="6AB110B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50S40246602</w:t>
            </w:r>
          </w:p>
        </w:tc>
        <w:tc>
          <w:tcPr>
            <w:tcW w:w="1073" w:type="dxa"/>
            <w:hideMark/>
          </w:tcPr>
          <w:p w14:paraId="25DBDE74"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16.308.000</w:t>
            </w:r>
          </w:p>
        </w:tc>
        <w:tc>
          <w:tcPr>
            <w:tcW w:w="1073" w:type="dxa"/>
            <w:hideMark/>
          </w:tcPr>
          <w:p w14:paraId="7EF1E00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16.308.000</w:t>
            </w:r>
          </w:p>
        </w:tc>
      </w:tr>
      <w:tr w:rsidR="001E5EDB" w:rsidRPr="001E5EDB" w14:paraId="6E917488" w14:textId="77777777" w:rsidTr="001E5EDB">
        <w:trPr>
          <w:trHeight w:val="545"/>
        </w:trPr>
        <w:tc>
          <w:tcPr>
            <w:tcW w:w="567" w:type="dxa"/>
            <w:hideMark/>
          </w:tcPr>
          <w:p w14:paraId="63B388CA"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24</w:t>
            </w:r>
          </w:p>
        </w:tc>
        <w:tc>
          <w:tcPr>
            <w:tcW w:w="1268" w:type="dxa"/>
            <w:hideMark/>
          </w:tcPr>
          <w:p w14:paraId="7993983A"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2E43EA06"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7E75B2E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CL 110 SUR 100 72 ESTE</w:t>
            </w:r>
          </w:p>
        </w:tc>
        <w:tc>
          <w:tcPr>
            <w:tcW w:w="1172" w:type="dxa"/>
            <w:hideMark/>
          </w:tcPr>
          <w:p w14:paraId="045C659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LOTE DE TERRENO </w:t>
            </w:r>
          </w:p>
        </w:tc>
        <w:tc>
          <w:tcPr>
            <w:tcW w:w="1024" w:type="dxa"/>
            <w:hideMark/>
          </w:tcPr>
          <w:p w14:paraId="67B305E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50S40246605</w:t>
            </w:r>
          </w:p>
        </w:tc>
        <w:tc>
          <w:tcPr>
            <w:tcW w:w="1073" w:type="dxa"/>
            <w:hideMark/>
          </w:tcPr>
          <w:p w14:paraId="59F5A4BD"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13.554.000</w:t>
            </w:r>
          </w:p>
        </w:tc>
        <w:tc>
          <w:tcPr>
            <w:tcW w:w="1073" w:type="dxa"/>
            <w:hideMark/>
          </w:tcPr>
          <w:p w14:paraId="3FBDC73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13.554.000</w:t>
            </w:r>
          </w:p>
        </w:tc>
      </w:tr>
      <w:tr w:rsidR="001E5EDB" w:rsidRPr="001E5EDB" w14:paraId="7E4DB6CF" w14:textId="77777777" w:rsidTr="001E5EDB">
        <w:trPr>
          <w:trHeight w:val="545"/>
        </w:trPr>
        <w:tc>
          <w:tcPr>
            <w:tcW w:w="567" w:type="dxa"/>
            <w:hideMark/>
          </w:tcPr>
          <w:p w14:paraId="5D306B8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25</w:t>
            </w:r>
          </w:p>
        </w:tc>
        <w:tc>
          <w:tcPr>
            <w:tcW w:w="1268" w:type="dxa"/>
            <w:hideMark/>
          </w:tcPr>
          <w:p w14:paraId="259A306D"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27408E48"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729F1AF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CL 42 SUR SA 34 ESTE</w:t>
            </w:r>
          </w:p>
        </w:tc>
        <w:tc>
          <w:tcPr>
            <w:tcW w:w="1172" w:type="dxa"/>
            <w:hideMark/>
          </w:tcPr>
          <w:p w14:paraId="5CDAB2D9"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CASALOTE </w:t>
            </w:r>
          </w:p>
        </w:tc>
        <w:tc>
          <w:tcPr>
            <w:tcW w:w="1024" w:type="dxa"/>
            <w:hideMark/>
          </w:tcPr>
          <w:p w14:paraId="4D0C1A5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50S40489539</w:t>
            </w:r>
          </w:p>
        </w:tc>
        <w:tc>
          <w:tcPr>
            <w:tcW w:w="1073" w:type="dxa"/>
            <w:hideMark/>
          </w:tcPr>
          <w:p w14:paraId="645BE1A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955.843.000</w:t>
            </w:r>
          </w:p>
        </w:tc>
        <w:tc>
          <w:tcPr>
            <w:tcW w:w="1073" w:type="dxa"/>
            <w:hideMark/>
          </w:tcPr>
          <w:p w14:paraId="33EBF61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955.843.000</w:t>
            </w:r>
          </w:p>
        </w:tc>
      </w:tr>
      <w:tr w:rsidR="001E5EDB" w:rsidRPr="001E5EDB" w14:paraId="62F72F62" w14:textId="77777777" w:rsidTr="001E5EDB">
        <w:trPr>
          <w:trHeight w:val="545"/>
        </w:trPr>
        <w:tc>
          <w:tcPr>
            <w:tcW w:w="567" w:type="dxa"/>
            <w:hideMark/>
          </w:tcPr>
          <w:p w14:paraId="066B223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26</w:t>
            </w:r>
          </w:p>
        </w:tc>
        <w:tc>
          <w:tcPr>
            <w:tcW w:w="1268" w:type="dxa"/>
            <w:hideMark/>
          </w:tcPr>
          <w:p w14:paraId="570BFA3C"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1219" w:type="dxa"/>
            <w:hideMark/>
          </w:tcPr>
          <w:p w14:paraId="018BA55E" w14:textId="77777777" w:rsidR="001E5EDB" w:rsidRPr="001E5EDB" w:rsidRDefault="001E5EDB" w:rsidP="001E5EDB">
            <w:pPr>
              <w:jc w:val="center"/>
              <w:rPr>
                <w:rFonts w:ascii="Calibri" w:eastAsia="Times New Roman" w:hAnsi="Calibri" w:cs="Calibri"/>
                <w:color w:val="000000"/>
                <w:lang w:eastAsia="es-CO"/>
              </w:rPr>
            </w:pPr>
            <w:proofErr w:type="gramStart"/>
            <w:r w:rsidRPr="001E5EDB">
              <w:rPr>
                <w:rFonts w:ascii="Calibri" w:eastAsia="Times New Roman" w:hAnsi="Calibri" w:cs="Calibri"/>
                <w:color w:val="000000"/>
                <w:lang w:eastAsia="es-CO"/>
              </w:rPr>
              <w:t>BOGOTA .</w:t>
            </w:r>
            <w:proofErr w:type="gramEnd"/>
            <w:r w:rsidRPr="001E5EDB">
              <w:rPr>
                <w:rFonts w:ascii="Calibri" w:eastAsia="Times New Roman" w:hAnsi="Calibri" w:cs="Calibri"/>
                <w:color w:val="000000"/>
                <w:lang w:eastAsia="es-CO"/>
              </w:rPr>
              <w:t xml:space="preserve"> DC</w:t>
            </w:r>
          </w:p>
        </w:tc>
        <w:tc>
          <w:tcPr>
            <w:tcW w:w="781" w:type="dxa"/>
            <w:hideMark/>
          </w:tcPr>
          <w:p w14:paraId="6553CB4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CL 68A 19-18</w:t>
            </w:r>
          </w:p>
        </w:tc>
        <w:tc>
          <w:tcPr>
            <w:tcW w:w="1172" w:type="dxa"/>
            <w:hideMark/>
          </w:tcPr>
          <w:p w14:paraId="5AA9811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CASA</w:t>
            </w:r>
          </w:p>
        </w:tc>
        <w:tc>
          <w:tcPr>
            <w:tcW w:w="1024" w:type="dxa"/>
            <w:hideMark/>
          </w:tcPr>
          <w:p w14:paraId="33CA13B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50C1227463</w:t>
            </w:r>
          </w:p>
        </w:tc>
        <w:tc>
          <w:tcPr>
            <w:tcW w:w="1073" w:type="dxa"/>
            <w:hideMark/>
          </w:tcPr>
          <w:p w14:paraId="6A6239F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327.570.000</w:t>
            </w:r>
          </w:p>
        </w:tc>
        <w:tc>
          <w:tcPr>
            <w:tcW w:w="1073" w:type="dxa"/>
            <w:hideMark/>
          </w:tcPr>
          <w:p w14:paraId="5556188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327.570.000</w:t>
            </w:r>
          </w:p>
        </w:tc>
      </w:tr>
      <w:tr w:rsidR="001E5EDB" w:rsidRPr="001E5EDB" w14:paraId="7D389FB6" w14:textId="77777777" w:rsidTr="001E5EDB">
        <w:trPr>
          <w:trHeight w:val="545"/>
        </w:trPr>
        <w:tc>
          <w:tcPr>
            <w:tcW w:w="567" w:type="dxa"/>
            <w:hideMark/>
          </w:tcPr>
          <w:p w14:paraId="3FE19B9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27</w:t>
            </w:r>
          </w:p>
        </w:tc>
        <w:tc>
          <w:tcPr>
            <w:tcW w:w="1268" w:type="dxa"/>
            <w:hideMark/>
          </w:tcPr>
          <w:p w14:paraId="4D1BCE2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CUNDINAMARCA </w:t>
            </w:r>
          </w:p>
        </w:tc>
        <w:tc>
          <w:tcPr>
            <w:tcW w:w="1219" w:type="dxa"/>
            <w:hideMark/>
          </w:tcPr>
          <w:p w14:paraId="3EC041CD"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GIRARDOT</w:t>
            </w:r>
          </w:p>
        </w:tc>
        <w:tc>
          <w:tcPr>
            <w:tcW w:w="781" w:type="dxa"/>
            <w:hideMark/>
          </w:tcPr>
          <w:p w14:paraId="70A91F9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K 8 23 41 45</w:t>
            </w:r>
          </w:p>
        </w:tc>
        <w:tc>
          <w:tcPr>
            <w:tcW w:w="1172" w:type="dxa"/>
            <w:hideMark/>
          </w:tcPr>
          <w:p w14:paraId="232D3CE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CASA</w:t>
            </w:r>
          </w:p>
        </w:tc>
        <w:tc>
          <w:tcPr>
            <w:tcW w:w="1024" w:type="dxa"/>
            <w:hideMark/>
          </w:tcPr>
          <w:p w14:paraId="1985E5A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307656</w:t>
            </w:r>
          </w:p>
        </w:tc>
        <w:tc>
          <w:tcPr>
            <w:tcW w:w="1073" w:type="dxa"/>
            <w:hideMark/>
          </w:tcPr>
          <w:p w14:paraId="40C7DD9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157.200.000</w:t>
            </w:r>
          </w:p>
        </w:tc>
        <w:tc>
          <w:tcPr>
            <w:tcW w:w="1073" w:type="dxa"/>
            <w:hideMark/>
          </w:tcPr>
          <w:p w14:paraId="4E8C738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157.200.000</w:t>
            </w:r>
          </w:p>
        </w:tc>
      </w:tr>
      <w:tr w:rsidR="001E5EDB" w:rsidRPr="001E5EDB" w14:paraId="60F55B3B" w14:textId="77777777" w:rsidTr="001E5EDB">
        <w:trPr>
          <w:trHeight w:val="545"/>
        </w:trPr>
        <w:tc>
          <w:tcPr>
            <w:tcW w:w="567" w:type="dxa"/>
            <w:hideMark/>
          </w:tcPr>
          <w:p w14:paraId="005406A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28</w:t>
            </w:r>
          </w:p>
        </w:tc>
        <w:tc>
          <w:tcPr>
            <w:tcW w:w="1268" w:type="dxa"/>
            <w:hideMark/>
          </w:tcPr>
          <w:p w14:paraId="328EE53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SANTANDER </w:t>
            </w:r>
          </w:p>
        </w:tc>
        <w:tc>
          <w:tcPr>
            <w:tcW w:w="1219" w:type="dxa"/>
            <w:hideMark/>
          </w:tcPr>
          <w:p w14:paraId="2EFB641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BUCARAMANGA </w:t>
            </w:r>
          </w:p>
        </w:tc>
        <w:tc>
          <w:tcPr>
            <w:tcW w:w="781" w:type="dxa"/>
            <w:hideMark/>
          </w:tcPr>
          <w:p w14:paraId="7D3AAB2D"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A EL JARDÍN CS 3</w:t>
            </w:r>
          </w:p>
        </w:tc>
        <w:tc>
          <w:tcPr>
            <w:tcW w:w="1172" w:type="dxa"/>
            <w:hideMark/>
          </w:tcPr>
          <w:p w14:paraId="4EC5D6B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CASA</w:t>
            </w:r>
          </w:p>
        </w:tc>
        <w:tc>
          <w:tcPr>
            <w:tcW w:w="1024" w:type="dxa"/>
            <w:hideMark/>
          </w:tcPr>
          <w:p w14:paraId="16CBA7AA"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30038142</w:t>
            </w:r>
          </w:p>
        </w:tc>
        <w:tc>
          <w:tcPr>
            <w:tcW w:w="1073" w:type="dxa"/>
            <w:hideMark/>
          </w:tcPr>
          <w:p w14:paraId="1DEBF58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227.000.000</w:t>
            </w:r>
          </w:p>
        </w:tc>
        <w:tc>
          <w:tcPr>
            <w:tcW w:w="1073" w:type="dxa"/>
            <w:hideMark/>
          </w:tcPr>
          <w:p w14:paraId="003734E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227.000.000</w:t>
            </w:r>
          </w:p>
        </w:tc>
      </w:tr>
      <w:tr w:rsidR="001E5EDB" w:rsidRPr="001E5EDB" w14:paraId="56894017" w14:textId="77777777" w:rsidTr="001E5EDB">
        <w:trPr>
          <w:trHeight w:val="1910"/>
        </w:trPr>
        <w:tc>
          <w:tcPr>
            <w:tcW w:w="567" w:type="dxa"/>
            <w:hideMark/>
          </w:tcPr>
          <w:p w14:paraId="3FB9D40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29</w:t>
            </w:r>
          </w:p>
        </w:tc>
        <w:tc>
          <w:tcPr>
            <w:tcW w:w="1268" w:type="dxa"/>
            <w:hideMark/>
          </w:tcPr>
          <w:p w14:paraId="5708FB58"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SANTANDER </w:t>
            </w:r>
          </w:p>
        </w:tc>
        <w:tc>
          <w:tcPr>
            <w:tcW w:w="1219" w:type="dxa"/>
            <w:hideMark/>
          </w:tcPr>
          <w:p w14:paraId="0E9F4C2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PIEDECUESTA </w:t>
            </w:r>
          </w:p>
        </w:tc>
        <w:tc>
          <w:tcPr>
            <w:tcW w:w="781" w:type="dxa"/>
            <w:hideMark/>
          </w:tcPr>
          <w:p w14:paraId="1038CD82"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Carrera 5 No. 9-68 Local 21 Piso 2-Centro Comercial Villa de San Carlos</w:t>
            </w:r>
          </w:p>
        </w:tc>
        <w:tc>
          <w:tcPr>
            <w:tcW w:w="1172" w:type="dxa"/>
            <w:hideMark/>
          </w:tcPr>
          <w:p w14:paraId="6E30B231"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LOCAL</w:t>
            </w:r>
          </w:p>
        </w:tc>
        <w:tc>
          <w:tcPr>
            <w:tcW w:w="1024" w:type="dxa"/>
            <w:hideMark/>
          </w:tcPr>
          <w:p w14:paraId="5D30E3F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31423452</w:t>
            </w:r>
          </w:p>
        </w:tc>
        <w:tc>
          <w:tcPr>
            <w:tcW w:w="1073" w:type="dxa"/>
            <w:hideMark/>
          </w:tcPr>
          <w:p w14:paraId="37A6060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67.050.000</w:t>
            </w:r>
          </w:p>
        </w:tc>
        <w:tc>
          <w:tcPr>
            <w:tcW w:w="1073" w:type="dxa"/>
            <w:hideMark/>
          </w:tcPr>
          <w:p w14:paraId="7742BE3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67.050.000</w:t>
            </w:r>
          </w:p>
        </w:tc>
      </w:tr>
      <w:tr w:rsidR="001E5EDB" w:rsidRPr="001E5EDB" w14:paraId="6458C3C0" w14:textId="77777777" w:rsidTr="001E5EDB">
        <w:trPr>
          <w:trHeight w:val="545"/>
        </w:trPr>
        <w:tc>
          <w:tcPr>
            <w:tcW w:w="567" w:type="dxa"/>
            <w:hideMark/>
          </w:tcPr>
          <w:p w14:paraId="6A6C9E0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30</w:t>
            </w:r>
          </w:p>
        </w:tc>
        <w:tc>
          <w:tcPr>
            <w:tcW w:w="1268" w:type="dxa"/>
            <w:hideMark/>
          </w:tcPr>
          <w:p w14:paraId="63F74D0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SANTANDER </w:t>
            </w:r>
          </w:p>
        </w:tc>
        <w:tc>
          <w:tcPr>
            <w:tcW w:w="1219" w:type="dxa"/>
            <w:hideMark/>
          </w:tcPr>
          <w:p w14:paraId="2153FC1D"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PIEDECUESTA </w:t>
            </w:r>
          </w:p>
        </w:tc>
        <w:tc>
          <w:tcPr>
            <w:tcW w:w="781" w:type="dxa"/>
            <w:hideMark/>
          </w:tcPr>
          <w:p w14:paraId="2DFB98D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Calle 9 N 7-81 Local 19</w:t>
            </w:r>
          </w:p>
        </w:tc>
        <w:tc>
          <w:tcPr>
            <w:tcW w:w="1172" w:type="dxa"/>
            <w:hideMark/>
          </w:tcPr>
          <w:p w14:paraId="28231B5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LOCAL</w:t>
            </w:r>
          </w:p>
        </w:tc>
        <w:tc>
          <w:tcPr>
            <w:tcW w:w="1024" w:type="dxa"/>
            <w:hideMark/>
          </w:tcPr>
          <w:p w14:paraId="65DCAB0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31428708</w:t>
            </w:r>
          </w:p>
        </w:tc>
        <w:tc>
          <w:tcPr>
            <w:tcW w:w="1073" w:type="dxa"/>
            <w:hideMark/>
          </w:tcPr>
          <w:p w14:paraId="5D99FDE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162.000.000</w:t>
            </w:r>
          </w:p>
        </w:tc>
        <w:tc>
          <w:tcPr>
            <w:tcW w:w="1073" w:type="dxa"/>
            <w:hideMark/>
          </w:tcPr>
          <w:p w14:paraId="77ADDF34"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162.000.000</w:t>
            </w:r>
          </w:p>
        </w:tc>
      </w:tr>
      <w:tr w:rsidR="001E5EDB" w:rsidRPr="001E5EDB" w14:paraId="3928257E" w14:textId="77777777" w:rsidTr="001E5EDB">
        <w:trPr>
          <w:trHeight w:val="545"/>
        </w:trPr>
        <w:tc>
          <w:tcPr>
            <w:tcW w:w="567" w:type="dxa"/>
            <w:hideMark/>
          </w:tcPr>
          <w:p w14:paraId="3C5A925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31</w:t>
            </w:r>
          </w:p>
        </w:tc>
        <w:tc>
          <w:tcPr>
            <w:tcW w:w="1268" w:type="dxa"/>
            <w:hideMark/>
          </w:tcPr>
          <w:p w14:paraId="79ABE0AC"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META</w:t>
            </w:r>
          </w:p>
        </w:tc>
        <w:tc>
          <w:tcPr>
            <w:tcW w:w="1219" w:type="dxa"/>
            <w:hideMark/>
          </w:tcPr>
          <w:p w14:paraId="51D72FFA"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VILLAVICENCIO </w:t>
            </w:r>
          </w:p>
        </w:tc>
        <w:tc>
          <w:tcPr>
            <w:tcW w:w="781" w:type="dxa"/>
            <w:hideMark/>
          </w:tcPr>
          <w:p w14:paraId="47586FA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K 26 37D 21 25</w:t>
            </w:r>
          </w:p>
        </w:tc>
        <w:tc>
          <w:tcPr>
            <w:tcW w:w="1172" w:type="dxa"/>
            <w:hideMark/>
          </w:tcPr>
          <w:p w14:paraId="26C00760"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CASA</w:t>
            </w:r>
          </w:p>
        </w:tc>
        <w:tc>
          <w:tcPr>
            <w:tcW w:w="1024" w:type="dxa"/>
            <w:hideMark/>
          </w:tcPr>
          <w:p w14:paraId="2FE7C013"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2302034</w:t>
            </w:r>
          </w:p>
        </w:tc>
        <w:tc>
          <w:tcPr>
            <w:tcW w:w="1073" w:type="dxa"/>
            <w:hideMark/>
          </w:tcPr>
          <w:p w14:paraId="68C0565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92.100.000</w:t>
            </w:r>
          </w:p>
        </w:tc>
        <w:tc>
          <w:tcPr>
            <w:tcW w:w="1073" w:type="dxa"/>
            <w:hideMark/>
          </w:tcPr>
          <w:p w14:paraId="35BD45B6"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92.100.000</w:t>
            </w:r>
          </w:p>
        </w:tc>
      </w:tr>
      <w:tr w:rsidR="001E5EDB" w:rsidRPr="001E5EDB" w14:paraId="682B9BDA" w14:textId="77777777" w:rsidTr="001E5EDB">
        <w:trPr>
          <w:trHeight w:val="272"/>
        </w:trPr>
        <w:tc>
          <w:tcPr>
            <w:tcW w:w="567" w:type="dxa"/>
            <w:noWrap/>
            <w:hideMark/>
          </w:tcPr>
          <w:p w14:paraId="54332C76" w14:textId="77777777" w:rsidR="001E5EDB" w:rsidRPr="001E5EDB" w:rsidRDefault="001E5EDB" w:rsidP="001E5EDB">
            <w:pPr>
              <w:rPr>
                <w:rFonts w:ascii="Calibri" w:eastAsia="Times New Roman" w:hAnsi="Calibri" w:cs="Calibri"/>
                <w:color w:val="000000"/>
                <w:lang w:eastAsia="es-CO"/>
              </w:rPr>
            </w:pPr>
            <w:r w:rsidRPr="001E5EDB">
              <w:rPr>
                <w:rFonts w:ascii="Calibri" w:eastAsia="Times New Roman" w:hAnsi="Calibri" w:cs="Calibri"/>
                <w:color w:val="000000"/>
                <w:lang w:eastAsia="es-CO"/>
              </w:rPr>
              <w:t xml:space="preserve">TOTAL </w:t>
            </w:r>
          </w:p>
        </w:tc>
        <w:tc>
          <w:tcPr>
            <w:tcW w:w="1268" w:type="dxa"/>
            <w:hideMark/>
          </w:tcPr>
          <w:p w14:paraId="4A3D94F7"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w:t>
            </w:r>
          </w:p>
        </w:tc>
        <w:tc>
          <w:tcPr>
            <w:tcW w:w="1219" w:type="dxa"/>
            <w:hideMark/>
          </w:tcPr>
          <w:p w14:paraId="3788A95D"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w:t>
            </w:r>
          </w:p>
        </w:tc>
        <w:tc>
          <w:tcPr>
            <w:tcW w:w="781" w:type="dxa"/>
            <w:hideMark/>
          </w:tcPr>
          <w:p w14:paraId="10D62244"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w:t>
            </w:r>
          </w:p>
        </w:tc>
        <w:tc>
          <w:tcPr>
            <w:tcW w:w="1172" w:type="dxa"/>
            <w:hideMark/>
          </w:tcPr>
          <w:p w14:paraId="01ED3724"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w:t>
            </w:r>
          </w:p>
        </w:tc>
        <w:tc>
          <w:tcPr>
            <w:tcW w:w="1024" w:type="dxa"/>
            <w:hideMark/>
          </w:tcPr>
          <w:p w14:paraId="0469088B"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 </w:t>
            </w:r>
          </w:p>
        </w:tc>
        <w:tc>
          <w:tcPr>
            <w:tcW w:w="1073" w:type="dxa"/>
            <w:hideMark/>
          </w:tcPr>
          <w:p w14:paraId="4C797345"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7.957.800.000</w:t>
            </w:r>
          </w:p>
        </w:tc>
        <w:tc>
          <w:tcPr>
            <w:tcW w:w="1073" w:type="dxa"/>
            <w:hideMark/>
          </w:tcPr>
          <w:p w14:paraId="6A48066E" w14:textId="77777777" w:rsidR="001E5EDB" w:rsidRPr="001E5EDB" w:rsidRDefault="001E5EDB" w:rsidP="001E5EDB">
            <w:pPr>
              <w:jc w:val="center"/>
              <w:rPr>
                <w:rFonts w:ascii="Calibri" w:eastAsia="Times New Roman" w:hAnsi="Calibri" w:cs="Calibri"/>
                <w:color w:val="000000"/>
                <w:lang w:eastAsia="es-CO"/>
              </w:rPr>
            </w:pPr>
            <w:r w:rsidRPr="001E5EDB">
              <w:rPr>
                <w:rFonts w:ascii="Calibri" w:eastAsia="Times New Roman" w:hAnsi="Calibri" w:cs="Calibri"/>
                <w:color w:val="000000"/>
                <w:lang w:eastAsia="es-CO"/>
              </w:rPr>
              <w:t>7.565.322.225</w:t>
            </w:r>
          </w:p>
        </w:tc>
      </w:tr>
    </w:tbl>
    <w:p w14:paraId="196AFED4" w14:textId="36ECB2C4" w:rsidR="000B4793" w:rsidRDefault="000B4793" w:rsidP="00E53927">
      <w:pPr>
        <w:jc w:val="both"/>
        <w:rPr>
          <w:rFonts w:ascii="Verdana" w:hAnsi="Verdana"/>
        </w:rPr>
      </w:pPr>
    </w:p>
    <w:p w14:paraId="3A1A451C" w14:textId="3ACE061F" w:rsidR="001E5EDB" w:rsidRPr="001E5EDB" w:rsidRDefault="001E5EDB" w:rsidP="001E5EDB">
      <w:pPr>
        <w:jc w:val="both"/>
        <w:rPr>
          <w:rFonts w:ascii="Verdana" w:hAnsi="Verdana"/>
        </w:rPr>
      </w:pPr>
      <w:r w:rsidRPr="001E5EDB">
        <w:rPr>
          <w:rFonts w:ascii="Verdana" w:hAnsi="Verdana"/>
          <w:b/>
          <w:bCs/>
        </w:rPr>
        <w:t>ARTÍCULO 2o.</w:t>
      </w:r>
      <w:r w:rsidRPr="001E5EDB">
        <w:rPr>
          <w:rFonts w:ascii="Verdana" w:hAnsi="Verdana"/>
        </w:rPr>
        <w:t xml:space="preserve"> Ordenar a la Oficina de Comunicaciones realizar la publicación del Plan de Enajenación Onerosa del ICBF actualizado, en la página web: </w:t>
      </w:r>
      <w:r w:rsidRPr="001E5EDB">
        <w:rPr>
          <w:rFonts w:ascii="Verdana" w:hAnsi="Verdana"/>
        </w:rPr>
        <w:lastRenderedPageBreak/>
        <w:t>www.icbf.gov.co, dentro de los tres (3) días siguientes a la expedición de la presente resolución.</w:t>
      </w:r>
    </w:p>
    <w:p w14:paraId="65E3BDBE" w14:textId="0CCDA709" w:rsidR="001E5EDB" w:rsidRPr="001E5EDB" w:rsidRDefault="001E5EDB" w:rsidP="001E5EDB">
      <w:pPr>
        <w:jc w:val="both"/>
        <w:rPr>
          <w:rFonts w:ascii="Verdana" w:hAnsi="Verdana"/>
        </w:rPr>
      </w:pPr>
      <w:r w:rsidRPr="001E5EDB">
        <w:rPr>
          <w:rFonts w:ascii="Verdana" w:hAnsi="Verdana"/>
          <w:b/>
          <w:bCs/>
        </w:rPr>
        <w:t>ARTÍCULO 3o.</w:t>
      </w:r>
      <w:r w:rsidRPr="001E5EDB">
        <w:rPr>
          <w:rFonts w:ascii="Verdana" w:hAnsi="Verdana"/>
        </w:rPr>
        <w:t xml:space="preserve"> La presente resolución rige a partir de la fecha de su publicación y deroga las demás disposiciones que le sean contrarias en especial la Resolución número 13683 del 16 de noviembre de 2018.</w:t>
      </w:r>
    </w:p>
    <w:p w14:paraId="467D7C5B" w14:textId="67C54910" w:rsidR="001E5EDB" w:rsidRPr="001E5EDB" w:rsidRDefault="001E5EDB" w:rsidP="001E5EDB">
      <w:pPr>
        <w:jc w:val="center"/>
        <w:rPr>
          <w:rFonts w:ascii="Verdana" w:hAnsi="Verdana"/>
          <w:b/>
          <w:bCs/>
        </w:rPr>
      </w:pPr>
      <w:r w:rsidRPr="001E5EDB">
        <w:rPr>
          <w:rFonts w:ascii="Verdana" w:hAnsi="Verdana"/>
          <w:b/>
          <w:bCs/>
        </w:rPr>
        <w:t>PUBLÍQUESE, COMUNÍQUESE Y CÚMPLASE.</w:t>
      </w:r>
    </w:p>
    <w:p w14:paraId="61600736" w14:textId="21F48C33" w:rsidR="001E5EDB" w:rsidRPr="001E5EDB" w:rsidRDefault="001E5EDB" w:rsidP="001E5EDB">
      <w:pPr>
        <w:jc w:val="center"/>
        <w:rPr>
          <w:rFonts w:ascii="Verdana" w:hAnsi="Verdana"/>
        </w:rPr>
      </w:pPr>
      <w:r w:rsidRPr="001E5EDB">
        <w:rPr>
          <w:rFonts w:ascii="Verdana" w:hAnsi="Verdana"/>
        </w:rPr>
        <w:t xml:space="preserve">DADA EN BOGOTÁ, D. C., A 17 DÍAS DEL </w:t>
      </w:r>
      <w:proofErr w:type="gramStart"/>
      <w:r w:rsidRPr="001E5EDB">
        <w:rPr>
          <w:rFonts w:ascii="Verdana" w:hAnsi="Verdana"/>
        </w:rPr>
        <w:t>MES  DE</w:t>
      </w:r>
      <w:proofErr w:type="gramEnd"/>
      <w:r w:rsidRPr="001E5EDB">
        <w:rPr>
          <w:rFonts w:ascii="Verdana" w:hAnsi="Verdana"/>
        </w:rPr>
        <w:t xml:space="preserve"> OCTUBRE DE 2019.</w:t>
      </w:r>
    </w:p>
    <w:p w14:paraId="218055A0" w14:textId="61084AF4" w:rsidR="001E5EDB" w:rsidRPr="001E5EDB" w:rsidRDefault="001E5EDB" w:rsidP="001E5EDB">
      <w:pPr>
        <w:jc w:val="center"/>
        <w:rPr>
          <w:rFonts w:ascii="Verdana" w:hAnsi="Verdana"/>
          <w:b/>
          <w:bCs/>
        </w:rPr>
      </w:pPr>
      <w:r w:rsidRPr="001E5EDB">
        <w:rPr>
          <w:rFonts w:ascii="Verdana" w:hAnsi="Verdana"/>
        </w:rPr>
        <w:t>LA DIRECTORA GENERAL</w:t>
      </w:r>
      <w:r w:rsidRPr="001E5EDB">
        <w:rPr>
          <w:rFonts w:ascii="Verdana" w:hAnsi="Verdana"/>
          <w:b/>
          <w:bCs/>
        </w:rPr>
        <w:t>,</w:t>
      </w:r>
    </w:p>
    <w:p w14:paraId="62072BD6" w14:textId="5817E3A7" w:rsidR="001E5EDB" w:rsidRPr="001E5EDB" w:rsidRDefault="001E5EDB" w:rsidP="001E5EDB">
      <w:pPr>
        <w:jc w:val="center"/>
        <w:rPr>
          <w:rFonts w:ascii="Verdana" w:hAnsi="Verdana"/>
          <w:b/>
          <w:bCs/>
        </w:rPr>
      </w:pPr>
      <w:r w:rsidRPr="001E5EDB">
        <w:rPr>
          <w:rFonts w:ascii="Verdana" w:hAnsi="Verdana"/>
          <w:b/>
          <w:bCs/>
        </w:rPr>
        <w:t>JULIANA PUNGILUPPI.</w:t>
      </w:r>
    </w:p>
    <w:p w14:paraId="01C98D59" w14:textId="0B141AC7" w:rsidR="001E5EDB" w:rsidRPr="001E5EDB" w:rsidRDefault="001E5EDB" w:rsidP="001E5EDB">
      <w:pPr>
        <w:jc w:val="both"/>
        <w:rPr>
          <w:rFonts w:ascii="Verdana" w:hAnsi="Verdana"/>
        </w:rPr>
      </w:pPr>
      <w:r w:rsidRPr="001E5EDB">
        <w:rPr>
          <w:rFonts w:ascii="Verdana" w:hAnsi="Verdana"/>
        </w:rPr>
        <w:t>NOTAS AL FINAL:</w:t>
      </w:r>
    </w:p>
    <w:p w14:paraId="3ACDF42A" w14:textId="1D540316" w:rsidR="001E5EDB" w:rsidRPr="001E5EDB" w:rsidRDefault="001E5EDB" w:rsidP="001E5EDB">
      <w:pPr>
        <w:jc w:val="both"/>
        <w:rPr>
          <w:rFonts w:ascii="Verdana" w:hAnsi="Verdana"/>
        </w:rPr>
      </w:pPr>
      <w:r w:rsidRPr="001E5EDB">
        <w:rPr>
          <w:rFonts w:ascii="Verdana" w:hAnsi="Verdana"/>
        </w:rPr>
        <w:t>1. Numeral 2, del artículo 2o De las modalidades de selección.</w:t>
      </w:r>
    </w:p>
    <w:p w14:paraId="0BDD46F5" w14:textId="3B071EB6" w:rsidR="001E5EDB" w:rsidRPr="001E5EDB" w:rsidRDefault="001E5EDB" w:rsidP="001E5EDB">
      <w:pPr>
        <w:jc w:val="both"/>
        <w:rPr>
          <w:rFonts w:ascii="Verdana" w:hAnsi="Verdana"/>
        </w:rPr>
      </w:pPr>
      <w:r w:rsidRPr="001E5EDB">
        <w:rPr>
          <w:rFonts w:ascii="Verdana" w:hAnsi="Verdana"/>
        </w:rPr>
        <w:t>2. Sección 2, artículo 2.2.1.2.2.1.1. y subsiguientes.</w:t>
      </w:r>
    </w:p>
    <w:p w14:paraId="3192CD17" w14:textId="42F7E30B" w:rsidR="001E5EDB" w:rsidRPr="00E53927" w:rsidRDefault="001E5EDB" w:rsidP="001E5EDB">
      <w:pPr>
        <w:jc w:val="both"/>
        <w:rPr>
          <w:rFonts w:ascii="Verdana" w:hAnsi="Verdana"/>
        </w:rPr>
      </w:pPr>
      <w:r w:rsidRPr="001E5EDB">
        <w:rPr>
          <w:rFonts w:ascii="Verdana" w:hAnsi="Verdana"/>
        </w:rPr>
        <w:t>3. Norma que unificó el Decreto número 47 de 2014, Por el cual se reglamentan el artículo 8o de la Ley 708 de 2001, el artículo 238 de la Ley 1450 de 2011 y se dictan otras disposiciones en materia de gestión de activos públicos.</w:t>
      </w:r>
    </w:p>
    <w:sectPr w:rsidR="001E5EDB" w:rsidRPr="00E539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27"/>
    <w:rsid w:val="000B4793"/>
    <w:rsid w:val="001E5EDB"/>
    <w:rsid w:val="001E64C2"/>
    <w:rsid w:val="00B756A7"/>
    <w:rsid w:val="00E539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18CD"/>
  <w15:chartTrackingRefBased/>
  <w15:docId w15:val="{839FEA83-0F53-4E66-A284-639D862D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870">
      <w:bodyDiv w:val="1"/>
      <w:marLeft w:val="0"/>
      <w:marRight w:val="0"/>
      <w:marTop w:val="0"/>
      <w:marBottom w:val="0"/>
      <w:divBdr>
        <w:top w:val="none" w:sz="0" w:space="0" w:color="auto"/>
        <w:left w:val="none" w:sz="0" w:space="0" w:color="auto"/>
        <w:bottom w:val="none" w:sz="0" w:space="0" w:color="auto"/>
        <w:right w:val="none" w:sz="0" w:space="0" w:color="auto"/>
      </w:divBdr>
    </w:div>
    <w:div w:id="1132945672">
      <w:bodyDiv w:val="1"/>
      <w:marLeft w:val="0"/>
      <w:marRight w:val="0"/>
      <w:marTop w:val="0"/>
      <w:marBottom w:val="0"/>
      <w:divBdr>
        <w:top w:val="none" w:sz="0" w:space="0" w:color="auto"/>
        <w:left w:val="none" w:sz="0" w:space="0" w:color="auto"/>
        <w:bottom w:val="none" w:sz="0" w:space="0" w:color="auto"/>
        <w:right w:val="none" w:sz="0" w:space="0" w:color="auto"/>
      </w:divBdr>
    </w:div>
    <w:div w:id="16880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F522C-2512-4D17-A157-EDA1F6A17E97}"/>
</file>

<file path=customXml/itemProps2.xml><?xml version="1.0" encoding="utf-8"?>
<ds:datastoreItem xmlns:ds="http://schemas.openxmlformats.org/officeDocument/2006/customXml" ds:itemID="{EB82549B-F64D-4959-8292-B92487C74F07}"/>
</file>

<file path=customXml/itemProps3.xml><?xml version="1.0" encoding="utf-8"?>
<ds:datastoreItem xmlns:ds="http://schemas.openxmlformats.org/officeDocument/2006/customXml" ds:itemID="{FE492018-0790-4A7C-B4CB-45F0B8E699A8}"/>
</file>

<file path=docProps/app.xml><?xml version="1.0" encoding="utf-8"?>
<Properties xmlns="http://schemas.openxmlformats.org/officeDocument/2006/extended-properties" xmlns:vt="http://schemas.openxmlformats.org/officeDocument/2006/docPropsVTypes">
  <Template>Normal</Template>
  <TotalTime>124</TotalTime>
  <Pages>6</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2026-03-02T14:58:00Z</dcterms:created>
  <dcterms:modified xsi:type="dcterms:W3CDTF">2026-03-02T17:02:00Z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