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AB8E4"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RESOLUCIÓN 8976 DE 2015</w:t>
      </w:r>
    </w:p>
    <w:p w14:paraId="4D23530D" w14:textId="28D35A33" w:rsidR="000C147C" w:rsidRPr="000C147C" w:rsidRDefault="000C147C" w:rsidP="000C147C">
      <w:pPr>
        <w:pStyle w:val="Sinespaciado"/>
        <w:rPr>
          <w:rFonts w:ascii="Verdana" w:hAnsi="Verdana"/>
          <w:sz w:val="20"/>
          <w:szCs w:val="20"/>
        </w:rPr>
      </w:pPr>
      <w:r w:rsidRPr="000C147C">
        <w:rPr>
          <w:rFonts w:ascii="Verdana" w:hAnsi="Verdana"/>
          <w:sz w:val="20"/>
          <w:szCs w:val="20"/>
        </w:rPr>
        <w:t xml:space="preserve">Fecha de Expedición: </w:t>
      </w:r>
      <w:r w:rsidR="005A6015">
        <w:rPr>
          <w:rFonts w:ascii="Verdana" w:hAnsi="Verdana"/>
          <w:sz w:val="20"/>
          <w:szCs w:val="20"/>
        </w:rPr>
        <w:t>29 de octubre de 2015</w:t>
      </w:r>
    </w:p>
    <w:p w14:paraId="5F35E912" w14:textId="5774C650" w:rsidR="000C147C" w:rsidRPr="000C147C" w:rsidRDefault="000C147C" w:rsidP="000C147C">
      <w:pPr>
        <w:pStyle w:val="Sinespaciado"/>
        <w:rPr>
          <w:rFonts w:ascii="Verdana" w:hAnsi="Verdana"/>
          <w:sz w:val="20"/>
          <w:szCs w:val="20"/>
        </w:rPr>
      </w:pPr>
      <w:r w:rsidRPr="000C147C">
        <w:rPr>
          <w:rFonts w:ascii="Verdana" w:hAnsi="Verdana"/>
          <w:sz w:val="20"/>
          <w:szCs w:val="20"/>
        </w:rPr>
        <w:t xml:space="preserve">Fecha de entrada en vigencia: </w:t>
      </w:r>
      <w:r w:rsidR="005A6015">
        <w:rPr>
          <w:rFonts w:ascii="Verdana" w:hAnsi="Verdana"/>
          <w:sz w:val="20"/>
          <w:szCs w:val="20"/>
        </w:rPr>
        <w:t>29 de octubre de 2015</w:t>
      </w:r>
    </w:p>
    <w:p w14:paraId="4873BBAF" w14:textId="168CDD85" w:rsidR="000C147C" w:rsidRDefault="000C147C" w:rsidP="000C147C">
      <w:pPr>
        <w:pStyle w:val="Sinespaciado"/>
        <w:rPr>
          <w:rFonts w:ascii="Verdana" w:hAnsi="Verdana"/>
          <w:sz w:val="20"/>
          <w:szCs w:val="20"/>
        </w:rPr>
      </w:pPr>
      <w:r w:rsidRPr="000C147C">
        <w:rPr>
          <w:rFonts w:ascii="Verdana" w:hAnsi="Verdana"/>
          <w:sz w:val="20"/>
          <w:szCs w:val="20"/>
        </w:rPr>
        <w:t xml:space="preserve">Estado de la vigencia: </w:t>
      </w:r>
      <w:r w:rsidR="005A6015">
        <w:rPr>
          <w:rFonts w:ascii="Verdana" w:hAnsi="Verdana"/>
          <w:sz w:val="20"/>
          <w:szCs w:val="20"/>
        </w:rPr>
        <w:t>vigente</w:t>
      </w:r>
      <w:r w:rsidRPr="000C147C">
        <w:rPr>
          <w:rFonts w:ascii="Verdana" w:hAnsi="Verdana"/>
          <w:sz w:val="20"/>
          <w:szCs w:val="20"/>
        </w:rPr>
        <w:tab/>
      </w:r>
    </w:p>
    <w:p w14:paraId="1EBCC64B" w14:textId="77777777" w:rsidR="000C147C" w:rsidRDefault="000C147C" w:rsidP="000C147C">
      <w:pPr>
        <w:pStyle w:val="Sinespaciado"/>
        <w:rPr>
          <w:rFonts w:ascii="Verdana" w:hAnsi="Verdana"/>
          <w:sz w:val="20"/>
          <w:szCs w:val="20"/>
        </w:rPr>
      </w:pPr>
    </w:p>
    <w:p w14:paraId="323B3F17" w14:textId="0038A1C1" w:rsidR="000C147C" w:rsidRPr="000C147C" w:rsidRDefault="000C147C" w:rsidP="000C147C">
      <w:pPr>
        <w:pStyle w:val="Sinespaciado"/>
        <w:rPr>
          <w:rFonts w:ascii="Verdana" w:hAnsi="Verdana"/>
          <w:sz w:val="20"/>
          <w:szCs w:val="20"/>
        </w:rPr>
      </w:pPr>
      <w:r w:rsidRPr="000C147C">
        <w:rPr>
          <w:rFonts w:ascii="Verdana" w:hAnsi="Verdana"/>
          <w:sz w:val="20"/>
          <w:szCs w:val="20"/>
        </w:rPr>
        <w:t xml:space="preserve">Fecha de publicación en Diario Oficial: </w:t>
      </w:r>
      <w:r w:rsidR="005A6015">
        <w:rPr>
          <w:rFonts w:ascii="Verdana" w:hAnsi="Verdana"/>
          <w:sz w:val="20"/>
          <w:szCs w:val="20"/>
        </w:rPr>
        <w:t>N/A</w:t>
      </w:r>
    </w:p>
    <w:p w14:paraId="5016AAF9" w14:textId="52C1EAFA" w:rsidR="00F50ECA" w:rsidRDefault="000C147C" w:rsidP="000C147C">
      <w:pPr>
        <w:pStyle w:val="Sinespaciado"/>
        <w:rPr>
          <w:rFonts w:ascii="Verdana" w:hAnsi="Verdana"/>
          <w:sz w:val="20"/>
          <w:szCs w:val="20"/>
        </w:rPr>
      </w:pPr>
      <w:r w:rsidRPr="000C147C">
        <w:rPr>
          <w:rFonts w:ascii="Verdana" w:hAnsi="Verdana"/>
          <w:sz w:val="20"/>
          <w:szCs w:val="20"/>
        </w:rPr>
        <w:t xml:space="preserve">Número del Diario Oficial: </w:t>
      </w:r>
      <w:r w:rsidR="005A6015">
        <w:rPr>
          <w:rFonts w:ascii="Verdana" w:hAnsi="Verdana"/>
          <w:sz w:val="20"/>
          <w:szCs w:val="20"/>
        </w:rPr>
        <w:t>N/A</w:t>
      </w:r>
    </w:p>
    <w:p w14:paraId="2A694F9A" w14:textId="77777777" w:rsidR="000C147C" w:rsidRPr="000C147C" w:rsidRDefault="000C147C" w:rsidP="000C147C">
      <w:pPr>
        <w:pStyle w:val="Sinespaciado"/>
        <w:rPr>
          <w:rFonts w:ascii="Verdana" w:hAnsi="Verdana"/>
          <w:sz w:val="20"/>
          <w:szCs w:val="20"/>
        </w:rPr>
      </w:pPr>
    </w:p>
    <w:p w14:paraId="735A8CFC" w14:textId="35F52908" w:rsidR="002F45C6" w:rsidRPr="005A6015" w:rsidRDefault="005A6015" w:rsidP="002F45C6">
      <w:pPr>
        <w:rPr>
          <w:rFonts w:ascii="Verdana" w:hAnsi="Verdana"/>
          <w:sz w:val="20"/>
          <w:szCs w:val="20"/>
        </w:rPr>
      </w:pPr>
      <w:r w:rsidRPr="005A6015">
        <w:rPr>
          <w:rFonts w:ascii="Verdana" w:hAnsi="Verdana"/>
          <w:sz w:val="20"/>
          <w:szCs w:val="20"/>
        </w:rPr>
        <w:t xml:space="preserve">Nota: Esta resolución podría estar derogada tácitamente, puesto que la resolución 7798 de 2014 fue derogada por el artículo 4 de la Resolución 1 de 2016. </w:t>
      </w:r>
    </w:p>
    <w:p w14:paraId="23122C8C"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RESOLUCIÓN 8976 DE 2015</w:t>
      </w:r>
    </w:p>
    <w:p w14:paraId="0B43AB2A" w14:textId="77777777" w:rsidR="006D47A1" w:rsidRPr="006D47A1" w:rsidRDefault="006D47A1" w:rsidP="005A6015">
      <w:pPr>
        <w:jc w:val="center"/>
        <w:rPr>
          <w:rFonts w:ascii="Verdana" w:hAnsi="Verdana"/>
          <w:sz w:val="22"/>
          <w:szCs w:val="22"/>
        </w:rPr>
      </w:pPr>
      <w:r w:rsidRPr="006D47A1">
        <w:rPr>
          <w:rFonts w:ascii="Verdana" w:hAnsi="Verdana"/>
          <w:sz w:val="22"/>
          <w:szCs w:val="22"/>
        </w:rPr>
        <w:t>(octubre 29)</w:t>
      </w:r>
    </w:p>
    <w:p w14:paraId="23E75532"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INSTITUTO COLOMBIANO DE BIENESTAR FAMILIAR – ICBF</w:t>
      </w:r>
    </w:p>
    <w:p w14:paraId="5AC439F7" w14:textId="77777777" w:rsidR="006D47A1" w:rsidRPr="006D47A1" w:rsidRDefault="006D47A1" w:rsidP="005A6015">
      <w:pPr>
        <w:jc w:val="center"/>
        <w:rPr>
          <w:rFonts w:ascii="Verdana" w:hAnsi="Verdana"/>
          <w:sz w:val="22"/>
          <w:szCs w:val="22"/>
        </w:rPr>
      </w:pPr>
      <w:r w:rsidRPr="006D47A1">
        <w:rPr>
          <w:rFonts w:ascii="Verdana" w:hAnsi="Verdana"/>
          <w:sz w:val="22"/>
          <w:szCs w:val="22"/>
        </w:rPr>
        <w:t>Por la cual se ajustan los Lineamientos de Programación y Ejecución de Metas Sociales y Financieras - Vigencia 2015 del Instituto Colombiano de Bienestar Familiar - Cecilia De la Fuente de Lleras</w:t>
      </w:r>
      <w:r w:rsidRPr="006D47A1">
        <w:rPr>
          <w:rFonts w:ascii="Verdana" w:hAnsi="Verdana"/>
          <w:b/>
          <w:bCs/>
          <w:sz w:val="22"/>
          <w:szCs w:val="22"/>
        </w:rPr>
        <w:t> – </w:t>
      </w:r>
      <w:r w:rsidRPr="006D47A1">
        <w:rPr>
          <w:rFonts w:ascii="Verdana" w:hAnsi="Verdana"/>
          <w:sz w:val="22"/>
          <w:szCs w:val="22"/>
        </w:rPr>
        <w:t>ICBF</w:t>
      </w:r>
    </w:p>
    <w:p w14:paraId="106C8C16"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LA DIRECTORA GENERAL DEL INSTITUTO COLOMBIANO DE BIENESTAR FAMILIAR - CECILIA DE LA FUENTE DE LLERAS- ICBF.</w:t>
      </w:r>
    </w:p>
    <w:p w14:paraId="2F46F266" w14:textId="423856C6" w:rsidR="006D47A1" w:rsidRPr="006D47A1" w:rsidRDefault="006D47A1" w:rsidP="005A6015">
      <w:pPr>
        <w:jc w:val="center"/>
        <w:rPr>
          <w:rFonts w:ascii="Verdana" w:hAnsi="Verdana"/>
          <w:sz w:val="22"/>
          <w:szCs w:val="22"/>
        </w:rPr>
      </w:pPr>
      <w:r w:rsidRPr="006D47A1">
        <w:rPr>
          <w:rFonts w:ascii="Verdana" w:hAnsi="Verdana"/>
          <w:sz w:val="22"/>
          <w:szCs w:val="22"/>
        </w:rPr>
        <w:t>En uso de sus facultades legales y en especial las conferidas en el literal b) del artículo 28 de la Ley 7</w:t>
      </w:r>
      <w:r w:rsidRPr="006D47A1">
        <w:rPr>
          <w:rFonts w:ascii="Verdana" w:hAnsi="Verdana"/>
          <w:sz w:val="22"/>
          <w:szCs w:val="22"/>
          <w:vertAlign w:val="superscript"/>
        </w:rPr>
        <w:t>a</w:t>
      </w:r>
      <w:r w:rsidRPr="006D47A1">
        <w:rPr>
          <w:rFonts w:ascii="Verdana" w:hAnsi="Verdana"/>
          <w:sz w:val="22"/>
          <w:szCs w:val="22"/>
        </w:rPr>
        <w:t> de 1979, y en el artículo 78 de la Ley 489 de 1998 y</w:t>
      </w:r>
    </w:p>
    <w:p w14:paraId="4FCDF4B1"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CONSIDERANDO:</w:t>
      </w:r>
    </w:p>
    <w:p w14:paraId="2B3108A3" w14:textId="158BF578" w:rsidR="006D47A1" w:rsidRPr="006D47A1" w:rsidRDefault="006D47A1" w:rsidP="006D47A1">
      <w:pPr>
        <w:rPr>
          <w:rFonts w:ascii="Verdana" w:hAnsi="Verdana"/>
          <w:sz w:val="22"/>
          <w:szCs w:val="22"/>
        </w:rPr>
      </w:pPr>
      <w:r w:rsidRPr="006D47A1">
        <w:rPr>
          <w:rFonts w:ascii="Verdana" w:hAnsi="Verdana"/>
          <w:sz w:val="22"/>
          <w:szCs w:val="22"/>
        </w:rPr>
        <w:t>Que mediante la Resolución No. 7798 del 31 de diciembre de 2014, se aprobaron los Lineamientos de Programación y Ejecución de Metas Sociales y Financieras - Vigencia 2015 del Instituto Colombiano de Bienestar Familiar - Cecilia de la Fuente de Lleras - ICBF.</w:t>
      </w:r>
    </w:p>
    <w:p w14:paraId="132522FE" w14:textId="1E373163" w:rsidR="006D47A1" w:rsidRPr="006D47A1" w:rsidRDefault="006D47A1" w:rsidP="006D47A1">
      <w:pPr>
        <w:rPr>
          <w:rFonts w:ascii="Verdana" w:hAnsi="Verdana"/>
          <w:sz w:val="22"/>
          <w:szCs w:val="22"/>
        </w:rPr>
      </w:pPr>
      <w:r w:rsidRPr="006D47A1">
        <w:rPr>
          <w:rFonts w:ascii="Verdana" w:hAnsi="Verdana"/>
          <w:sz w:val="22"/>
          <w:szCs w:val="22"/>
        </w:rPr>
        <w:t>Que los Lineamientos aprobados por el precitado acto administrativo fueron modificados por la Resolución No. 3265 del 29 de mayo de 2015 ajustando la Ficha I-47; la Resolución No. 4158 del 24 de junio de 2015 que ajusta la Ficha I-64; la Resolución 5063 del 22 de julio de 2015 que modifica las Fichas 1-14, I-52 A, I-53 y el numeral 3 del Anexo 2; la Resolución No. 6182 del 25 de agosto de 2015 que modifica las Fichas F-02 y F-03; la Resolución No. 7858 del 2 de octubre de 2015 que modifica la Ficha I-32; y por la Resolución 8738 del 26 de octubre de 2015 que modificó las Fichas I-34, I-35, I-36,1-37, I-40, 1-41 e I-44.</w:t>
      </w:r>
    </w:p>
    <w:p w14:paraId="12BC3295" w14:textId="77777777" w:rsidR="006D47A1" w:rsidRPr="006D47A1" w:rsidRDefault="006D47A1" w:rsidP="006D47A1">
      <w:pPr>
        <w:rPr>
          <w:rFonts w:ascii="Verdana" w:hAnsi="Verdana"/>
          <w:sz w:val="22"/>
          <w:szCs w:val="22"/>
        </w:rPr>
      </w:pPr>
      <w:r w:rsidRPr="006D47A1">
        <w:rPr>
          <w:rFonts w:ascii="Verdana" w:hAnsi="Verdana"/>
          <w:sz w:val="22"/>
          <w:szCs w:val="22"/>
        </w:rPr>
        <w:t>Que las Fichas </w:t>
      </w:r>
      <w:r w:rsidRPr="006D47A1">
        <w:rPr>
          <w:rFonts w:ascii="Verdana" w:hAnsi="Verdana"/>
          <w:b/>
          <w:bCs/>
          <w:sz w:val="22"/>
          <w:szCs w:val="22"/>
        </w:rPr>
        <w:t>I-57, I-58, I-59, I-60 e I-61</w:t>
      </w:r>
      <w:r w:rsidRPr="006D47A1">
        <w:rPr>
          <w:rFonts w:ascii="Verdana" w:hAnsi="Verdana"/>
          <w:sz w:val="22"/>
          <w:szCs w:val="22"/>
        </w:rPr>
        <w:t> de los Lineamientos de Programación y Ejecución de Metas Sociales y Financieras, corresponden a los identificadores presupuéstales </w:t>
      </w:r>
      <w:r w:rsidRPr="006D47A1">
        <w:rPr>
          <w:rFonts w:ascii="Verdana" w:hAnsi="Verdana"/>
          <w:b/>
          <w:bCs/>
          <w:sz w:val="22"/>
          <w:szCs w:val="22"/>
        </w:rPr>
        <w:t>C320-1504-7- 101, C320-1504-7-102, C320-1504-7-103, C320-1504-7-104 y C320-1504-7-105</w:t>
      </w:r>
      <w:r w:rsidRPr="006D47A1">
        <w:rPr>
          <w:rFonts w:ascii="Verdana" w:hAnsi="Verdana"/>
          <w:sz w:val="22"/>
          <w:szCs w:val="22"/>
        </w:rPr>
        <w:t>, respectivamente, del proyecto </w:t>
      </w:r>
      <w:r w:rsidRPr="006D47A1">
        <w:rPr>
          <w:rFonts w:ascii="Verdana" w:hAnsi="Verdana"/>
          <w:b/>
          <w:bCs/>
          <w:sz w:val="22"/>
          <w:szCs w:val="22"/>
        </w:rPr>
        <w:t>PROTECCIÓN - ACCIONES PARA PRESERVAR Y RESTITUIR EL EJERCICIO INTEGRAL DE LOS DERECHOS DE LA NIÑEZ Y LA FAMILIA</w:t>
      </w:r>
    </w:p>
    <w:p w14:paraId="58ED3C78" w14:textId="2BFE412E" w:rsidR="006D47A1" w:rsidRPr="006D47A1" w:rsidRDefault="006D47A1" w:rsidP="006D47A1">
      <w:pPr>
        <w:rPr>
          <w:rFonts w:ascii="Verdana" w:hAnsi="Verdana"/>
          <w:sz w:val="22"/>
          <w:szCs w:val="22"/>
        </w:rPr>
      </w:pPr>
      <w:r w:rsidRPr="006D47A1">
        <w:rPr>
          <w:rFonts w:ascii="Verdana" w:hAnsi="Verdana"/>
          <w:sz w:val="22"/>
          <w:szCs w:val="22"/>
        </w:rPr>
        <w:lastRenderedPageBreak/>
        <w:t>Que por medio de la Resolución No. 7155 del 16 de Septiembre de 2015, se modificó la Resolución No. 5929 de 2010 por la cual se aprobaron los Lineamientos Técnico Administrativos de Ruta de Actuaciones y Modelo de Atención para el Restablecimiento de Derechos de Niños, Niñas y Adolescentes y Mayores de 18 Años con Discapacidad, con sus Derechos Amenazados, Inobservados o Vulnerados, incluyéndose la necesidad de tener en cuenta los componentes de transporte, recreación y mantenimiento de instalaciones locativas de las sedes que prestan atención a los niños, niñas y adolescentes que se encuentran en Proceso Administrativo de Restablecimiento de Derechos, como aspectos que favorecen la calidad de la prestación del servicio.</w:t>
      </w:r>
    </w:p>
    <w:p w14:paraId="2035A63B" w14:textId="77777777" w:rsidR="006D47A1" w:rsidRPr="006D47A1" w:rsidRDefault="006D47A1" w:rsidP="006D47A1">
      <w:pPr>
        <w:rPr>
          <w:rFonts w:ascii="Verdana" w:hAnsi="Verdana"/>
          <w:sz w:val="22"/>
          <w:szCs w:val="22"/>
        </w:rPr>
      </w:pPr>
      <w:r w:rsidRPr="006D47A1">
        <w:rPr>
          <w:rFonts w:ascii="Verdana" w:hAnsi="Verdana"/>
          <w:sz w:val="22"/>
          <w:szCs w:val="22"/>
        </w:rPr>
        <w:t>Que se hace necesario modificar las Fichas </w:t>
      </w:r>
      <w:r w:rsidRPr="006D47A1">
        <w:rPr>
          <w:rFonts w:ascii="Verdana" w:hAnsi="Verdana"/>
          <w:b/>
          <w:bCs/>
          <w:sz w:val="22"/>
          <w:szCs w:val="22"/>
        </w:rPr>
        <w:t>I-57,1-58,1-59,1-60 e 1-61</w:t>
      </w:r>
      <w:r w:rsidRPr="006D47A1">
        <w:rPr>
          <w:rFonts w:ascii="Verdana" w:hAnsi="Verdana"/>
          <w:sz w:val="22"/>
          <w:szCs w:val="22"/>
        </w:rPr>
        <w:t> en el ítem clasificador del gasto incluyendo los componentes señalados en el párrafo anterior, como aspectos que favorecen la calidad de la prestación del servicio.</w:t>
      </w:r>
    </w:p>
    <w:p w14:paraId="4536E8B8" w14:textId="77777777" w:rsidR="006D47A1" w:rsidRPr="006D47A1" w:rsidRDefault="006D47A1" w:rsidP="006D47A1">
      <w:pPr>
        <w:rPr>
          <w:rFonts w:ascii="Verdana" w:hAnsi="Verdana"/>
          <w:sz w:val="22"/>
          <w:szCs w:val="22"/>
        </w:rPr>
      </w:pPr>
      <w:r w:rsidRPr="006D47A1">
        <w:rPr>
          <w:rFonts w:ascii="Verdana" w:hAnsi="Verdana"/>
          <w:sz w:val="22"/>
          <w:szCs w:val="22"/>
        </w:rPr>
        <w:t>Que para la modificación de las fichas existe el análisis de viabilidad técnica expedido por las dependencias responsables de los temas contenidos en ellas.</w:t>
      </w:r>
    </w:p>
    <w:p w14:paraId="668AB907" w14:textId="77777777" w:rsidR="006D47A1" w:rsidRPr="006D47A1" w:rsidRDefault="006D47A1" w:rsidP="006D47A1">
      <w:pPr>
        <w:rPr>
          <w:rFonts w:ascii="Verdana" w:hAnsi="Verdana"/>
          <w:sz w:val="22"/>
          <w:szCs w:val="22"/>
        </w:rPr>
      </w:pPr>
      <w:r w:rsidRPr="006D47A1">
        <w:rPr>
          <w:rFonts w:ascii="Verdana" w:hAnsi="Verdana"/>
          <w:sz w:val="22"/>
          <w:szCs w:val="22"/>
        </w:rPr>
        <w:t>Que en mérito de lo expuesto,</w:t>
      </w:r>
    </w:p>
    <w:p w14:paraId="72E927BE"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RESUELVE:</w:t>
      </w:r>
    </w:p>
    <w:p w14:paraId="75A69AEF" w14:textId="33AA10DC" w:rsidR="006D47A1" w:rsidRPr="006D47A1" w:rsidRDefault="006D47A1" w:rsidP="006D47A1">
      <w:pPr>
        <w:rPr>
          <w:rFonts w:ascii="Verdana" w:hAnsi="Verdana"/>
          <w:sz w:val="22"/>
          <w:szCs w:val="22"/>
        </w:rPr>
      </w:pPr>
      <w:bookmarkStart w:id="0" w:name="1"/>
      <w:r w:rsidRPr="006D47A1">
        <w:rPr>
          <w:rFonts w:ascii="Verdana" w:hAnsi="Verdana"/>
          <w:b/>
          <w:bCs/>
          <w:sz w:val="22"/>
          <w:szCs w:val="22"/>
        </w:rPr>
        <w:t>ARTÍCULO PRIMERO.</w:t>
      </w:r>
      <w:bookmarkEnd w:id="0"/>
      <w:r w:rsidRPr="006D47A1">
        <w:rPr>
          <w:rFonts w:ascii="Verdana" w:hAnsi="Verdana"/>
          <w:sz w:val="22"/>
          <w:szCs w:val="22"/>
        </w:rPr>
        <w:t> </w:t>
      </w:r>
      <w:r w:rsidR="005A6015" w:rsidRPr="006D47A1">
        <w:rPr>
          <w:rFonts w:ascii="Verdana" w:hAnsi="Verdana"/>
          <w:sz w:val="22"/>
          <w:szCs w:val="22"/>
        </w:rPr>
        <w:t xml:space="preserve"> </w:t>
      </w:r>
      <w:r w:rsidRPr="006D47A1">
        <w:rPr>
          <w:rFonts w:ascii="Verdana" w:hAnsi="Verdana"/>
          <w:sz w:val="22"/>
          <w:szCs w:val="22"/>
        </w:rPr>
        <w:t>Modifíquese las Fichas </w:t>
      </w:r>
      <w:r w:rsidRPr="006D47A1">
        <w:rPr>
          <w:rFonts w:ascii="Verdana" w:hAnsi="Verdana"/>
          <w:b/>
          <w:bCs/>
          <w:sz w:val="22"/>
          <w:szCs w:val="22"/>
        </w:rPr>
        <w:t>I-57, I-58, I-59 e I-60</w:t>
      </w:r>
      <w:r w:rsidRPr="006D47A1">
        <w:rPr>
          <w:rFonts w:ascii="Verdana" w:hAnsi="Verdana"/>
          <w:sz w:val="22"/>
          <w:szCs w:val="22"/>
        </w:rPr>
        <w:t> de los Lineamientos de Programación y Ejecución de Metas Sociales y Financieras - Vigencia 2015 que hacen parte de la Resolución 7798 de 2014 correspondiente a los identificadores presupuestales </w:t>
      </w:r>
      <w:r w:rsidRPr="006D47A1">
        <w:rPr>
          <w:rFonts w:ascii="Verdana" w:hAnsi="Verdana"/>
          <w:b/>
          <w:bCs/>
          <w:sz w:val="22"/>
          <w:szCs w:val="22"/>
        </w:rPr>
        <w:t>C320-1504-7- 101, C320-1504-7-102, C320-1504-7-103, C320-1504-7-104,</w:t>
      </w:r>
      <w:r w:rsidRPr="006D47A1">
        <w:rPr>
          <w:rFonts w:ascii="Verdana" w:hAnsi="Verdana"/>
          <w:sz w:val="22"/>
          <w:szCs w:val="22"/>
        </w:rPr>
        <w:t> respectivamente, del proyecto </w:t>
      </w:r>
      <w:r w:rsidRPr="006D47A1">
        <w:rPr>
          <w:rFonts w:ascii="Verdana" w:hAnsi="Verdana"/>
          <w:b/>
          <w:bCs/>
          <w:sz w:val="22"/>
          <w:szCs w:val="22"/>
        </w:rPr>
        <w:t>PROTECCIÓN - ACCIONES PARA PRESERVAR Y RESTITUIR EL EJERCICIO INTEGRAL DE LOS DERECHOS DE LA NIÑEZ Y LA FAMILIA,</w:t>
      </w:r>
      <w:r w:rsidRPr="006D47A1">
        <w:rPr>
          <w:rFonts w:ascii="Verdana" w:hAnsi="Verdana"/>
          <w:sz w:val="22"/>
          <w:szCs w:val="22"/>
        </w:rPr>
        <w:t> incluyendo en los ítems del clasificador del gasto en las modalidades de Centro de Emergencia de la Ficha I-57; Intervención de Apoyo, Externado y Seminternado de la Ficha I-58; Hogar Sustituto Vulneración y Hogar Sustituto para Discapacidad, Internado de Atención Especializada, Internado para Madre Gestante o en periodo de lactancia, Internado para Diagnostico y Acogida, Preparación para la Vida Laboral y Productiva, Casa Hogar, Internado: Discapacidad, Internado: Discapacidad Mental Psicosocial, y Acogida y Desarrollo de la Ficha </w:t>
      </w:r>
      <w:r w:rsidRPr="006D47A1">
        <w:rPr>
          <w:rFonts w:ascii="Verdana" w:hAnsi="Verdana"/>
          <w:b/>
          <w:bCs/>
          <w:sz w:val="22"/>
          <w:szCs w:val="22"/>
        </w:rPr>
        <w:t>I-59;</w:t>
      </w:r>
      <w:r w:rsidRPr="006D47A1">
        <w:rPr>
          <w:rFonts w:ascii="Verdana" w:hAnsi="Verdana"/>
          <w:sz w:val="22"/>
          <w:szCs w:val="22"/>
        </w:rPr>
        <w:t> así como las de Hogar Sustituto Tutor, y Hogar Transitorio y Centro de Atención Especializada de la Ficha </w:t>
      </w:r>
      <w:r w:rsidRPr="006D47A1">
        <w:rPr>
          <w:rFonts w:ascii="Verdana" w:hAnsi="Verdana"/>
          <w:b/>
          <w:bCs/>
          <w:sz w:val="22"/>
          <w:szCs w:val="22"/>
        </w:rPr>
        <w:t>I-60</w:t>
      </w:r>
      <w:r w:rsidRPr="006D47A1">
        <w:rPr>
          <w:rFonts w:ascii="Verdana" w:hAnsi="Verdana"/>
          <w:sz w:val="22"/>
          <w:szCs w:val="22"/>
        </w:rPr>
        <w:t>, el siguiente:</w:t>
      </w:r>
    </w:p>
    <w:p w14:paraId="1392A6DB" w14:textId="77777777" w:rsidR="006D47A1" w:rsidRPr="006D47A1" w:rsidRDefault="006D47A1" w:rsidP="006D47A1">
      <w:pPr>
        <w:rPr>
          <w:rFonts w:ascii="Verdana" w:hAnsi="Verdana"/>
          <w:sz w:val="22"/>
          <w:szCs w:val="22"/>
        </w:rPr>
      </w:pPr>
      <w:r w:rsidRPr="006D47A1">
        <w:rPr>
          <w:rFonts w:ascii="Verdana" w:hAnsi="Verdana"/>
          <w:sz w:val="22"/>
          <w:szCs w:val="22"/>
        </w:rPr>
        <w:t>- transporte, recreación y mantenimiento de instalaciones locativas de las sedes que prestan atención a los niños, niñas y adolescentes que se encuentran en Proceso Administrativo de Restablecimiento de Derechos.</w:t>
      </w:r>
    </w:p>
    <w:p w14:paraId="7C17E5EA" w14:textId="595C2E22" w:rsidR="006D47A1" w:rsidRPr="006D47A1" w:rsidRDefault="006D47A1" w:rsidP="006D47A1">
      <w:pPr>
        <w:rPr>
          <w:rFonts w:ascii="Verdana" w:hAnsi="Verdana"/>
          <w:sz w:val="22"/>
          <w:szCs w:val="22"/>
        </w:rPr>
      </w:pPr>
      <w:r w:rsidRPr="006D47A1">
        <w:rPr>
          <w:rFonts w:ascii="Verdana" w:hAnsi="Verdana"/>
          <w:noProof/>
          <w:sz w:val="22"/>
          <w:szCs w:val="22"/>
        </w:rPr>
        <mc:AlternateContent>
          <mc:Choice Requires="wps">
            <w:drawing>
              <wp:inline distT="0" distB="0" distL="0" distR="0" wp14:anchorId="11F6107B" wp14:editId="3F4DC749">
                <wp:extent cx="304800" cy="304800"/>
                <wp:effectExtent l="0" t="0" r="0" b="0"/>
                <wp:docPr id="2104975157" name="Rectángulo 3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FF519" id="Rectángulo 3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DC315A" w14:textId="5C934D41" w:rsidR="006D47A1" w:rsidRPr="006D47A1" w:rsidRDefault="006D47A1" w:rsidP="006D47A1">
      <w:pPr>
        <w:rPr>
          <w:rFonts w:ascii="Verdana" w:hAnsi="Verdana"/>
          <w:sz w:val="22"/>
          <w:szCs w:val="22"/>
        </w:rPr>
      </w:pPr>
      <w:bookmarkStart w:id="1" w:name="2"/>
      <w:r w:rsidRPr="006D47A1">
        <w:rPr>
          <w:rFonts w:ascii="Verdana" w:hAnsi="Verdana"/>
          <w:b/>
          <w:bCs/>
          <w:sz w:val="22"/>
          <w:szCs w:val="22"/>
        </w:rPr>
        <w:t>ARTICULO SEGUNDO.</w:t>
      </w:r>
      <w:bookmarkEnd w:id="1"/>
      <w:r w:rsidRPr="006D47A1">
        <w:rPr>
          <w:rFonts w:ascii="Verdana" w:hAnsi="Verdana"/>
          <w:sz w:val="22"/>
          <w:szCs w:val="22"/>
        </w:rPr>
        <w:t> </w:t>
      </w:r>
      <w:r w:rsidR="005A6015" w:rsidRPr="006D47A1">
        <w:rPr>
          <w:rFonts w:ascii="Verdana" w:hAnsi="Verdana"/>
          <w:sz w:val="22"/>
          <w:szCs w:val="22"/>
        </w:rPr>
        <w:t xml:space="preserve"> </w:t>
      </w:r>
      <w:r w:rsidRPr="006D47A1">
        <w:rPr>
          <w:rFonts w:ascii="Verdana" w:hAnsi="Verdana"/>
          <w:sz w:val="22"/>
          <w:szCs w:val="22"/>
        </w:rPr>
        <w:t>Modifíquese la Ficha 1-61 de los Lineamientos de Programación y Ejecución de Metas Sociales y Financieras - Vigencia 2015 que hacen parte de la Resolución 7798 de 2014 correspondiente al identificador presupuestal </w:t>
      </w:r>
      <w:r w:rsidRPr="006D47A1">
        <w:rPr>
          <w:rFonts w:ascii="Verdana" w:hAnsi="Verdana"/>
          <w:b/>
          <w:bCs/>
          <w:sz w:val="22"/>
          <w:szCs w:val="22"/>
        </w:rPr>
        <w:t>C320-1504-7-105</w:t>
      </w:r>
      <w:r w:rsidRPr="006D47A1">
        <w:rPr>
          <w:rFonts w:ascii="Verdana" w:hAnsi="Verdana"/>
          <w:sz w:val="22"/>
          <w:szCs w:val="22"/>
        </w:rPr>
        <w:t>, respectivamente, del proyecto </w:t>
      </w:r>
      <w:r w:rsidRPr="006D47A1">
        <w:rPr>
          <w:rFonts w:ascii="Verdana" w:hAnsi="Verdana"/>
          <w:b/>
          <w:bCs/>
          <w:sz w:val="22"/>
          <w:szCs w:val="22"/>
        </w:rPr>
        <w:t xml:space="preserve">PROTECCIÓN - ACCIONES PARA PRESERVAR Y RESTITUIR EL </w:t>
      </w:r>
      <w:r w:rsidRPr="006D47A1">
        <w:rPr>
          <w:rFonts w:ascii="Verdana" w:hAnsi="Verdana"/>
          <w:b/>
          <w:bCs/>
          <w:sz w:val="22"/>
          <w:szCs w:val="22"/>
        </w:rPr>
        <w:lastRenderedPageBreak/>
        <w:t>EJERCICIO INTEGRAL DE LOS DERECHOS DE LA NIÑEZ Y LA FAMILIA</w:t>
      </w:r>
      <w:r w:rsidRPr="006D47A1">
        <w:rPr>
          <w:rFonts w:ascii="Verdana" w:hAnsi="Verdana"/>
          <w:sz w:val="22"/>
          <w:szCs w:val="22"/>
        </w:rPr>
        <w:t> incluyendo en los ítems del clasificador del gasto, el siguiente:</w:t>
      </w:r>
    </w:p>
    <w:p w14:paraId="095E208A" w14:textId="77777777" w:rsidR="006D47A1" w:rsidRPr="006D47A1" w:rsidRDefault="006D47A1" w:rsidP="006D47A1">
      <w:pPr>
        <w:rPr>
          <w:rFonts w:ascii="Verdana" w:hAnsi="Verdana"/>
          <w:sz w:val="22"/>
          <w:szCs w:val="22"/>
        </w:rPr>
      </w:pPr>
      <w:r w:rsidRPr="006D47A1">
        <w:rPr>
          <w:rFonts w:ascii="Verdana" w:hAnsi="Verdana"/>
          <w:sz w:val="22"/>
          <w:szCs w:val="22"/>
        </w:rPr>
        <w:t>- transporte, recreación y mantenimiento de instalaciones locativas de las sedes que prestan atención a los niños, niñas y adolescentes.</w:t>
      </w:r>
    </w:p>
    <w:p w14:paraId="7B13159C" w14:textId="3BB2F69D" w:rsidR="006D47A1" w:rsidRPr="006D47A1" w:rsidRDefault="006D47A1" w:rsidP="006D47A1">
      <w:pPr>
        <w:rPr>
          <w:rFonts w:ascii="Verdana" w:hAnsi="Verdana"/>
          <w:sz w:val="22"/>
          <w:szCs w:val="22"/>
        </w:rPr>
      </w:pPr>
    </w:p>
    <w:p w14:paraId="26310CD1" w14:textId="47DAB868" w:rsidR="006D47A1" w:rsidRPr="006D47A1" w:rsidRDefault="006D47A1" w:rsidP="006D47A1">
      <w:pPr>
        <w:rPr>
          <w:rFonts w:ascii="Verdana" w:hAnsi="Verdana"/>
          <w:sz w:val="22"/>
          <w:szCs w:val="22"/>
        </w:rPr>
      </w:pPr>
      <w:bookmarkStart w:id="2" w:name="3"/>
      <w:r w:rsidRPr="006D47A1">
        <w:rPr>
          <w:rFonts w:ascii="Verdana" w:hAnsi="Verdana"/>
          <w:b/>
          <w:bCs/>
          <w:sz w:val="22"/>
          <w:szCs w:val="22"/>
        </w:rPr>
        <w:t>ARTÍCULO TERCERO.</w:t>
      </w:r>
      <w:bookmarkEnd w:id="2"/>
      <w:r w:rsidRPr="006D47A1">
        <w:rPr>
          <w:rFonts w:ascii="Verdana" w:hAnsi="Verdana"/>
          <w:sz w:val="22"/>
          <w:szCs w:val="22"/>
        </w:rPr>
        <w:t> </w:t>
      </w:r>
      <w:r w:rsidR="005A6015">
        <w:rPr>
          <w:rFonts w:ascii="Verdana" w:hAnsi="Verdana"/>
          <w:sz w:val="22"/>
          <w:szCs w:val="22"/>
        </w:rPr>
        <w:t>[</w:t>
      </w:r>
      <w:r w:rsidRPr="005A6015">
        <w:rPr>
          <w:rFonts w:ascii="Verdana" w:hAnsi="Verdana"/>
          <w:sz w:val="22"/>
          <w:szCs w:val="22"/>
        </w:rPr>
        <w:t>Resolución 7798 de 2014 derogada por el artículo 4 de la Resolución 1 de 2016</w:t>
      </w:r>
      <w:r w:rsidR="005A6015">
        <w:rPr>
          <w:rFonts w:ascii="Verdana" w:hAnsi="Verdana"/>
          <w:sz w:val="22"/>
          <w:szCs w:val="22"/>
        </w:rPr>
        <w:t>]</w:t>
      </w:r>
      <w:r w:rsidRPr="006D47A1">
        <w:rPr>
          <w:rFonts w:ascii="Verdana" w:hAnsi="Verdana"/>
          <w:b/>
          <w:bCs/>
          <w:sz w:val="22"/>
          <w:szCs w:val="22"/>
        </w:rPr>
        <w:t> </w:t>
      </w:r>
      <w:r w:rsidRPr="006D47A1">
        <w:rPr>
          <w:rFonts w:ascii="Verdana" w:hAnsi="Verdana"/>
          <w:sz w:val="22"/>
          <w:szCs w:val="22"/>
        </w:rPr>
        <w:t>La presente Resolución rige a partir de la fecha de su expedición.</w:t>
      </w:r>
    </w:p>
    <w:p w14:paraId="42C56D3E" w14:textId="77777777" w:rsidR="006D47A1" w:rsidRPr="005A6015" w:rsidRDefault="006D47A1" w:rsidP="005A6015">
      <w:pPr>
        <w:jc w:val="center"/>
        <w:rPr>
          <w:rFonts w:ascii="Verdana" w:hAnsi="Verdana"/>
          <w:b/>
          <w:bCs/>
          <w:sz w:val="22"/>
          <w:szCs w:val="22"/>
        </w:rPr>
      </w:pPr>
      <w:r w:rsidRPr="005A6015">
        <w:rPr>
          <w:rFonts w:ascii="Verdana" w:hAnsi="Verdana"/>
          <w:b/>
          <w:bCs/>
          <w:sz w:val="22"/>
          <w:szCs w:val="22"/>
        </w:rPr>
        <w:t>COMUNIQUESE Y CÚMPLASE</w:t>
      </w:r>
    </w:p>
    <w:p w14:paraId="2AFCA9A8" w14:textId="77777777" w:rsidR="006D47A1" w:rsidRPr="006D47A1" w:rsidRDefault="006D47A1" w:rsidP="005A6015">
      <w:pPr>
        <w:jc w:val="center"/>
        <w:rPr>
          <w:rFonts w:ascii="Verdana" w:hAnsi="Verdana"/>
          <w:sz w:val="22"/>
          <w:szCs w:val="22"/>
        </w:rPr>
      </w:pPr>
      <w:r w:rsidRPr="006D47A1">
        <w:rPr>
          <w:rFonts w:ascii="Verdana" w:hAnsi="Verdana"/>
          <w:sz w:val="22"/>
          <w:szCs w:val="22"/>
        </w:rPr>
        <w:t>Dada en Bogotá D.C., a los 29 OCT. 2015</w:t>
      </w:r>
    </w:p>
    <w:p w14:paraId="3A056C78" w14:textId="77777777" w:rsidR="006D47A1" w:rsidRPr="006D47A1" w:rsidRDefault="006D47A1" w:rsidP="005A6015">
      <w:pPr>
        <w:jc w:val="center"/>
        <w:rPr>
          <w:rFonts w:ascii="Verdana" w:hAnsi="Verdana"/>
          <w:sz w:val="22"/>
          <w:szCs w:val="22"/>
        </w:rPr>
      </w:pPr>
      <w:r w:rsidRPr="006D47A1">
        <w:rPr>
          <w:rFonts w:ascii="Verdana" w:hAnsi="Verdana"/>
          <w:b/>
          <w:bCs/>
          <w:sz w:val="22"/>
          <w:szCs w:val="22"/>
        </w:rPr>
        <w:t>CRISTINA PLAZAS MICHELSEN</w:t>
      </w:r>
    </w:p>
    <w:p w14:paraId="7D1F1AA5" w14:textId="77777777" w:rsidR="006D47A1" w:rsidRPr="006D47A1" w:rsidRDefault="006D47A1" w:rsidP="005A6015">
      <w:pPr>
        <w:jc w:val="center"/>
        <w:rPr>
          <w:rFonts w:ascii="Verdana" w:hAnsi="Verdana"/>
          <w:sz w:val="22"/>
          <w:szCs w:val="22"/>
        </w:rPr>
      </w:pPr>
      <w:r w:rsidRPr="006D47A1">
        <w:rPr>
          <w:rFonts w:ascii="Verdana" w:hAnsi="Verdana"/>
          <w:sz w:val="22"/>
          <w:szCs w:val="22"/>
        </w:rPr>
        <w:t>Directora General</w:t>
      </w:r>
    </w:p>
    <w:p w14:paraId="2D4E3117" w14:textId="109034A6"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491D58CE" wp14:editId="36B4A479">
            <wp:extent cx="5553075" cy="3057525"/>
            <wp:effectExtent l="0" t="0" r="9525" b="9525"/>
            <wp:docPr id="1343486568" name="Imagen 3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86568" name="Imagen 34" descr="Tabla&#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3075" cy="3057525"/>
                    </a:xfrm>
                    <a:prstGeom prst="rect">
                      <a:avLst/>
                    </a:prstGeom>
                    <a:noFill/>
                    <a:ln>
                      <a:noFill/>
                    </a:ln>
                  </pic:spPr>
                </pic:pic>
              </a:graphicData>
            </a:graphic>
          </wp:inline>
        </w:drawing>
      </w:r>
    </w:p>
    <w:p w14:paraId="2BBE10A7" w14:textId="43204B9D"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05E4C582" wp14:editId="4B168FF2">
            <wp:extent cx="5591175" cy="3095625"/>
            <wp:effectExtent l="0" t="0" r="9525" b="9525"/>
            <wp:docPr id="1676378108" name="Imagen 3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78108" name="Imagen 33" descr="Texto&#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91175" cy="3095625"/>
                    </a:xfrm>
                    <a:prstGeom prst="rect">
                      <a:avLst/>
                    </a:prstGeom>
                    <a:noFill/>
                    <a:ln>
                      <a:noFill/>
                    </a:ln>
                  </pic:spPr>
                </pic:pic>
              </a:graphicData>
            </a:graphic>
          </wp:inline>
        </w:drawing>
      </w:r>
    </w:p>
    <w:p w14:paraId="3591B394" w14:textId="5D9FDB76"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3479CA91" wp14:editId="3B9D1686">
            <wp:extent cx="5553075" cy="3095625"/>
            <wp:effectExtent l="0" t="0" r="9525" b="9525"/>
            <wp:docPr id="774290887" name="Imagen 3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0887" name="Imagen 32" descr="Tabl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3075" cy="3095625"/>
                    </a:xfrm>
                    <a:prstGeom prst="rect">
                      <a:avLst/>
                    </a:prstGeom>
                    <a:noFill/>
                    <a:ln>
                      <a:noFill/>
                    </a:ln>
                  </pic:spPr>
                </pic:pic>
              </a:graphicData>
            </a:graphic>
          </wp:inline>
        </w:drawing>
      </w:r>
    </w:p>
    <w:p w14:paraId="31A31799" w14:textId="72BC9E84"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3F5CFB50" wp14:editId="1475E3D4">
            <wp:extent cx="5591175" cy="2276475"/>
            <wp:effectExtent l="0" t="0" r="9525" b="9525"/>
            <wp:docPr id="785552949" name="Imagen 31"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52949" name="Imagen 31" descr="Interfaz de usuario gráfica, Tex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p>
    <w:p w14:paraId="58CD1276" w14:textId="25A88571"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6D21EF58" wp14:editId="09B20AFE">
            <wp:extent cx="5572125" cy="2105025"/>
            <wp:effectExtent l="0" t="0" r="9525" b="9525"/>
            <wp:docPr id="530094531" name="Imagen 30"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94531" name="Imagen 30" descr="Tabla&#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105025"/>
                    </a:xfrm>
                    <a:prstGeom prst="rect">
                      <a:avLst/>
                    </a:prstGeom>
                    <a:noFill/>
                    <a:ln>
                      <a:noFill/>
                    </a:ln>
                  </pic:spPr>
                </pic:pic>
              </a:graphicData>
            </a:graphic>
          </wp:inline>
        </w:drawing>
      </w:r>
    </w:p>
    <w:p w14:paraId="4E4A1674" w14:textId="07D31C89"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49E80784" wp14:editId="147FD9CC">
            <wp:extent cx="5543550" cy="638175"/>
            <wp:effectExtent l="0" t="0" r="0" b="9525"/>
            <wp:docPr id="200079693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638175"/>
                    </a:xfrm>
                    <a:prstGeom prst="rect">
                      <a:avLst/>
                    </a:prstGeom>
                    <a:noFill/>
                    <a:ln>
                      <a:noFill/>
                    </a:ln>
                  </pic:spPr>
                </pic:pic>
              </a:graphicData>
            </a:graphic>
          </wp:inline>
        </w:drawing>
      </w:r>
    </w:p>
    <w:p w14:paraId="0B4C34F7" w14:textId="2A8B158E"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6575393A" wp14:editId="0E5C76FC">
            <wp:extent cx="5591175" cy="3105150"/>
            <wp:effectExtent l="0" t="0" r="9525" b="0"/>
            <wp:docPr id="219431717" name="Imagen 28"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31717" name="Imagen 28" descr="Interfaz de usuario gráfica, Tabl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1175" cy="3105150"/>
                    </a:xfrm>
                    <a:prstGeom prst="rect">
                      <a:avLst/>
                    </a:prstGeom>
                    <a:noFill/>
                    <a:ln>
                      <a:noFill/>
                    </a:ln>
                  </pic:spPr>
                </pic:pic>
              </a:graphicData>
            </a:graphic>
          </wp:inline>
        </w:drawing>
      </w:r>
    </w:p>
    <w:p w14:paraId="05988C86" w14:textId="5DBF389D"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5D2163F3" wp14:editId="0C4D6AAE">
            <wp:extent cx="5591175" cy="3114675"/>
            <wp:effectExtent l="0" t="0" r="9525" b="9525"/>
            <wp:docPr id="1245755296" name="Imagen 27"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55296" name="Imagen 27" descr="Interfaz de usuario gráfica, Texto, Aplicación, Correo electrónic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3114675"/>
                    </a:xfrm>
                    <a:prstGeom prst="rect">
                      <a:avLst/>
                    </a:prstGeom>
                    <a:noFill/>
                    <a:ln>
                      <a:noFill/>
                    </a:ln>
                  </pic:spPr>
                </pic:pic>
              </a:graphicData>
            </a:graphic>
          </wp:inline>
        </w:drawing>
      </w:r>
    </w:p>
    <w:p w14:paraId="4853AB46" w14:textId="2F676AB7"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6504411C" wp14:editId="1102537B">
            <wp:extent cx="5543550" cy="2552700"/>
            <wp:effectExtent l="0" t="0" r="0" b="0"/>
            <wp:docPr id="1721625843" name="Imagen 2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25843" name="Imagen 26" descr="Tabl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2552700"/>
                    </a:xfrm>
                    <a:prstGeom prst="rect">
                      <a:avLst/>
                    </a:prstGeom>
                    <a:noFill/>
                    <a:ln>
                      <a:noFill/>
                    </a:ln>
                  </pic:spPr>
                </pic:pic>
              </a:graphicData>
            </a:graphic>
          </wp:inline>
        </w:drawing>
      </w:r>
    </w:p>
    <w:p w14:paraId="4CDE77EB" w14:textId="51D84493"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6F42B539" wp14:editId="7BB4601D">
            <wp:extent cx="5553075" cy="3124200"/>
            <wp:effectExtent l="0" t="0" r="9525" b="0"/>
            <wp:docPr id="26465005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3124200"/>
                    </a:xfrm>
                    <a:prstGeom prst="rect">
                      <a:avLst/>
                    </a:prstGeom>
                    <a:noFill/>
                    <a:ln>
                      <a:noFill/>
                    </a:ln>
                  </pic:spPr>
                </pic:pic>
              </a:graphicData>
            </a:graphic>
          </wp:inline>
        </w:drawing>
      </w:r>
    </w:p>
    <w:p w14:paraId="0DAB43E5" w14:textId="6254E95F"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6D2F34AE" wp14:editId="214946FD">
            <wp:extent cx="5562600" cy="1600200"/>
            <wp:effectExtent l="0" t="0" r="0" b="0"/>
            <wp:docPr id="2099448543" name="Imagen 24"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48543" name="Imagen 24" descr="Tabla&#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2600" cy="1600200"/>
                    </a:xfrm>
                    <a:prstGeom prst="rect">
                      <a:avLst/>
                    </a:prstGeom>
                    <a:noFill/>
                    <a:ln>
                      <a:noFill/>
                    </a:ln>
                  </pic:spPr>
                </pic:pic>
              </a:graphicData>
            </a:graphic>
          </wp:inline>
        </w:drawing>
      </w:r>
    </w:p>
    <w:p w14:paraId="7E5873A4" w14:textId="61F07385"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4704E37B" wp14:editId="13351F52">
            <wp:extent cx="5562600" cy="1333500"/>
            <wp:effectExtent l="0" t="0" r="0" b="0"/>
            <wp:docPr id="1732425100" name="Imagen 23"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25100" name="Imagen 23" descr="Interfaz de usuario gráfica, Texto, Aplicación&#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2600" cy="1333500"/>
                    </a:xfrm>
                    <a:prstGeom prst="rect">
                      <a:avLst/>
                    </a:prstGeom>
                    <a:noFill/>
                    <a:ln>
                      <a:noFill/>
                    </a:ln>
                  </pic:spPr>
                </pic:pic>
              </a:graphicData>
            </a:graphic>
          </wp:inline>
        </w:drawing>
      </w:r>
    </w:p>
    <w:p w14:paraId="22595769" w14:textId="769BE131"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2197D1A8" wp14:editId="77FF443C">
            <wp:extent cx="5562600" cy="2724150"/>
            <wp:effectExtent l="0" t="0" r="0" b="0"/>
            <wp:docPr id="291791448" name="Imagen 2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91448" name="Imagen 22" descr="Tabl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2600" cy="2724150"/>
                    </a:xfrm>
                    <a:prstGeom prst="rect">
                      <a:avLst/>
                    </a:prstGeom>
                    <a:noFill/>
                    <a:ln>
                      <a:noFill/>
                    </a:ln>
                  </pic:spPr>
                </pic:pic>
              </a:graphicData>
            </a:graphic>
          </wp:inline>
        </w:drawing>
      </w:r>
    </w:p>
    <w:p w14:paraId="587B224C" w14:textId="5C6DA943"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5852EA0E" wp14:editId="16E99B86">
            <wp:extent cx="5610225" cy="3067050"/>
            <wp:effectExtent l="0" t="0" r="9525" b="0"/>
            <wp:docPr id="1239016074" name="Imagen 2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16074" name="Imagen 21" descr="Tabla&#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067050"/>
                    </a:xfrm>
                    <a:prstGeom prst="rect">
                      <a:avLst/>
                    </a:prstGeom>
                    <a:noFill/>
                    <a:ln>
                      <a:noFill/>
                    </a:ln>
                  </pic:spPr>
                </pic:pic>
              </a:graphicData>
            </a:graphic>
          </wp:inline>
        </w:drawing>
      </w:r>
    </w:p>
    <w:p w14:paraId="06DF9E92" w14:textId="6CF2BADB"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7FE9F49F" wp14:editId="1B00228C">
            <wp:extent cx="5572125" cy="3152775"/>
            <wp:effectExtent l="0" t="0" r="9525" b="9525"/>
            <wp:docPr id="191907417" name="Imagen 2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417" name="Imagen 20" descr="Texto&#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3152775"/>
                    </a:xfrm>
                    <a:prstGeom prst="rect">
                      <a:avLst/>
                    </a:prstGeom>
                    <a:noFill/>
                    <a:ln>
                      <a:noFill/>
                    </a:ln>
                  </pic:spPr>
                </pic:pic>
              </a:graphicData>
            </a:graphic>
          </wp:inline>
        </w:drawing>
      </w:r>
    </w:p>
    <w:p w14:paraId="4BD2FC2A" w14:textId="097A481C" w:rsidR="006D47A1" w:rsidRPr="006D47A1" w:rsidRDefault="006D47A1" w:rsidP="006D47A1">
      <w:pPr>
        <w:rPr>
          <w:rFonts w:ascii="Verdana" w:hAnsi="Verdana"/>
          <w:sz w:val="22"/>
          <w:szCs w:val="22"/>
        </w:rPr>
      </w:pPr>
      <w:r w:rsidRPr="006D47A1">
        <w:rPr>
          <w:rFonts w:ascii="Verdana" w:hAnsi="Verdana"/>
          <w:noProof/>
          <w:sz w:val="22"/>
          <w:szCs w:val="22"/>
        </w:rPr>
        <w:drawing>
          <wp:inline distT="0" distB="0" distL="0" distR="0" wp14:anchorId="4D5A7A49" wp14:editId="6F3A178B">
            <wp:extent cx="5591175" cy="2828925"/>
            <wp:effectExtent l="0" t="0" r="9525" b="9525"/>
            <wp:docPr id="532094657" name="Imagen 1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94657" name="Imagen 19" descr="Tabla&#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2828925"/>
                    </a:xfrm>
                    <a:prstGeom prst="rect">
                      <a:avLst/>
                    </a:prstGeom>
                    <a:noFill/>
                    <a:ln>
                      <a:noFill/>
                    </a:ln>
                  </pic:spPr>
                </pic:pic>
              </a:graphicData>
            </a:graphic>
          </wp:inline>
        </w:drawing>
      </w:r>
    </w:p>
    <w:p w14:paraId="640AA56D" w14:textId="77777777" w:rsidR="006D47A1" w:rsidRPr="006D47A1" w:rsidRDefault="006D47A1" w:rsidP="002F45C6">
      <w:pPr>
        <w:rPr>
          <w:rFonts w:ascii="Verdana" w:hAnsi="Verdana"/>
          <w:sz w:val="22"/>
          <w:szCs w:val="22"/>
        </w:rPr>
      </w:pPr>
    </w:p>
    <w:sectPr w:rsidR="006D47A1" w:rsidRPr="006D47A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2054E"/>
    <w:multiLevelType w:val="hybridMultilevel"/>
    <w:tmpl w:val="6B7844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52787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D5"/>
    <w:rsid w:val="00015D2A"/>
    <w:rsid w:val="00032BEC"/>
    <w:rsid w:val="000C147C"/>
    <w:rsid w:val="002F45C6"/>
    <w:rsid w:val="003040B3"/>
    <w:rsid w:val="003A7333"/>
    <w:rsid w:val="003D4BAB"/>
    <w:rsid w:val="00490B89"/>
    <w:rsid w:val="00550F5C"/>
    <w:rsid w:val="005A6015"/>
    <w:rsid w:val="00665FDA"/>
    <w:rsid w:val="00677F2A"/>
    <w:rsid w:val="006D47A1"/>
    <w:rsid w:val="00766ED5"/>
    <w:rsid w:val="007920D1"/>
    <w:rsid w:val="0088588F"/>
    <w:rsid w:val="009F4F3C"/>
    <w:rsid w:val="00B00D18"/>
    <w:rsid w:val="00F50EC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ED424"/>
  <w15:chartTrackingRefBased/>
  <w15:docId w15:val="{37492569-407B-433C-BAAE-EC15523D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s-CO" w:eastAsia="en-US" w:bidi="ar-SA"/>
        <w14:ligatures w14:val="standardContextual"/>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6E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E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ED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ED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766ED5"/>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76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766ED5"/>
    <w:pPr>
      <w:keepNext/>
      <w:keepLines/>
      <w:spacing w:before="40" w:after="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766ED5"/>
    <w:pPr>
      <w:keepNext/>
      <w:keepLines/>
      <w:spacing w:after="0"/>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766ED5"/>
    <w:pPr>
      <w:keepNext/>
      <w:keepLines/>
      <w:spacing w:after="0"/>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ED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ED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ED5"/>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ED5"/>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766ED5"/>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766ED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766ED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766ED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766ED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766ED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66E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ED5"/>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ED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766ED5"/>
    <w:pPr>
      <w:spacing w:before="160"/>
      <w:jc w:val="center"/>
    </w:pPr>
    <w:rPr>
      <w:i/>
      <w:iCs/>
      <w:color w:val="404040" w:themeColor="text1" w:themeTint="BF"/>
    </w:rPr>
  </w:style>
  <w:style w:type="character" w:customStyle="1" w:styleId="CitaCar">
    <w:name w:val="Cita Car"/>
    <w:basedOn w:val="Fuentedeprrafopredeter"/>
    <w:link w:val="Cita"/>
    <w:uiPriority w:val="29"/>
    <w:rsid w:val="00766ED5"/>
    <w:rPr>
      <w:i/>
      <w:iCs/>
      <w:color w:val="404040" w:themeColor="text1" w:themeTint="BF"/>
    </w:rPr>
  </w:style>
  <w:style w:type="paragraph" w:styleId="Prrafodelista">
    <w:name w:val="List Paragraph"/>
    <w:basedOn w:val="Normal"/>
    <w:uiPriority w:val="34"/>
    <w:qFormat/>
    <w:rsid w:val="00766ED5"/>
    <w:pPr>
      <w:ind w:left="720"/>
      <w:contextualSpacing/>
    </w:pPr>
  </w:style>
  <w:style w:type="character" w:styleId="nfasisintenso">
    <w:name w:val="Intense Emphasis"/>
    <w:basedOn w:val="Fuentedeprrafopredeter"/>
    <w:uiPriority w:val="21"/>
    <w:qFormat/>
    <w:rsid w:val="00766ED5"/>
    <w:rPr>
      <w:i/>
      <w:iCs/>
      <w:color w:val="0F4761" w:themeColor="accent1" w:themeShade="BF"/>
    </w:rPr>
  </w:style>
  <w:style w:type="paragraph" w:styleId="Citadestacada">
    <w:name w:val="Intense Quote"/>
    <w:basedOn w:val="Normal"/>
    <w:next w:val="Normal"/>
    <w:link w:val="CitadestacadaCar"/>
    <w:uiPriority w:val="30"/>
    <w:qFormat/>
    <w:rsid w:val="00766E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ED5"/>
    <w:rPr>
      <w:i/>
      <w:iCs/>
      <w:color w:val="0F4761" w:themeColor="accent1" w:themeShade="BF"/>
    </w:rPr>
  </w:style>
  <w:style w:type="character" w:styleId="Referenciaintensa">
    <w:name w:val="Intense Reference"/>
    <w:basedOn w:val="Fuentedeprrafopredeter"/>
    <w:uiPriority w:val="32"/>
    <w:qFormat/>
    <w:rsid w:val="00766ED5"/>
    <w:rPr>
      <w:b/>
      <w:bCs/>
      <w:smallCaps/>
      <w:color w:val="0F4761" w:themeColor="accent1" w:themeShade="BF"/>
      <w:spacing w:val="5"/>
    </w:rPr>
  </w:style>
  <w:style w:type="table" w:styleId="Tablaconcuadrcula">
    <w:name w:val="Table Grid"/>
    <w:basedOn w:val="Tablanormal"/>
    <w:uiPriority w:val="39"/>
    <w:rsid w:val="00B00D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147C"/>
    <w:pPr>
      <w:spacing w:after="0"/>
    </w:pPr>
  </w:style>
  <w:style w:type="character" w:styleId="Hipervnculo">
    <w:name w:val="Hyperlink"/>
    <w:basedOn w:val="Fuentedeprrafopredeter"/>
    <w:uiPriority w:val="99"/>
    <w:unhideWhenUsed/>
    <w:rsid w:val="006D47A1"/>
    <w:rPr>
      <w:color w:val="467886" w:themeColor="hyperlink"/>
      <w:u w:val="single"/>
    </w:rPr>
  </w:style>
  <w:style w:type="character" w:styleId="Mencinsinresolver">
    <w:name w:val="Unresolved Mention"/>
    <w:basedOn w:val="Fuentedeprrafopredeter"/>
    <w:uiPriority w:val="99"/>
    <w:semiHidden/>
    <w:unhideWhenUsed/>
    <w:rsid w:val="006D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customXml" Target="../customXml/item2.xml"/><Relationship Id="rId5" Type="http://schemas.openxmlformats.org/officeDocument/2006/relationships/image" Target="media/image1.gif"/><Relationship Id="rId15" Type="http://schemas.openxmlformats.org/officeDocument/2006/relationships/image" Target="media/image11.gif"/><Relationship Id="rId23" Type="http://schemas.openxmlformats.org/officeDocument/2006/relationships/customXml" Target="../customXml/item1.xml"/><Relationship Id="rId10" Type="http://schemas.openxmlformats.org/officeDocument/2006/relationships/image" Target="media/image6.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78C33D-8B19-4A03-B6DA-F5628399F854}"/>
</file>

<file path=customXml/itemProps2.xml><?xml version="1.0" encoding="utf-8"?>
<ds:datastoreItem xmlns:ds="http://schemas.openxmlformats.org/officeDocument/2006/customXml" ds:itemID="{51275257-1E41-4094-A775-23A1EA8F95DC}"/>
</file>

<file path=customXml/itemProps3.xml><?xml version="1.0" encoding="utf-8"?>
<ds:datastoreItem xmlns:ds="http://schemas.openxmlformats.org/officeDocument/2006/customXml" ds:itemID="{F7179A79-91A6-4351-8B4B-448CBA894761}"/>
</file>

<file path=docProps/app.xml><?xml version="1.0" encoding="utf-8"?>
<Properties xmlns="http://schemas.openxmlformats.org/officeDocument/2006/extended-properties" xmlns:vt="http://schemas.openxmlformats.org/officeDocument/2006/docPropsVTypes">
  <Template>Normal</Template>
  <TotalTime>4</TotalTime>
  <Pages>3</Pages>
  <Words>872</Words>
  <Characters>4797</Characters>
  <Application>Microsoft Office Word</Application>
  <DocSecurity>0</DocSecurity>
  <Lines>39</Lines>
  <Paragraphs>11</Paragraphs>
  <ScaleCrop>false</ScaleCrop>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Alejandra Caicedo Guerrero</dc:creator>
  <cp:keywords/>
  <dc:description/>
  <cp:lastModifiedBy>Jose Patricio Lizca Alvarez</cp:lastModifiedBy>
  <cp:revision>5</cp:revision>
  <dcterms:created xsi:type="dcterms:W3CDTF">2026-01-29T21:15:00Z</dcterms:created>
  <dcterms:modified xsi:type="dcterms:W3CDTF">2026-04-16T19:28:00Z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