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9229" w14:textId="77777777" w:rsidR="005D7512" w:rsidRPr="005D7512" w:rsidRDefault="005D7512" w:rsidP="005D7512">
      <w:pPr>
        <w:jc w:val="center"/>
        <w:rPr>
          <w:rFonts w:ascii="Verdana" w:hAnsi="Verdana"/>
          <w:sz w:val="22"/>
          <w:szCs w:val="22"/>
        </w:rPr>
      </w:pPr>
      <w:r w:rsidRPr="005D7512">
        <w:rPr>
          <w:rFonts w:ascii="Verdana" w:hAnsi="Verdana"/>
          <w:b/>
          <w:bCs/>
          <w:sz w:val="22"/>
          <w:szCs w:val="22"/>
        </w:rPr>
        <w:t>RESOLUCIÓN 8953 DE 2012</w:t>
      </w:r>
    </w:p>
    <w:p w14:paraId="37C8C3FE" w14:textId="5CEF4CF6" w:rsidR="00833428" w:rsidRPr="005D7512" w:rsidRDefault="00833428" w:rsidP="005D7512">
      <w:pPr>
        <w:pStyle w:val="Sinespaciado"/>
        <w:jc w:val="both"/>
        <w:rPr>
          <w:rFonts w:ascii="Verdana" w:hAnsi="Verdana"/>
          <w:sz w:val="20"/>
          <w:szCs w:val="20"/>
        </w:rPr>
      </w:pPr>
      <w:r w:rsidRPr="005D7512">
        <w:rPr>
          <w:rFonts w:ascii="Verdana" w:hAnsi="Verdana"/>
          <w:sz w:val="20"/>
          <w:szCs w:val="20"/>
        </w:rPr>
        <w:t xml:space="preserve">Fecha de Expedición: </w:t>
      </w:r>
      <w:r w:rsidR="005D7512">
        <w:rPr>
          <w:rFonts w:ascii="Verdana" w:hAnsi="Verdana"/>
          <w:sz w:val="20"/>
          <w:szCs w:val="20"/>
        </w:rPr>
        <w:t>21</w:t>
      </w:r>
      <w:r w:rsidR="004931F0" w:rsidRPr="005D7512">
        <w:rPr>
          <w:rFonts w:ascii="Verdana" w:hAnsi="Verdana"/>
          <w:sz w:val="20"/>
          <w:szCs w:val="20"/>
        </w:rPr>
        <w:t xml:space="preserve"> de noviembre de 2012</w:t>
      </w:r>
    </w:p>
    <w:p w14:paraId="2C13B487" w14:textId="280EC881" w:rsidR="00833428" w:rsidRPr="005D7512" w:rsidRDefault="00833428" w:rsidP="005D7512">
      <w:pPr>
        <w:pStyle w:val="Sinespaciado"/>
        <w:jc w:val="both"/>
        <w:rPr>
          <w:rFonts w:ascii="Verdana" w:hAnsi="Verdana"/>
          <w:sz w:val="20"/>
          <w:szCs w:val="20"/>
        </w:rPr>
      </w:pPr>
      <w:r w:rsidRPr="005D7512">
        <w:rPr>
          <w:rFonts w:ascii="Verdana" w:hAnsi="Verdana"/>
          <w:sz w:val="20"/>
          <w:szCs w:val="20"/>
        </w:rPr>
        <w:t xml:space="preserve">Fecha de </w:t>
      </w:r>
      <w:proofErr w:type="gramStart"/>
      <w:r w:rsidRPr="005D7512">
        <w:rPr>
          <w:rFonts w:ascii="Verdana" w:hAnsi="Verdana"/>
          <w:sz w:val="20"/>
          <w:szCs w:val="20"/>
        </w:rPr>
        <w:t>entrada en vigencia</w:t>
      </w:r>
      <w:proofErr w:type="gramEnd"/>
      <w:r w:rsidRPr="005D7512">
        <w:rPr>
          <w:rFonts w:ascii="Verdana" w:hAnsi="Verdana"/>
          <w:sz w:val="20"/>
          <w:szCs w:val="20"/>
        </w:rPr>
        <w:t xml:space="preserve">: </w:t>
      </w:r>
      <w:r w:rsidR="007C7053" w:rsidRPr="005D7512">
        <w:rPr>
          <w:rFonts w:ascii="Verdana" w:hAnsi="Verdana"/>
          <w:sz w:val="20"/>
          <w:szCs w:val="20"/>
        </w:rPr>
        <w:t>2</w:t>
      </w:r>
      <w:r w:rsidR="005D7512">
        <w:rPr>
          <w:rFonts w:ascii="Verdana" w:hAnsi="Verdana"/>
          <w:sz w:val="20"/>
          <w:szCs w:val="20"/>
        </w:rPr>
        <w:t>1</w:t>
      </w:r>
      <w:r w:rsidR="007C7053" w:rsidRPr="005D7512">
        <w:rPr>
          <w:rFonts w:ascii="Verdana" w:hAnsi="Verdana"/>
          <w:sz w:val="20"/>
          <w:szCs w:val="20"/>
        </w:rPr>
        <w:t xml:space="preserve"> de noviembre de3 2012</w:t>
      </w:r>
    </w:p>
    <w:p w14:paraId="311E3A00" w14:textId="0C8A5E0C" w:rsidR="00833428" w:rsidRPr="005D7512" w:rsidRDefault="00833428" w:rsidP="005D7512">
      <w:pPr>
        <w:pStyle w:val="Sinespaciado"/>
        <w:jc w:val="both"/>
        <w:rPr>
          <w:rFonts w:ascii="Verdana" w:hAnsi="Verdana"/>
          <w:sz w:val="20"/>
          <w:szCs w:val="20"/>
        </w:rPr>
      </w:pPr>
      <w:r w:rsidRPr="005D7512">
        <w:rPr>
          <w:rFonts w:ascii="Verdana" w:hAnsi="Verdana"/>
          <w:sz w:val="20"/>
          <w:szCs w:val="20"/>
        </w:rPr>
        <w:t xml:space="preserve">Estado de la vigencia: </w:t>
      </w:r>
      <w:r w:rsidR="008E4B62" w:rsidRPr="005D7512">
        <w:rPr>
          <w:rFonts w:ascii="Verdana" w:hAnsi="Verdana"/>
          <w:sz w:val="20"/>
          <w:szCs w:val="20"/>
        </w:rPr>
        <w:t xml:space="preserve">Vigente </w:t>
      </w:r>
    </w:p>
    <w:p w14:paraId="7DD231D4" w14:textId="77777777" w:rsidR="00833428" w:rsidRPr="005D7512" w:rsidRDefault="00833428" w:rsidP="005D7512">
      <w:pPr>
        <w:pStyle w:val="Sinespaciado"/>
        <w:jc w:val="both"/>
        <w:rPr>
          <w:rFonts w:ascii="Verdana" w:hAnsi="Verdana"/>
          <w:sz w:val="20"/>
          <w:szCs w:val="20"/>
        </w:rPr>
      </w:pPr>
    </w:p>
    <w:p w14:paraId="0B015CF0" w14:textId="542491E8" w:rsidR="00833428" w:rsidRPr="005D7512" w:rsidRDefault="00833428" w:rsidP="005D7512">
      <w:pPr>
        <w:pStyle w:val="Sinespaciado"/>
        <w:jc w:val="both"/>
        <w:rPr>
          <w:rFonts w:ascii="Verdana" w:hAnsi="Verdana"/>
          <w:sz w:val="20"/>
          <w:szCs w:val="20"/>
        </w:rPr>
      </w:pPr>
      <w:r w:rsidRPr="005D7512">
        <w:rPr>
          <w:rFonts w:ascii="Verdana" w:hAnsi="Verdana"/>
          <w:sz w:val="20"/>
          <w:szCs w:val="20"/>
        </w:rPr>
        <w:t xml:space="preserve">Fecha de publicación en Diario Oficial: </w:t>
      </w:r>
      <w:r w:rsidR="005D7512">
        <w:rPr>
          <w:rFonts w:ascii="Verdana" w:hAnsi="Verdana"/>
          <w:sz w:val="20"/>
          <w:szCs w:val="20"/>
        </w:rPr>
        <w:t>N/A</w:t>
      </w:r>
    </w:p>
    <w:p w14:paraId="7A658ADC" w14:textId="442818A0" w:rsidR="00794C8B" w:rsidRPr="005D7512" w:rsidRDefault="00833428" w:rsidP="005D7512">
      <w:pPr>
        <w:pStyle w:val="Sinespaciado"/>
        <w:jc w:val="both"/>
        <w:rPr>
          <w:rFonts w:ascii="Verdana" w:hAnsi="Verdana"/>
          <w:sz w:val="20"/>
          <w:szCs w:val="20"/>
        </w:rPr>
      </w:pPr>
      <w:r w:rsidRPr="005D7512">
        <w:rPr>
          <w:rFonts w:ascii="Verdana" w:hAnsi="Verdana"/>
          <w:sz w:val="20"/>
          <w:szCs w:val="20"/>
        </w:rPr>
        <w:t xml:space="preserve">Número del Diario Oficial: </w:t>
      </w:r>
      <w:r w:rsidR="005D7512">
        <w:rPr>
          <w:rFonts w:ascii="Verdana" w:hAnsi="Verdana"/>
          <w:sz w:val="20"/>
          <w:szCs w:val="20"/>
        </w:rPr>
        <w:t>N/A</w:t>
      </w:r>
    </w:p>
    <w:p w14:paraId="1FBA4C62" w14:textId="77777777" w:rsidR="00833428" w:rsidRPr="005D7512" w:rsidRDefault="00833428" w:rsidP="005D7512">
      <w:pPr>
        <w:pStyle w:val="Sinespaciado"/>
        <w:jc w:val="both"/>
        <w:rPr>
          <w:rFonts w:ascii="Verdana" w:hAnsi="Verdana"/>
          <w:sz w:val="22"/>
          <w:szCs w:val="22"/>
        </w:rPr>
      </w:pPr>
    </w:p>
    <w:p w14:paraId="4E5665B0" w14:textId="77777777" w:rsidR="005D7512" w:rsidRPr="005D7512" w:rsidRDefault="005D7512" w:rsidP="005D7512">
      <w:pPr>
        <w:jc w:val="center"/>
        <w:rPr>
          <w:rFonts w:ascii="Verdana" w:hAnsi="Verdana"/>
          <w:sz w:val="22"/>
          <w:szCs w:val="22"/>
        </w:rPr>
      </w:pPr>
      <w:r w:rsidRPr="005D7512">
        <w:rPr>
          <w:rFonts w:ascii="Verdana" w:hAnsi="Verdana"/>
          <w:b/>
          <w:bCs/>
          <w:sz w:val="22"/>
          <w:szCs w:val="22"/>
        </w:rPr>
        <w:t>RESOLUCIÓN 8953 DE 2012</w:t>
      </w:r>
    </w:p>
    <w:p w14:paraId="6387E3E2" w14:textId="77777777" w:rsidR="005D7512" w:rsidRPr="005D7512" w:rsidRDefault="005D7512" w:rsidP="005D7512">
      <w:pPr>
        <w:jc w:val="center"/>
        <w:rPr>
          <w:rFonts w:ascii="Verdana" w:hAnsi="Verdana"/>
          <w:sz w:val="22"/>
          <w:szCs w:val="22"/>
        </w:rPr>
      </w:pPr>
      <w:r w:rsidRPr="005D7512">
        <w:rPr>
          <w:rFonts w:ascii="Verdana" w:hAnsi="Verdana"/>
          <w:sz w:val="22"/>
          <w:szCs w:val="22"/>
        </w:rPr>
        <w:t>(noviembre 21)</w:t>
      </w:r>
    </w:p>
    <w:p w14:paraId="400BC02E" w14:textId="77777777" w:rsidR="005D7512" w:rsidRPr="005D7512" w:rsidRDefault="005D7512" w:rsidP="005D7512">
      <w:pPr>
        <w:jc w:val="center"/>
        <w:rPr>
          <w:rFonts w:ascii="Verdana" w:hAnsi="Verdana"/>
          <w:sz w:val="22"/>
          <w:szCs w:val="22"/>
        </w:rPr>
      </w:pPr>
      <w:r w:rsidRPr="005D7512">
        <w:rPr>
          <w:rFonts w:ascii="Verdana" w:hAnsi="Verdana"/>
          <w:b/>
          <w:bCs/>
          <w:sz w:val="22"/>
          <w:szCs w:val="22"/>
        </w:rPr>
        <w:t>INSTITUTO COLOMBIANO DE BIENESTAR FAMILIAR – ICBF</w:t>
      </w:r>
    </w:p>
    <w:p w14:paraId="1DD876E9" w14:textId="77777777" w:rsidR="005D7512" w:rsidRPr="005D7512" w:rsidRDefault="005D7512" w:rsidP="005D7512">
      <w:pPr>
        <w:jc w:val="center"/>
        <w:rPr>
          <w:rFonts w:ascii="Verdana" w:hAnsi="Verdana"/>
          <w:sz w:val="22"/>
          <w:szCs w:val="22"/>
        </w:rPr>
      </w:pPr>
      <w:r w:rsidRPr="005D7512">
        <w:rPr>
          <w:rFonts w:ascii="Verdana" w:hAnsi="Verdana"/>
          <w:sz w:val="22"/>
          <w:szCs w:val="22"/>
        </w:rPr>
        <w:t>Por la cual se distribuye y mensualiza el Programa Anual de Caja del Instituto Colombiano de Bienestar Familiar Cecilia De La Fuente de Lleras para la vigencia fiscal del año 2012.</w:t>
      </w:r>
    </w:p>
    <w:p w14:paraId="14568617" w14:textId="77777777" w:rsidR="005D7512" w:rsidRPr="005D7512" w:rsidRDefault="005D7512" w:rsidP="005D7512">
      <w:pPr>
        <w:jc w:val="center"/>
        <w:rPr>
          <w:rFonts w:ascii="Verdana" w:hAnsi="Verdana"/>
          <w:sz w:val="22"/>
          <w:szCs w:val="22"/>
        </w:rPr>
      </w:pPr>
      <w:r w:rsidRPr="005D7512">
        <w:rPr>
          <w:rFonts w:ascii="Verdana" w:hAnsi="Verdana"/>
          <w:b/>
          <w:bCs/>
          <w:sz w:val="22"/>
          <w:szCs w:val="22"/>
        </w:rPr>
        <w:t>EL DIRECTOR GENERAL DEL INSTITUTO COLOMBIANO DE BIENESTAR FAMILIAR CECILIA DE LA FUENTE DE LLERAS</w:t>
      </w:r>
    </w:p>
    <w:p w14:paraId="5662D1BB" w14:textId="01FC6A40" w:rsidR="005D7512" w:rsidRPr="005D7512" w:rsidRDefault="005D7512" w:rsidP="005D7512">
      <w:pPr>
        <w:jc w:val="center"/>
        <w:rPr>
          <w:rFonts w:ascii="Verdana" w:hAnsi="Verdana"/>
          <w:sz w:val="22"/>
          <w:szCs w:val="22"/>
        </w:rPr>
      </w:pPr>
      <w:r w:rsidRPr="005D7512">
        <w:rPr>
          <w:rFonts w:ascii="Verdana" w:hAnsi="Verdana"/>
          <w:sz w:val="22"/>
          <w:szCs w:val="22"/>
        </w:rPr>
        <w:t xml:space="preserve">En desarrollo de lo establecido en el Artículo 26 del Decreto 4730 del 28 de </w:t>
      </w:r>
      <w:proofErr w:type="gramStart"/>
      <w:r w:rsidRPr="005D7512">
        <w:rPr>
          <w:rFonts w:ascii="Verdana" w:hAnsi="Verdana"/>
          <w:sz w:val="22"/>
          <w:szCs w:val="22"/>
        </w:rPr>
        <w:t>Diciembre</w:t>
      </w:r>
      <w:proofErr w:type="gramEnd"/>
      <w:r w:rsidRPr="005D7512">
        <w:rPr>
          <w:rFonts w:ascii="Verdana" w:hAnsi="Verdana"/>
          <w:sz w:val="22"/>
          <w:szCs w:val="22"/>
        </w:rPr>
        <w:t xml:space="preserve"> de 2005 y de la delegación otorgada por el Consejo Directivo en el artículo 1o del Acuerdo No 003 de </w:t>
      </w:r>
      <w:proofErr w:type="gramStart"/>
      <w:r w:rsidRPr="005D7512">
        <w:rPr>
          <w:rFonts w:ascii="Verdana" w:hAnsi="Verdana"/>
          <w:sz w:val="22"/>
          <w:szCs w:val="22"/>
        </w:rPr>
        <w:t>Enero</w:t>
      </w:r>
      <w:proofErr w:type="gramEnd"/>
      <w:r w:rsidRPr="005D7512">
        <w:rPr>
          <w:rFonts w:ascii="Verdana" w:hAnsi="Verdana"/>
          <w:sz w:val="22"/>
          <w:szCs w:val="22"/>
        </w:rPr>
        <w:t xml:space="preserve"> 18 de 2008, y</w:t>
      </w:r>
    </w:p>
    <w:p w14:paraId="2814E7AC" w14:textId="77777777" w:rsidR="005D7512" w:rsidRPr="005D7512" w:rsidRDefault="005D7512" w:rsidP="005D7512">
      <w:pPr>
        <w:jc w:val="center"/>
        <w:rPr>
          <w:rFonts w:ascii="Verdana" w:hAnsi="Verdana"/>
          <w:sz w:val="22"/>
          <w:szCs w:val="22"/>
        </w:rPr>
      </w:pPr>
      <w:r w:rsidRPr="005D7512">
        <w:rPr>
          <w:rFonts w:ascii="Verdana" w:hAnsi="Verdana"/>
          <w:b/>
          <w:bCs/>
          <w:sz w:val="22"/>
          <w:szCs w:val="22"/>
        </w:rPr>
        <w:t>CONSIDERANDO:</w:t>
      </w:r>
    </w:p>
    <w:p w14:paraId="45088B2C" w14:textId="77777777" w:rsidR="005D7512" w:rsidRPr="005D7512" w:rsidRDefault="005D7512" w:rsidP="005D7512">
      <w:pPr>
        <w:jc w:val="both"/>
        <w:rPr>
          <w:rFonts w:ascii="Verdana" w:hAnsi="Verdana"/>
          <w:sz w:val="22"/>
          <w:szCs w:val="22"/>
        </w:rPr>
      </w:pPr>
      <w:r w:rsidRPr="005D7512">
        <w:rPr>
          <w:rFonts w:ascii="Verdana" w:hAnsi="Verdana"/>
          <w:sz w:val="22"/>
          <w:szCs w:val="22"/>
        </w:rPr>
        <w:t>Que el Consejo Superior de Política Fiscal CONFIS, en su sesión del 20 de diciembre de 2011, autorizó para el ICBF una meta global de pagos para la vigencia fiscal 2012 por la suma de TRES BILLONES DOSCIENTOS TRES MIL OCHOCIENTOS CATORCE MILLONES TRESCIENTOS SESENTA Y SIETE MIL TRESCIENTOS DIECIOCHO PESOS M/L ($ 3.203.814.367.318.00), para atender los compromisos y obligaciones de las reservas presupuestales y cuentas por pagar constituidas con cargo al presupuesto de la vigencia 2011 y los que se deriven de la ejecución del presupuesto de la vigencia Fiscal de 2012.</w:t>
      </w:r>
    </w:p>
    <w:p w14:paraId="73D00114" w14:textId="75EF7824" w:rsidR="005D7512" w:rsidRPr="005D7512" w:rsidRDefault="005D7512" w:rsidP="005D7512">
      <w:pPr>
        <w:jc w:val="both"/>
        <w:rPr>
          <w:rFonts w:ascii="Verdana" w:hAnsi="Verdana"/>
          <w:sz w:val="22"/>
          <w:szCs w:val="22"/>
        </w:rPr>
      </w:pPr>
      <w:r w:rsidRPr="005D7512">
        <w:rPr>
          <w:rFonts w:ascii="Verdana" w:hAnsi="Verdana"/>
          <w:sz w:val="22"/>
          <w:szCs w:val="22"/>
        </w:rPr>
        <w:t>Que el Artículo 26 del Decreto No. 4730 del 28 de diciembre de 2005, “Por el cual se reglamentan normas orgánicas del presupuesto”, establece que “En caso de los Establecimientos Públicos con ingresos propios, corresponderá a las Juntas o Consejos Directivos aprobar el PAC y sus modificaciones, con base en las metas globales de pago aprobadas por el CONFIS, o por el representante legal en caso de no existir aquellas. Esta facultad se podrá delegar en el representante legal de cada entidad".</w:t>
      </w:r>
    </w:p>
    <w:p w14:paraId="0DC66444" w14:textId="76743A70" w:rsidR="005D7512" w:rsidRPr="005D7512" w:rsidRDefault="005D7512" w:rsidP="005D7512">
      <w:pPr>
        <w:jc w:val="both"/>
        <w:rPr>
          <w:rFonts w:ascii="Verdana" w:hAnsi="Verdana"/>
          <w:sz w:val="22"/>
          <w:szCs w:val="22"/>
        </w:rPr>
      </w:pPr>
      <w:r w:rsidRPr="005D7512">
        <w:rPr>
          <w:rFonts w:ascii="Verdana" w:hAnsi="Verdana"/>
          <w:sz w:val="22"/>
          <w:szCs w:val="22"/>
        </w:rPr>
        <w:t xml:space="preserve">Que el Consejo Directivo del ICBF en el artículo 1o del Acuerdo No. 003 del 18 de </w:t>
      </w:r>
      <w:proofErr w:type="gramStart"/>
      <w:r w:rsidRPr="005D7512">
        <w:rPr>
          <w:rFonts w:ascii="Verdana" w:hAnsi="Verdana"/>
          <w:sz w:val="22"/>
          <w:szCs w:val="22"/>
        </w:rPr>
        <w:t>Enero</w:t>
      </w:r>
      <w:proofErr w:type="gramEnd"/>
      <w:r w:rsidRPr="005D7512">
        <w:rPr>
          <w:rFonts w:ascii="Verdana" w:hAnsi="Verdana"/>
          <w:sz w:val="22"/>
          <w:szCs w:val="22"/>
        </w:rPr>
        <w:t xml:space="preserve"> de 2008, delegó en el </w:t>
      </w:r>
      <w:proofErr w:type="gramStart"/>
      <w:r w:rsidRPr="005D7512">
        <w:rPr>
          <w:rFonts w:ascii="Verdana" w:hAnsi="Verdana"/>
          <w:sz w:val="22"/>
          <w:szCs w:val="22"/>
        </w:rPr>
        <w:t>Director General</w:t>
      </w:r>
      <w:proofErr w:type="gramEnd"/>
      <w:r w:rsidRPr="005D7512">
        <w:rPr>
          <w:rFonts w:ascii="Verdana" w:hAnsi="Verdana"/>
          <w:sz w:val="22"/>
          <w:szCs w:val="22"/>
        </w:rPr>
        <w:t xml:space="preserve"> la facultad de asignar y </w:t>
      </w:r>
      <w:r w:rsidRPr="005D7512">
        <w:rPr>
          <w:rFonts w:ascii="Verdana" w:hAnsi="Verdana"/>
          <w:sz w:val="22"/>
          <w:szCs w:val="22"/>
        </w:rPr>
        <w:lastRenderedPageBreak/>
        <w:t>modificar el Programa Anual de Caja con base en la meta global de pagos autorizada en cada vigencia por el CONFIS para el ICBF.</w:t>
      </w:r>
    </w:p>
    <w:p w14:paraId="0F012BE5" w14:textId="77777777" w:rsidR="005D7512" w:rsidRPr="005D7512" w:rsidRDefault="005D7512" w:rsidP="005D7512">
      <w:pPr>
        <w:jc w:val="both"/>
        <w:rPr>
          <w:rFonts w:ascii="Verdana" w:hAnsi="Verdana"/>
          <w:sz w:val="22"/>
          <w:szCs w:val="22"/>
        </w:rPr>
      </w:pPr>
      <w:r w:rsidRPr="005D7512">
        <w:rPr>
          <w:rFonts w:ascii="Verdana" w:hAnsi="Verdana"/>
          <w:sz w:val="22"/>
          <w:szCs w:val="22"/>
        </w:rPr>
        <w:t xml:space="preserve">Que las Regionales y la Sede Nacional presentaron un ajuste a la programación de pagos para el mes de </w:t>
      </w:r>
      <w:proofErr w:type="gramStart"/>
      <w:r w:rsidRPr="005D7512">
        <w:rPr>
          <w:rFonts w:ascii="Verdana" w:hAnsi="Verdana"/>
          <w:sz w:val="22"/>
          <w:szCs w:val="22"/>
        </w:rPr>
        <w:t>Noviembre</w:t>
      </w:r>
      <w:proofErr w:type="gramEnd"/>
      <w:r w:rsidRPr="005D7512">
        <w:rPr>
          <w:rFonts w:ascii="Verdana" w:hAnsi="Verdana"/>
          <w:sz w:val="22"/>
          <w:szCs w:val="22"/>
        </w:rPr>
        <w:t>, que se derivan de la ejecución del Presupuesto de la Vigencia 2012.</w:t>
      </w:r>
    </w:p>
    <w:p w14:paraId="3AFDA398" w14:textId="77777777" w:rsidR="005D7512" w:rsidRPr="005D7512" w:rsidRDefault="005D7512" w:rsidP="005D7512">
      <w:pPr>
        <w:jc w:val="both"/>
        <w:rPr>
          <w:rFonts w:ascii="Verdana" w:hAnsi="Verdana"/>
          <w:sz w:val="22"/>
          <w:szCs w:val="22"/>
        </w:rPr>
      </w:pPr>
      <w:proofErr w:type="gramStart"/>
      <w:r w:rsidRPr="005D7512">
        <w:rPr>
          <w:rFonts w:ascii="Verdana" w:hAnsi="Verdana"/>
          <w:sz w:val="22"/>
          <w:szCs w:val="22"/>
        </w:rPr>
        <w:t>Que</w:t>
      </w:r>
      <w:proofErr w:type="gramEnd"/>
      <w:r w:rsidRPr="005D7512">
        <w:rPr>
          <w:rFonts w:ascii="Verdana" w:hAnsi="Verdana"/>
          <w:sz w:val="22"/>
          <w:szCs w:val="22"/>
        </w:rPr>
        <w:t xml:space="preserve"> con el fin de atender el ajuste a la programación mencionado en el considerando anterior, se hace necesario asignar, distribuir y mensualizar el Programa Anual de Caja.</w:t>
      </w:r>
    </w:p>
    <w:p w14:paraId="2F79C8EC" w14:textId="77777777" w:rsidR="005D7512" w:rsidRPr="005D7512" w:rsidRDefault="005D7512" w:rsidP="005D7512">
      <w:pPr>
        <w:jc w:val="both"/>
        <w:rPr>
          <w:rFonts w:ascii="Verdana" w:hAnsi="Verdana"/>
          <w:sz w:val="22"/>
          <w:szCs w:val="22"/>
        </w:rPr>
      </w:pPr>
      <w:r w:rsidRPr="005D7512">
        <w:rPr>
          <w:rFonts w:ascii="Verdana" w:hAnsi="Verdana"/>
          <w:sz w:val="22"/>
          <w:szCs w:val="22"/>
        </w:rPr>
        <w:t xml:space="preserve">Que en la Resolución No. 8073 del 30 de </w:t>
      </w:r>
      <w:proofErr w:type="gramStart"/>
      <w:r w:rsidRPr="005D7512">
        <w:rPr>
          <w:rFonts w:ascii="Verdana" w:hAnsi="Verdana"/>
          <w:sz w:val="22"/>
          <w:szCs w:val="22"/>
        </w:rPr>
        <w:t>Octubre</w:t>
      </w:r>
      <w:proofErr w:type="gramEnd"/>
      <w:r w:rsidRPr="005D7512">
        <w:rPr>
          <w:rFonts w:ascii="Verdana" w:hAnsi="Verdana"/>
          <w:sz w:val="22"/>
          <w:szCs w:val="22"/>
        </w:rPr>
        <w:t xml:space="preserve"> de 2012 quedó pendiente por distribuir y mensualizar de la meta global de pagos la suma de SETENTA MIL SEISCIENTOS DIECISIETE MILLONES NOVECIENTOS VEINTIOCHO MIL NOVECIENTOS NOVENTA Y CINCO PESOS CON OCHENTA Y CUATRO CENTAVOS M/L ($ 70.617.928.995.84.84) para atender la programación y reprogramación de PAC dentro de la presente vigencia fiscal.</w:t>
      </w:r>
    </w:p>
    <w:p w14:paraId="6E1DE33E" w14:textId="77777777" w:rsidR="005D7512" w:rsidRPr="005D7512" w:rsidRDefault="005D7512" w:rsidP="005D7512">
      <w:pPr>
        <w:jc w:val="both"/>
        <w:rPr>
          <w:rFonts w:ascii="Verdana" w:hAnsi="Verdana"/>
          <w:sz w:val="22"/>
          <w:szCs w:val="22"/>
        </w:rPr>
      </w:pPr>
      <w:proofErr w:type="gramStart"/>
      <w:r w:rsidRPr="005D7512">
        <w:rPr>
          <w:rFonts w:ascii="Verdana" w:hAnsi="Verdana"/>
          <w:sz w:val="22"/>
          <w:szCs w:val="22"/>
        </w:rPr>
        <w:t>Que</w:t>
      </w:r>
      <w:proofErr w:type="gramEnd"/>
      <w:r w:rsidRPr="005D7512">
        <w:rPr>
          <w:rFonts w:ascii="Verdana" w:hAnsi="Verdana"/>
          <w:sz w:val="22"/>
          <w:szCs w:val="22"/>
        </w:rPr>
        <w:t xml:space="preserve"> en mérito de lo expuesto,</w:t>
      </w:r>
    </w:p>
    <w:p w14:paraId="0BA3B5BE" w14:textId="77777777" w:rsidR="005D7512" w:rsidRPr="005D7512" w:rsidRDefault="005D7512" w:rsidP="005D7512">
      <w:pPr>
        <w:jc w:val="center"/>
        <w:rPr>
          <w:rFonts w:ascii="Verdana" w:hAnsi="Verdana"/>
          <w:sz w:val="22"/>
          <w:szCs w:val="22"/>
        </w:rPr>
      </w:pPr>
      <w:r w:rsidRPr="005D7512">
        <w:rPr>
          <w:rFonts w:ascii="Verdana" w:hAnsi="Verdana"/>
          <w:b/>
          <w:bCs/>
          <w:sz w:val="22"/>
          <w:szCs w:val="22"/>
        </w:rPr>
        <w:t>RESUELVE:</w:t>
      </w:r>
    </w:p>
    <w:p w14:paraId="227FE303" w14:textId="77777777" w:rsidR="005D7512" w:rsidRPr="005D7512" w:rsidRDefault="005D7512" w:rsidP="005D7512">
      <w:pPr>
        <w:jc w:val="both"/>
        <w:rPr>
          <w:rFonts w:ascii="Verdana" w:hAnsi="Verdana"/>
          <w:sz w:val="22"/>
          <w:szCs w:val="22"/>
        </w:rPr>
      </w:pPr>
      <w:bookmarkStart w:id="0" w:name="1"/>
      <w:r w:rsidRPr="005D7512">
        <w:rPr>
          <w:rFonts w:ascii="Verdana" w:hAnsi="Verdana"/>
          <w:b/>
          <w:bCs/>
          <w:sz w:val="22"/>
          <w:szCs w:val="22"/>
        </w:rPr>
        <w:t>ARTÍCULO PRIMERO.</w:t>
      </w:r>
      <w:bookmarkEnd w:id="0"/>
      <w:r w:rsidRPr="005D7512">
        <w:rPr>
          <w:rFonts w:ascii="Verdana" w:hAnsi="Verdana"/>
          <w:b/>
          <w:bCs/>
          <w:sz w:val="22"/>
          <w:szCs w:val="22"/>
        </w:rPr>
        <w:t> </w:t>
      </w:r>
      <w:r w:rsidRPr="005D7512">
        <w:rPr>
          <w:rFonts w:ascii="Verdana" w:hAnsi="Verdana"/>
          <w:sz w:val="22"/>
          <w:szCs w:val="22"/>
        </w:rPr>
        <w:t xml:space="preserve">Del saldo de la meta global de pagos que quedó por distribuir y mensualizar mediante Resolución No. 8073 del 30 de </w:t>
      </w:r>
      <w:proofErr w:type="gramStart"/>
      <w:r w:rsidRPr="005D7512">
        <w:rPr>
          <w:rFonts w:ascii="Verdana" w:hAnsi="Verdana"/>
          <w:sz w:val="22"/>
          <w:szCs w:val="22"/>
        </w:rPr>
        <w:t>Octubre</w:t>
      </w:r>
      <w:proofErr w:type="gramEnd"/>
      <w:r w:rsidRPr="005D7512">
        <w:rPr>
          <w:rFonts w:ascii="Verdana" w:hAnsi="Verdana"/>
          <w:sz w:val="22"/>
          <w:szCs w:val="22"/>
        </w:rPr>
        <w:t xml:space="preserve"> de 2012, se asigna y mensualiza la suma de SIETE MIL DOSCIENTOS VEINTITRES MILLONES QUINIENTOS SETENTA Y CUATRO MIL CIENTO CATORCE PESOS M/L ($ 7.223.574.114.00), de conformidad con el siguiente detalle:</w:t>
      </w:r>
    </w:p>
    <w:p w14:paraId="1F34AB48" w14:textId="77777777" w:rsidR="005D7512" w:rsidRPr="005D7512" w:rsidRDefault="005D7512" w:rsidP="005D7512">
      <w:pPr>
        <w:jc w:val="both"/>
        <w:rPr>
          <w:rFonts w:ascii="Verdana" w:hAnsi="Verdana"/>
          <w:sz w:val="22"/>
          <w:szCs w:val="22"/>
        </w:rPr>
      </w:pPr>
      <w:r w:rsidRPr="005D7512">
        <w:rPr>
          <w:rFonts w:ascii="Verdana" w:hAnsi="Verdana"/>
          <w:b/>
          <w:bCs/>
          <w:sz w:val="22"/>
          <w:szCs w:val="22"/>
        </w:rPr>
        <w:t>VIGENCIA</w:t>
      </w:r>
    </w:p>
    <w:p w14:paraId="429B9DAE" w14:textId="77777777" w:rsidR="005D7512" w:rsidRPr="005D7512" w:rsidRDefault="005D7512" w:rsidP="005D7512">
      <w:pPr>
        <w:jc w:val="both"/>
        <w:rPr>
          <w:rFonts w:ascii="Verdana" w:hAnsi="Verdana"/>
          <w:sz w:val="22"/>
          <w:szCs w:val="22"/>
        </w:rPr>
      </w:pPr>
      <w:r w:rsidRPr="005D7512">
        <w:rPr>
          <w:rFonts w:ascii="Verdana" w:hAnsi="Verdana"/>
          <w:b/>
          <w:bCs/>
          <w:sz w:val="22"/>
          <w:szCs w:val="22"/>
          <w:u w:val="single"/>
        </w:rPr>
        <w:t>GASTOS DE PERSONAL</w:t>
      </w:r>
    </w:p>
    <w:tbl>
      <w:tblPr>
        <w:tblW w:w="3550" w:type="pct"/>
        <w:tblCellSpacing w:w="15" w:type="dxa"/>
        <w:tblCellMar>
          <w:top w:w="15" w:type="dxa"/>
          <w:left w:w="15" w:type="dxa"/>
          <w:bottom w:w="15" w:type="dxa"/>
          <w:right w:w="15" w:type="dxa"/>
        </w:tblCellMar>
        <w:tblLook w:val="04A0" w:firstRow="1" w:lastRow="0" w:firstColumn="1" w:lastColumn="0" w:noHBand="0" w:noVBand="1"/>
      </w:tblPr>
      <w:tblGrid>
        <w:gridCol w:w="3880"/>
        <w:gridCol w:w="2395"/>
      </w:tblGrid>
      <w:tr w:rsidR="005D7512" w:rsidRPr="005D7512" w14:paraId="15483D9B" w14:textId="77777777">
        <w:trPr>
          <w:tblCellSpacing w:w="15" w:type="dxa"/>
        </w:trPr>
        <w:tc>
          <w:tcPr>
            <w:tcW w:w="3100" w:type="pct"/>
            <w:tcBorders>
              <w:top w:val="nil"/>
              <w:left w:val="nil"/>
              <w:bottom w:val="nil"/>
              <w:right w:val="nil"/>
            </w:tcBorders>
            <w:tcMar>
              <w:top w:w="0" w:type="dxa"/>
              <w:left w:w="0" w:type="dxa"/>
              <w:bottom w:w="0" w:type="dxa"/>
              <w:right w:w="0" w:type="dxa"/>
            </w:tcMar>
            <w:hideMark/>
          </w:tcPr>
          <w:p w14:paraId="66FD02B6" w14:textId="77777777" w:rsidR="005D7512" w:rsidRPr="005D7512" w:rsidRDefault="005D7512" w:rsidP="005D7512">
            <w:pPr>
              <w:jc w:val="both"/>
              <w:rPr>
                <w:rFonts w:ascii="Verdana" w:hAnsi="Verdana"/>
                <w:sz w:val="22"/>
                <w:szCs w:val="22"/>
              </w:rPr>
            </w:pPr>
            <w:r w:rsidRPr="005D7512">
              <w:rPr>
                <w:rFonts w:ascii="Verdana" w:hAnsi="Verdana"/>
                <w:b/>
                <w:bCs/>
                <w:sz w:val="22"/>
                <w:szCs w:val="22"/>
              </w:rPr>
              <w:t>NOVIEMBRE</w:t>
            </w:r>
          </w:p>
        </w:tc>
        <w:tc>
          <w:tcPr>
            <w:tcW w:w="1900" w:type="pct"/>
            <w:tcBorders>
              <w:top w:val="nil"/>
              <w:left w:val="nil"/>
              <w:bottom w:val="nil"/>
              <w:right w:val="nil"/>
            </w:tcBorders>
            <w:tcMar>
              <w:top w:w="0" w:type="dxa"/>
              <w:left w:w="0" w:type="dxa"/>
              <w:bottom w:w="0" w:type="dxa"/>
              <w:right w:w="0" w:type="dxa"/>
            </w:tcMar>
            <w:hideMark/>
          </w:tcPr>
          <w:p w14:paraId="135DEC8B" w14:textId="77777777" w:rsidR="005D7512" w:rsidRPr="005D7512" w:rsidRDefault="005D7512" w:rsidP="005D7512">
            <w:pPr>
              <w:jc w:val="both"/>
              <w:rPr>
                <w:rFonts w:ascii="Verdana" w:hAnsi="Verdana"/>
                <w:sz w:val="22"/>
                <w:szCs w:val="22"/>
              </w:rPr>
            </w:pPr>
            <w:r w:rsidRPr="005D7512">
              <w:rPr>
                <w:rFonts w:ascii="Verdana" w:hAnsi="Verdana"/>
                <w:b/>
                <w:bCs/>
                <w:sz w:val="22"/>
                <w:szCs w:val="22"/>
              </w:rPr>
              <w:t>3,724,718,576.00</w:t>
            </w:r>
          </w:p>
        </w:tc>
      </w:tr>
      <w:tr w:rsidR="005D7512" w:rsidRPr="005D7512" w14:paraId="4F95763A" w14:textId="77777777">
        <w:trPr>
          <w:tblCellSpacing w:w="15" w:type="dxa"/>
        </w:trPr>
        <w:tc>
          <w:tcPr>
            <w:tcW w:w="3100" w:type="pct"/>
            <w:tcBorders>
              <w:top w:val="nil"/>
              <w:left w:val="nil"/>
              <w:bottom w:val="nil"/>
              <w:right w:val="nil"/>
            </w:tcBorders>
            <w:tcMar>
              <w:top w:w="0" w:type="dxa"/>
              <w:left w:w="0" w:type="dxa"/>
              <w:bottom w:w="0" w:type="dxa"/>
              <w:right w:w="0" w:type="dxa"/>
            </w:tcMar>
            <w:hideMark/>
          </w:tcPr>
          <w:p w14:paraId="0F702420" w14:textId="77777777" w:rsidR="005D7512" w:rsidRPr="005D7512" w:rsidRDefault="005D7512" w:rsidP="005D7512">
            <w:pPr>
              <w:jc w:val="both"/>
              <w:rPr>
                <w:rFonts w:ascii="Verdana" w:hAnsi="Verdana"/>
                <w:sz w:val="22"/>
                <w:szCs w:val="22"/>
              </w:rPr>
            </w:pPr>
            <w:proofErr w:type="gramStart"/>
            <w:r w:rsidRPr="005D7512">
              <w:rPr>
                <w:rFonts w:ascii="Verdana" w:hAnsi="Verdana"/>
                <w:b/>
                <w:bCs/>
                <w:sz w:val="22"/>
                <w:szCs w:val="22"/>
              </w:rPr>
              <w:t>TOTAL</w:t>
            </w:r>
            <w:proofErr w:type="gramEnd"/>
            <w:r w:rsidRPr="005D7512">
              <w:rPr>
                <w:rFonts w:ascii="Verdana" w:hAnsi="Verdana"/>
                <w:b/>
                <w:bCs/>
                <w:sz w:val="22"/>
                <w:szCs w:val="22"/>
              </w:rPr>
              <w:t xml:space="preserve"> PAC VIGENCIA GASTOS DE PERSONAL</w:t>
            </w:r>
          </w:p>
        </w:tc>
        <w:tc>
          <w:tcPr>
            <w:tcW w:w="1900" w:type="pct"/>
            <w:tcBorders>
              <w:top w:val="nil"/>
              <w:left w:val="nil"/>
              <w:bottom w:val="nil"/>
              <w:right w:val="nil"/>
            </w:tcBorders>
            <w:tcMar>
              <w:top w:w="0" w:type="dxa"/>
              <w:left w:w="0" w:type="dxa"/>
              <w:bottom w:w="0" w:type="dxa"/>
              <w:right w:w="0" w:type="dxa"/>
            </w:tcMar>
            <w:hideMark/>
          </w:tcPr>
          <w:p w14:paraId="5C2697AC" w14:textId="77777777" w:rsidR="005D7512" w:rsidRPr="005D7512" w:rsidRDefault="005D7512" w:rsidP="005D7512">
            <w:pPr>
              <w:jc w:val="both"/>
              <w:rPr>
                <w:rFonts w:ascii="Verdana" w:hAnsi="Verdana"/>
                <w:sz w:val="22"/>
                <w:szCs w:val="22"/>
              </w:rPr>
            </w:pPr>
            <w:r w:rsidRPr="005D7512">
              <w:rPr>
                <w:rFonts w:ascii="Verdana" w:hAnsi="Verdana"/>
                <w:b/>
                <w:bCs/>
                <w:sz w:val="22"/>
                <w:szCs w:val="22"/>
              </w:rPr>
              <w:t>3,724,718,576.00</w:t>
            </w:r>
          </w:p>
        </w:tc>
      </w:tr>
    </w:tbl>
    <w:p w14:paraId="33E5799F" w14:textId="77777777" w:rsidR="005D7512" w:rsidRPr="005D7512" w:rsidRDefault="005D7512" w:rsidP="005D7512">
      <w:pPr>
        <w:jc w:val="both"/>
        <w:rPr>
          <w:rFonts w:ascii="Verdana" w:hAnsi="Verdana"/>
          <w:sz w:val="22"/>
          <w:szCs w:val="22"/>
        </w:rPr>
      </w:pPr>
      <w:r w:rsidRPr="005D7512">
        <w:rPr>
          <w:rFonts w:ascii="Verdana" w:hAnsi="Verdana"/>
          <w:b/>
          <w:bCs/>
          <w:sz w:val="22"/>
          <w:szCs w:val="22"/>
        </w:rPr>
        <w:t>TRANSFERENCIAS CORRIENTES</w:t>
      </w:r>
    </w:p>
    <w:tbl>
      <w:tblPr>
        <w:tblW w:w="3550" w:type="pct"/>
        <w:tblCellSpacing w:w="15" w:type="dxa"/>
        <w:tblCellMar>
          <w:top w:w="15" w:type="dxa"/>
          <w:left w:w="15" w:type="dxa"/>
          <w:bottom w:w="15" w:type="dxa"/>
          <w:right w:w="15" w:type="dxa"/>
        </w:tblCellMar>
        <w:tblLook w:val="04A0" w:firstRow="1" w:lastRow="0" w:firstColumn="1" w:lastColumn="0" w:noHBand="0" w:noVBand="1"/>
      </w:tblPr>
      <w:tblGrid>
        <w:gridCol w:w="3076"/>
        <w:gridCol w:w="3199"/>
      </w:tblGrid>
      <w:tr w:rsidR="005D7512" w:rsidRPr="005D7512" w14:paraId="57232D5E"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577877B" w14:textId="77777777" w:rsidR="005D7512" w:rsidRPr="005D7512" w:rsidRDefault="005D7512" w:rsidP="005D7512">
            <w:pPr>
              <w:jc w:val="both"/>
              <w:rPr>
                <w:rFonts w:ascii="Verdana" w:hAnsi="Verdana"/>
                <w:sz w:val="22"/>
                <w:szCs w:val="22"/>
              </w:rPr>
            </w:pPr>
            <w:r w:rsidRPr="005D7512">
              <w:rPr>
                <w:rFonts w:ascii="Verdana" w:hAnsi="Verdana"/>
                <w:b/>
                <w:bCs/>
                <w:sz w:val="22"/>
                <w:szCs w:val="22"/>
              </w:rPr>
              <w:t>NOVIEMBRE</w:t>
            </w:r>
          </w:p>
        </w:tc>
        <w:tc>
          <w:tcPr>
            <w:tcW w:w="2550" w:type="pct"/>
            <w:tcBorders>
              <w:top w:val="nil"/>
              <w:left w:val="nil"/>
              <w:bottom w:val="nil"/>
              <w:right w:val="nil"/>
            </w:tcBorders>
            <w:tcMar>
              <w:top w:w="0" w:type="dxa"/>
              <w:left w:w="0" w:type="dxa"/>
              <w:bottom w:w="0" w:type="dxa"/>
              <w:right w:w="0" w:type="dxa"/>
            </w:tcMar>
            <w:hideMark/>
          </w:tcPr>
          <w:p w14:paraId="55952E6F" w14:textId="77777777" w:rsidR="005D7512" w:rsidRPr="005D7512" w:rsidRDefault="005D7512" w:rsidP="005D7512">
            <w:pPr>
              <w:jc w:val="both"/>
              <w:rPr>
                <w:rFonts w:ascii="Verdana" w:hAnsi="Verdana"/>
                <w:sz w:val="22"/>
                <w:szCs w:val="22"/>
              </w:rPr>
            </w:pPr>
            <w:r w:rsidRPr="005D7512">
              <w:rPr>
                <w:rFonts w:ascii="Verdana" w:hAnsi="Verdana"/>
                <w:b/>
                <w:bCs/>
                <w:sz w:val="22"/>
                <w:szCs w:val="22"/>
              </w:rPr>
              <w:t>3,498,855,538.00</w:t>
            </w:r>
          </w:p>
        </w:tc>
      </w:tr>
      <w:tr w:rsidR="005D7512" w:rsidRPr="005D7512" w14:paraId="0697F986"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7B904F34" w14:textId="77777777" w:rsidR="005D7512" w:rsidRPr="005D7512" w:rsidRDefault="005D7512" w:rsidP="005D7512">
            <w:pPr>
              <w:jc w:val="both"/>
              <w:rPr>
                <w:rFonts w:ascii="Verdana" w:hAnsi="Verdana"/>
                <w:sz w:val="22"/>
                <w:szCs w:val="22"/>
              </w:rPr>
            </w:pPr>
            <w:proofErr w:type="gramStart"/>
            <w:r w:rsidRPr="005D7512">
              <w:rPr>
                <w:rFonts w:ascii="Verdana" w:hAnsi="Verdana"/>
                <w:b/>
                <w:bCs/>
                <w:sz w:val="22"/>
                <w:szCs w:val="22"/>
              </w:rPr>
              <w:t>TOTAL</w:t>
            </w:r>
            <w:proofErr w:type="gramEnd"/>
            <w:r w:rsidRPr="005D7512">
              <w:rPr>
                <w:rFonts w:ascii="Verdana" w:hAnsi="Verdana"/>
                <w:b/>
                <w:bCs/>
                <w:sz w:val="22"/>
                <w:szCs w:val="22"/>
              </w:rPr>
              <w:t xml:space="preserve"> PAC VIGENCIA TRANSFERENCIAS CORRIENTES</w:t>
            </w:r>
          </w:p>
        </w:tc>
        <w:tc>
          <w:tcPr>
            <w:tcW w:w="2550" w:type="pct"/>
            <w:tcBorders>
              <w:top w:val="nil"/>
              <w:left w:val="nil"/>
              <w:bottom w:val="nil"/>
              <w:right w:val="nil"/>
            </w:tcBorders>
            <w:tcMar>
              <w:top w:w="0" w:type="dxa"/>
              <w:left w:w="0" w:type="dxa"/>
              <w:bottom w:w="0" w:type="dxa"/>
              <w:right w:w="0" w:type="dxa"/>
            </w:tcMar>
            <w:hideMark/>
          </w:tcPr>
          <w:p w14:paraId="6A3B78D9" w14:textId="77777777" w:rsidR="005D7512" w:rsidRPr="005D7512" w:rsidRDefault="005D7512" w:rsidP="005D7512">
            <w:pPr>
              <w:jc w:val="both"/>
              <w:rPr>
                <w:rFonts w:ascii="Verdana" w:hAnsi="Verdana"/>
                <w:sz w:val="22"/>
                <w:szCs w:val="22"/>
              </w:rPr>
            </w:pPr>
            <w:r w:rsidRPr="005D7512">
              <w:rPr>
                <w:rFonts w:ascii="Verdana" w:hAnsi="Verdana"/>
                <w:b/>
                <w:bCs/>
                <w:sz w:val="22"/>
                <w:szCs w:val="22"/>
              </w:rPr>
              <w:t>3,498,855,538.00</w:t>
            </w:r>
          </w:p>
        </w:tc>
      </w:tr>
      <w:tr w:rsidR="005D7512" w:rsidRPr="005D7512" w14:paraId="0CF354AB" w14:textId="77777777">
        <w:trPr>
          <w:tblCellSpacing w:w="15" w:type="dxa"/>
        </w:trPr>
        <w:tc>
          <w:tcPr>
            <w:tcW w:w="2450" w:type="pct"/>
            <w:tcBorders>
              <w:top w:val="nil"/>
              <w:left w:val="nil"/>
              <w:bottom w:val="nil"/>
              <w:right w:val="nil"/>
            </w:tcBorders>
            <w:tcMar>
              <w:top w:w="0" w:type="dxa"/>
              <w:left w:w="0" w:type="dxa"/>
              <w:bottom w:w="0" w:type="dxa"/>
              <w:right w:w="0" w:type="dxa"/>
            </w:tcMar>
            <w:hideMark/>
          </w:tcPr>
          <w:p w14:paraId="0F4C313F" w14:textId="77777777" w:rsidR="005D7512" w:rsidRPr="005D7512" w:rsidRDefault="005D7512" w:rsidP="005D7512">
            <w:pPr>
              <w:jc w:val="both"/>
              <w:rPr>
                <w:rFonts w:ascii="Verdana" w:hAnsi="Verdana"/>
                <w:sz w:val="22"/>
                <w:szCs w:val="22"/>
              </w:rPr>
            </w:pPr>
            <w:proofErr w:type="gramStart"/>
            <w:r w:rsidRPr="005D7512">
              <w:rPr>
                <w:rFonts w:ascii="Verdana" w:hAnsi="Verdana"/>
                <w:b/>
                <w:bCs/>
                <w:sz w:val="22"/>
                <w:szCs w:val="22"/>
              </w:rPr>
              <w:t>TOTAL</w:t>
            </w:r>
            <w:proofErr w:type="gramEnd"/>
            <w:r w:rsidRPr="005D7512">
              <w:rPr>
                <w:rFonts w:ascii="Verdana" w:hAnsi="Verdana"/>
                <w:b/>
                <w:bCs/>
                <w:sz w:val="22"/>
                <w:szCs w:val="22"/>
              </w:rPr>
              <w:t xml:space="preserve"> PAC VIGENCIA</w:t>
            </w:r>
            <w:r w:rsidRPr="005D7512">
              <w:rPr>
                <w:rFonts w:ascii="Verdana" w:hAnsi="Verdana"/>
                <w:b/>
                <w:bCs/>
                <w:sz w:val="22"/>
                <w:szCs w:val="22"/>
              </w:rPr>
              <w:br/>
            </w:r>
          </w:p>
        </w:tc>
        <w:tc>
          <w:tcPr>
            <w:tcW w:w="2550" w:type="pct"/>
            <w:tcBorders>
              <w:top w:val="nil"/>
              <w:left w:val="nil"/>
              <w:bottom w:val="nil"/>
              <w:right w:val="nil"/>
            </w:tcBorders>
            <w:tcMar>
              <w:top w:w="0" w:type="dxa"/>
              <w:left w:w="0" w:type="dxa"/>
              <w:bottom w:w="0" w:type="dxa"/>
              <w:right w:w="0" w:type="dxa"/>
            </w:tcMar>
            <w:hideMark/>
          </w:tcPr>
          <w:p w14:paraId="7909EDC3" w14:textId="77777777" w:rsidR="005D7512" w:rsidRPr="005D7512" w:rsidRDefault="005D7512" w:rsidP="005D7512">
            <w:pPr>
              <w:jc w:val="both"/>
              <w:rPr>
                <w:rFonts w:ascii="Verdana" w:hAnsi="Verdana"/>
                <w:sz w:val="22"/>
                <w:szCs w:val="22"/>
              </w:rPr>
            </w:pPr>
            <w:r w:rsidRPr="005D7512">
              <w:rPr>
                <w:rFonts w:ascii="Verdana" w:hAnsi="Verdana"/>
                <w:b/>
                <w:bCs/>
                <w:sz w:val="22"/>
                <w:szCs w:val="22"/>
              </w:rPr>
              <w:t>7,223,574,114.00</w:t>
            </w:r>
            <w:r w:rsidRPr="005D7512">
              <w:rPr>
                <w:rFonts w:ascii="Verdana" w:hAnsi="Verdana"/>
                <w:b/>
                <w:bCs/>
                <w:sz w:val="22"/>
                <w:szCs w:val="22"/>
              </w:rPr>
              <w:br/>
            </w:r>
          </w:p>
        </w:tc>
      </w:tr>
    </w:tbl>
    <w:p w14:paraId="6E03DD4A" w14:textId="77777777" w:rsidR="005D7512" w:rsidRPr="005D7512" w:rsidRDefault="005D7512" w:rsidP="005D7512">
      <w:pPr>
        <w:jc w:val="both"/>
        <w:rPr>
          <w:rFonts w:ascii="Verdana" w:hAnsi="Verdana"/>
          <w:sz w:val="22"/>
          <w:szCs w:val="22"/>
        </w:rPr>
      </w:pPr>
      <w:bookmarkStart w:id="1" w:name="2"/>
      <w:r w:rsidRPr="005D7512">
        <w:rPr>
          <w:rFonts w:ascii="Verdana" w:hAnsi="Verdana"/>
          <w:b/>
          <w:bCs/>
          <w:sz w:val="22"/>
          <w:szCs w:val="22"/>
        </w:rPr>
        <w:t>ARTÍCULO SEGUNDO.</w:t>
      </w:r>
      <w:bookmarkEnd w:id="1"/>
      <w:r w:rsidRPr="005D7512">
        <w:rPr>
          <w:rFonts w:ascii="Verdana" w:hAnsi="Verdana"/>
          <w:b/>
          <w:bCs/>
          <w:sz w:val="22"/>
          <w:szCs w:val="22"/>
        </w:rPr>
        <w:t> </w:t>
      </w:r>
      <w:r w:rsidRPr="005D7512">
        <w:rPr>
          <w:rFonts w:ascii="Verdana" w:hAnsi="Verdana"/>
          <w:sz w:val="22"/>
          <w:szCs w:val="22"/>
        </w:rPr>
        <w:t xml:space="preserve">Del total de la meta global de pagos queda pendiente por asignar, distribuir y mensualizar la suma de SESENTA Y TRES MIL </w:t>
      </w:r>
      <w:r w:rsidRPr="005D7512">
        <w:rPr>
          <w:rFonts w:ascii="Verdana" w:hAnsi="Verdana"/>
          <w:sz w:val="22"/>
          <w:szCs w:val="22"/>
        </w:rPr>
        <w:lastRenderedPageBreak/>
        <w:t>TRESCIENTOS NOVENTA Y CUATRO MILLONES TRESCIENTOS CINCUENTRA Y CUATRO MIL OCHOCIENTOS OCHENTA Y UN PESOS CON OCHENTA Y CUATRO CENTAVOS M/L ($ 63.394.354.881.84) para atender la programación y reprogramación de PAC dentro de la presente vigencia fiscal.</w:t>
      </w:r>
    </w:p>
    <w:p w14:paraId="254D506D" w14:textId="77777777" w:rsidR="005D7512" w:rsidRPr="005D7512" w:rsidRDefault="005D7512" w:rsidP="005D7512">
      <w:pPr>
        <w:jc w:val="both"/>
        <w:rPr>
          <w:rFonts w:ascii="Verdana" w:hAnsi="Verdana"/>
          <w:sz w:val="22"/>
          <w:szCs w:val="22"/>
        </w:rPr>
      </w:pPr>
      <w:bookmarkStart w:id="2" w:name="3"/>
      <w:r w:rsidRPr="005D7512">
        <w:rPr>
          <w:rFonts w:ascii="Verdana" w:hAnsi="Verdana"/>
          <w:b/>
          <w:bCs/>
          <w:sz w:val="22"/>
          <w:szCs w:val="22"/>
        </w:rPr>
        <w:t>ARTÍCULO TERCERO.</w:t>
      </w:r>
      <w:bookmarkEnd w:id="2"/>
      <w:r w:rsidRPr="005D7512">
        <w:rPr>
          <w:rFonts w:ascii="Verdana" w:hAnsi="Verdana"/>
          <w:b/>
          <w:bCs/>
          <w:sz w:val="22"/>
          <w:szCs w:val="22"/>
        </w:rPr>
        <w:t> </w:t>
      </w:r>
      <w:r w:rsidRPr="005D7512">
        <w:rPr>
          <w:rFonts w:ascii="Verdana" w:hAnsi="Verdana"/>
          <w:sz w:val="22"/>
          <w:szCs w:val="22"/>
        </w:rPr>
        <w:t>La presente Resolución rige a partir de la fecha de su expedición.</w:t>
      </w:r>
    </w:p>
    <w:p w14:paraId="221338D8" w14:textId="77777777" w:rsidR="005D7512" w:rsidRPr="005D7512" w:rsidRDefault="005D7512" w:rsidP="005D7512">
      <w:pPr>
        <w:jc w:val="center"/>
        <w:rPr>
          <w:rFonts w:ascii="Verdana" w:hAnsi="Verdana"/>
          <w:b/>
          <w:bCs/>
          <w:sz w:val="22"/>
          <w:szCs w:val="22"/>
        </w:rPr>
      </w:pPr>
      <w:r w:rsidRPr="005D7512">
        <w:rPr>
          <w:rFonts w:ascii="Verdana" w:hAnsi="Verdana"/>
          <w:b/>
          <w:bCs/>
          <w:sz w:val="22"/>
          <w:szCs w:val="22"/>
        </w:rPr>
        <w:t>COMUNIQUESE Y CUMPLASE</w:t>
      </w:r>
    </w:p>
    <w:p w14:paraId="567888BD" w14:textId="77777777" w:rsidR="005D7512" w:rsidRPr="005D7512" w:rsidRDefault="005D7512" w:rsidP="005D7512">
      <w:pPr>
        <w:jc w:val="center"/>
        <w:rPr>
          <w:rFonts w:ascii="Verdana" w:hAnsi="Verdana"/>
          <w:sz w:val="22"/>
          <w:szCs w:val="22"/>
        </w:rPr>
      </w:pPr>
      <w:r w:rsidRPr="005D7512">
        <w:rPr>
          <w:rFonts w:ascii="Verdana" w:hAnsi="Verdana"/>
          <w:sz w:val="22"/>
          <w:szCs w:val="22"/>
        </w:rPr>
        <w:t>Dada en Bogotá, D. C. A los 21 NOV. 2012</w:t>
      </w:r>
    </w:p>
    <w:p w14:paraId="6922A56E" w14:textId="77777777" w:rsidR="005D7512" w:rsidRPr="005D7512" w:rsidRDefault="005D7512" w:rsidP="005D7512">
      <w:pPr>
        <w:jc w:val="center"/>
        <w:rPr>
          <w:rFonts w:ascii="Verdana" w:hAnsi="Verdana"/>
          <w:sz w:val="22"/>
          <w:szCs w:val="22"/>
        </w:rPr>
      </w:pPr>
      <w:r w:rsidRPr="005D7512">
        <w:rPr>
          <w:rFonts w:ascii="Verdana" w:hAnsi="Verdana"/>
          <w:b/>
          <w:bCs/>
          <w:sz w:val="22"/>
          <w:szCs w:val="22"/>
        </w:rPr>
        <w:t>DIEGO ANDRÉS MOLANO APONTE</w:t>
      </w:r>
    </w:p>
    <w:p w14:paraId="713166F1" w14:textId="77777777" w:rsidR="005D7512" w:rsidRPr="005D7512" w:rsidRDefault="005D7512" w:rsidP="005D7512">
      <w:pPr>
        <w:jc w:val="center"/>
        <w:rPr>
          <w:rFonts w:ascii="Verdana" w:hAnsi="Verdana"/>
          <w:sz w:val="22"/>
          <w:szCs w:val="22"/>
        </w:rPr>
      </w:pPr>
      <w:r w:rsidRPr="005D7512">
        <w:rPr>
          <w:rFonts w:ascii="Verdana" w:hAnsi="Verdana"/>
          <w:sz w:val="22"/>
          <w:szCs w:val="22"/>
        </w:rPr>
        <w:t>Director General</w:t>
      </w:r>
    </w:p>
    <w:p w14:paraId="27270A31" w14:textId="77777777" w:rsidR="005D7512" w:rsidRPr="005D7512" w:rsidRDefault="005D7512" w:rsidP="005D7512">
      <w:pPr>
        <w:jc w:val="both"/>
        <w:rPr>
          <w:rFonts w:ascii="Verdana" w:hAnsi="Verdana"/>
          <w:sz w:val="22"/>
          <w:szCs w:val="22"/>
        </w:rPr>
      </w:pPr>
    </w:p>
    <w:sectPr w:rsidR="005D7512" w:rsidRPr="005D75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C047E" w14:textId="77777777" w:rsidR="00403941" w:rsidRDefault="00403941" w:rsidP="004975DF">
      <w:pPr>
        <w:spacing w:after="0" w:line="240" w:lineRule="auto"/>
      </w:pPr>
      <w:r>
        <w:separator/>
      </w:r>
    </w:p>
  </w:endnote>
  <w:endnote w:type="continuationSeparator" w:id="0">
    <w:p w14:paraId="1B96CD30" w14:textId="77777777" w:rsidR="00403941" w:rsidRDefault="00403941" w:rsidP="0049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411E" w14:textId="77777777" w:rsidR="00403941" w:rsidRDefault="00403941" w:rsidP="004975DF">
      <w:pPr>
        <w:spacing w:after="0" w:line="240" w:lineRule="auto"/>
      </w:pPr>
      <w:r>
        <w:separator/>
      </w:r>
    </w:p>
  </w:footnote>
  <w:footnote w:type="continuationSeparator" w:id="0">
    <w:p w14:paraId="2DB64145" w14:textId="77777777" w:rsidR="00403941" w:rsidRDefault="00403941" w:rsidP="004975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14A82"/>
    <w:rsid w:val="00046CB4"/>
    <w:rsid w:val="00050F65"/>
    <w:rsid w:val="000A6B62"/>
    <w:rsid w:val="000F55B9"/>
    <w:rsid w:val="001033E7"/>
    <w:rsid w:val="00112117"/>
    <w:rsid w:val="00172B4A"/>
    <w:rsid w:val="001805CD"/>
    <w:rsid w:val="001F5F2F"/>
    <w:rsid w:val="002417F4"/>
    <w:rsid w:val="0026255C"/>
    <w:rsid w:val="00270179"/>
    <w:rsid w:val="00281F44"/>
    <w:rsid w:val="002B6543"/>
    <w:rsid w:val="002C446A"/>
    <w:rsid w:val="003518CB"/>
    <w:rsid w:val="00387EE9"/>
    <w:rsid w:val="003F5B79"/>
    <w:rsid w:val="00403941"/>
    <w:rsid w:val="00411CB4"/>
    <w:rsid w:val="00421F4C"/>
    <w:rsid w:val="004529C5"/>
    <w:rsid w:val="004931F0"/>
    <w:rsid w:val="004975DF"/>
    <w:rsid w:val="004B0C44"/>
    <w:rsid w:val="00536063"/>
    <w:rsid w:val="0054386A"/>
    <w:rsid w:val="00555E91"/>
    <w:rsid w:val="00575C56"/>
    <w:rsid w:val="005956EB"/>
    <w:rsid w:val="005A7703"/>
    <w:rsid w:val="005D7512"/>
    <w:rsid w:val="005E167A"/>
    <w:rsid w:val="005F0BAB"/>
    <w:rsid w:val="00682E2C"/>
    <w:rsid w:val="0069399C"/>
    <w:rsid w:val="006C6703"/>
    <w:rsid w:val="00747F38"/>
    <w:rsid w:val="00794C8B"/>
    <w:rsid w:val="007C7053"/>
    <w:rsid w:val="007E46F5"/>
    <w:rsid w:val="007E4A25"/>
    <w:rsid w:val="007F184D"/>
    <w:rsid w:val="00802E83"/>
    <w:rsid w:val="00833428"/>
    <w:rsid w:val="00845AFC"/>
    <w:rsid w:val="00875E76"/>
    <w:rsid w:val="008E4B62"/>
    <w:rsid w:val="00953C3B"/>
    <w:rsid w:val="009B64BC"/>
    <w:rsid w:val="009D207A"/>
    <w:rsid w:val="00A17D9C"/>
    <w:rsid w:val="00A42548"/>
    <w:rsid w:val="00A90642"/>
    <w:rsid w:val="00A95792"/>
    <w:rsid w:val="00B050D3"/>
    <w:rsid w:val="00B8362C"/>
    <w:rsid w:val="00B85A8A"/>
    <w:rsid w:val="00BB2E1F"/>
    <w:rsid w:val="00C06159"/>
    <w:rsid w:val="00C40B9F"/>
    <w:rsid w:val="00C83F29"/>
    <w:rsid w:val="00CA209C"/>
    <w:rsid w:val="00CC5ED5"/>
    <w:rsid w:val="00CC7570"/>
    <w:rsid w:val="00D71035"/>
    <w:rsid w:val="00D72857"/>
    <w:rsid w:val="00D7759C"/>
    <w:rsid w:val="00E40598"/>
    <w:rsid w:val="00E746C5"/>
    <w:rsid w:val="00E93D02"/>
    <w:rsid w:val="00EC48D6"/>
    <w:rsid w:val="00ED11A9"/>
    <w:rsid w:val="00F521D7"/>
    <w:rsid w:val="00F52701"/>
    <w:rsid w:val="00F827EB"/>
    <w:rsid w:val="00FA79D4"/>
    <w:rsid w:val="00FC4ACB"/>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5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75DF"/>
  </w:style>
  <w:style w:type="paragraph" w:styleId="Piedepgina">
    <w:name w:val="footer"/>
    <w:basedOn w:val="Normal"/>
    <w:link w:val="PiedepginaCar"/>
    <w:uiPriority w:val="99"/>
    <w:unhideWhenUsed/>
    <w:rsid w:val="004975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75DF"/>
  </w:style>
  <w:style w:type="paragraph" w:styleId="Sinespaciado">
    <w:name w:val="No Spacing"/>
    <w:uiPriority w:val="1"/>
    <w:qFormat/>
    <w:rsid w:val="008334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5295F-EE10-4969-B22A-5248055450C2}"/>
</file>

<file path=customXml/itemProps2.xml><?xml version="1.0" encoding="utf-8"?>
<ds:datastoreItem xmlns:ds="http://schemas.openxmlformats.org/officeDocument/2006/customXml" ds:itemID="{959F8963-8AE7-4F1B-A39E-E2E3BC73E57B}"/>
</file>

<file path=customXml/itemProps3.xml><?xml version="1.0" encoding="utf-8"?>
<ds:datastoreItem xmlns:ds="http://schemas.openxmlformats.org/officeDocument/2006/customXml" ds:itemID="{ADC76F81-B755-4244-83E8-465842DC4685}"/>
</file>

<file path=docProps/app.xml><?xml version="1.0" encoding="utf-8"?>
<Properties xmlns="http://schemas.openxmlformats.org/officeDocument/2006/extended-properties" xmlns:vt="http://schemas.openxmlformats.org/officeDocument/2006/docPropsVTypes">
  <Template>Normal</Template>
  <TotalTime>6</TotalTime>
  <Pages>3</Pages>
  <Words>653</Words>
  <Characters>3508</Characters>
  <Application>Microsoft Office Word</Application>
  <DocSecurity>0</DocSecurity>
  <Lines>76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2026-01-16T15:24:00Z</dcterms:created>
  <dcterms:modified xsi:type="dcterms:W3CDTF">2026-01-16T15:24:00Z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