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060E" w14:textId="77777777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  <w:b/>
          <w:bCs/>
        </w:rPr>
        <w:t>RESOLUCIÓN 888 DE 2004</w:t>
      </w:r>
    </w:p>
    <w:p w14:paraId="0650E40F" w14:textId="77777777" w:rsidR="005261A8" w:rsidRPr="005261A8" w:rsidRDefault="005261A8" w:rsidP="005261A8">
      <w:pPr>
        <w:pStyle w:val="Sinespaciado"/>
        <w:rPr>
          <w:rFonts w:ascii="Verdana" w:hAnsi="Verdana"/>
          <w:sz w:val="20"/>
          <w:szCs w:val="20"/>
        </w:rPr>
      </w:pPr>
      <w:r w:rsidRPr="005261A8">
        <w:rPr>
          <w:rFonts w:ascii="Verdana" w:hAnsi="Verdana"/>
          <w:sz w:val="20"/>
          <w:szCs w:val="20"/>
        </w:rPr>
        <w:t>Fecha de Expedición: 26 de abril de 2004</w:t>
      </w:r>
    </w:p>
    <w:p w14:paraId="6849BFA8" w14:textId="77777777" w:rsidR="005261A8" w:rsidRPr="005261A8" w:rsidRDefault="005261A8" w:rsidP="005261A8">
      <w:pPr>
        <w:pStyle w:val="Sinespaciado"/>
        <w:rPr>
          <w:rFonts w:ascii="Verdana" w:hAnsi="Verdana"/>
          <w:sz w:val="20"/>
          <w:szCs w:val="20"/>
        </w:rPr>
      </w:pPr>
      <w:r w:rsidRPr="005261A8">
        <w:rPr>
          <w:rFonts w:ascii="Verdana" w:hAnsi="Verdana"/>
          <w:sz w:val="20"/>
          <w:szCs w:val="20"/>
        </w:rPr>
        <w:t>Fecha de entrada en vigencia: 26 de abril de 2004</w:t>
      </w:r>
    </w:p>
    <w:p w14:paraId="60528E57" w14:textId="503F7B66" w:rsidR="005261A8" w:rsidRDefault="005261A8" w:rsidP="005261A8">
      <w:pPr>
        <w:pStyle w:val="Sinespaciado"/>
        <w:rPr>
          <w:rFonts w:ascii="Verdana" w:hAnsi="Verdana"/>
          <w:sz w:val="20"/>
          <w:szCs w:val="20"/>
        </w:rPr>
      </w:pPr>
      <w:r w:rsidRPr="005261A8">
        <w:rPr>
          <w:rFonts w:ascii="Verdana" w:hAnsi="Verdana"/>
          <w:sz w:val="20"/>
          <w:szCs w:val="20"/>
        </w:rPr>
        <w:t>Estado de la vigencia: derogada por el artículo 20 de la Resolución 2859 de 2013</w:t>
      </w:r>
      <w:r w:rsidRPr="005261A8">
        <w:rPr>
          <w:rFonts w:ascii="Verdana" w:hAnsi="Verdana"/>
          <w:sz w:val="20"/>
          <w:szCs w:val="20"/>
        </w:rPr>
        <w:tab/>
      </w:r>
    </w:p>
    <w:p w14:paraId="517CF4F9" w14:textId="77777777" w:rsidR="005261A8" w:rsidRDefault="005261A8" w:rsidP="005261A8">
      <w:pPr>
        <w:pStyle w:val="Sinespaciado"/>
        <w:rPr>
          <w:rFonts w:ascii="Verdana" w:hAnsi="Verdana"/>
          <w:sz w:val="20"/>
          <w:szCs w:val="20"/>
        </w:rPr>
      </w:pPr>
    </w:p>
    <w:p w14:paraId="5473E28F" w14:textId="5A2B7D90" w:rsidR="005261A8" w:rsidRPr="005261A8" w:rsidRDefault="005261A8" w:rsidP="005261A8">
      <w:pPr>
        <w:pStyle w:val="Sinespaciado"/>
        <w:rPr>
          <w:rFonts w:ascii="Verdana" w:hAnsi="Verdana"/>
          <w:sz w:val="20"/>
          <w:szCs w:val="20"/>
        </w:rPr>
      </w:pPr>
      <w:r w:rsidRPr="005261A8">
        <w:rPr>
          <w:rFonts w:ascii="Verdana" w:hAnsi="Verdana"/>
          <w:sz w:val="20"/>
          <w:szCs w:val="20"/>
        </w:rPr>
        <w:t>Fecha de publicación en Diario Oficial: N/A</w:t>
      </w:r>
    </w:p>
    <w:p w14:paraId="30D2A530" w14:textId="7CC77677" w:rsidR="005261A8" w:rsidRDefault="005261A8" w:rsidP="005261A8">
      <w:pPr>
        <w:pStyle w:val="Sinespaciado"/>
        <w:rPr>
          <w:rFonts w:ascii="Verdana" w:hAnsi="Verdana"/>
          <w:sz w:val="20"/>
          <w:szCs w:val="20"/>
        </w:rPr>
      </w:pPr>
      <w:r w:rsidRPr="005261A8">
        <w:rPr>
          <w:rFonts w:ascii="Verdana" w:hAnsi="Verdana"/>
          <w:sz w:val="20"/>
          <w:szCs w:val="20"/>
        </w:rPr>
        <w:t>Número del Diario Oficial: N/A</w:t>
      </w:r>
    </w:p>
    <w:p w14:paraId="4D32A073" w14:textId="47A8703C" w:rsidR="005261A8" w:rsidRPr="005261A8" w:rsidRDefault="005261A8" w:rsidP="005261A8">
      <w:pPr>
        <w:pStyle w:val="Sinespaciado"/>
        <w:rPr>
          <w:rFonts w:ascii="Verdana" w:hAnsi="Verdana"/>
          <w:sz w:val="20"/>
          <w:szCs w:val="20"/>
        </w:rPr>
      </w:pPr>
    </w:p>
    <w:p w14:paraId="4F0550EB" w14:textId="3941EA9F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  <w:b/>
          <w:bCs/>
        </w:rPr>
        <w:t>RESOLUCIÓN 888 DE 2004</w:t>
      </w:r>
    </w:p>
    <w:p w14:paraId="19FE215D" w14:textId="1C2214A7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</w:rPr>
        <w:t xml:space="preserve">(26 </w:t>
      </w:r>
      <w:r>
        <w:rPr>
          <w:rFonts w:ascii="Verdana" w:hAnsi="Verdana"/>
        </w:rPr>
        <w:t xml:space="preserve">de </w:t>
      </w:r>
      <w:r w:rsidRPr="00B76704">
        <w:rPr>
          <w:rFonts w:ascii="Verdana" w:hAnsi="Verdana"/>
        </w:rPr>
        <w:t>abril)</w:t>
      </w:r>
    </w:p>
    <w:p w14:paraId="47572360" w14:textId="77777777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  <w:b/>
          <w:bCs/>
        </w:rPr>
        <w:t>INSTITUTO COLOMBIANO DE BIENESTAR FAMILIAR – ICBF</w:t>
      </w:r>
    </w:p>
    <w:p w14:paraId="1A76F54A" w14:textId="66FA1CD0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</w:rPr>
        <w:t>“Por la cual se modifica la Resolución 2622 de diciembre 19 de 2003”</w:t>
      </w:r>
    </w:p>
    <w:p w14:paraId="070BD77E" w14:textId="77777777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  <w:b/>
          <w:bCs/>
        </w:rPr>
        <w:t>LA DIRECTORA GENERAL DEL INSTITUTO COLOMBIANO DE BIENESTAR</w:t>
      </w:r>
    </w:p>
    <w:p w14:paraId="6C56A828" w14:textId="77777777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  <w:b/>
          <w:bCs/>
        </w:rPr>
        <w:t>FAMILIAR</w:t>
      </w:r>
    </w:p>
    <w:p w14:paraId="537DE6E3" w14:textId="77777777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</w:rPr>
        <w:t>En uso de sus facultades legales y estatutarias</w:t>
      </w:r>
    </w:p>
    <w:p w14:paraId="200F8316" w14:textId="77777777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  <w:b/>
          <w:bCs/>
        </w:rPr>
        <w:t>CONSIDERANDO:</w:t>
      </w:r>
    </w:p>
    <w:p w14:paraId="0E2496B2" w14:textId="5F0AA4A5" w:rsidR="00B76704" w:rsidRPr="00B76704" w:rsidRDefault="00B76704" w:rsidP="00B76704">
      <w:pPr>
        <w:jc w:val="both"/>
        <w:rPr>
          <w:rFonts w:ascii="Verdana" w:hAnsi="Verdana"/>
        </w:rPr>
      </w:pPr>
      <w:r w:rsidRPr="00B76704">
        <w:rPr>
          <w:rFonts w:ascii="Verdana" w:hAnsi="Verdana"/>
        </w:rPr>
        <w:t>Que mediante Resolución 2622 de diciembre 19 de 2003 la Dirección General fijó la estructura del ICBF en el nivel regional y municipal y estableció las funciones de las diferentes dependencias.</w:t>
      </w:r>
    </w:p>
    <w:p w14:paraId="2CB5EAE1" w14:textId="77777777" w:rsidR="00B76704" w:rsidRPr="00B76704" w:rsidRDefault="00B76704" w:rsidP="00B76704">
      <w:pPr>
        <w:jc w:val="both"/>
        <w:rPr>
          <w:rFonts w:ascii="Verdana" w:hAnsi="Verdana"/>
        </w:rPr>
      </w:pPr>
      <w:r w:rsidRPr="00B76704">
        <w:rPr>
          <w:rFonts w:ascii="Verdana" w:hAnsi="Verdana"/>
        </w:rPr>
        <w:t>Que en el artículo séptimo de la citada resolución, se estableció la estructura del nivel municipal, indicando por regional, el nombre de los centros zonales y el municipio sede.</w:t>
      </w:r>
    </w:p>
    <w:p w14:paraId="5A0086C3" w14:textId="77777777" w:rsidR="00B76704" w:rsidRPr="00B76704" w:rsidRDefault="00B76704" w:rsidP="00B76704">
      <w:pPr>
        <w:jc w:val="both"/>
        <w:rPr>
          <w:rFonts w:ascii="Verdana" w:hAnsi="Verdana"/>
        </w:rPr>
      </w:pPr>
      <w:r w:rsidRPr="00B76704">
        <w:rPr>
          <w:rFonts w:ascii="Verdana" w:hAnsi="Verdana"/>
        </w:rPr>
        <w:t>Que las regionales de Córdoba y Atlántico con memorandos radicados en el 2004 bajo los números 2395 y 05447, solicitan modificar los nombres de los centros zonales establecidos en el mencionado artículo.</w:t>
      </w:r>
    </w:p>
    <w:p w14:paraId="613EDC8D" w14:textId="2BB3F989" w:rsidR="00B76704" w:rsidRPr="00B76704" w:rsidRDefault="00B76704" w:rsidP="00B76704">
      <w:pPr>
        <w:jc w:val="both"/>
        <w:rPr>
          <w:rFonts w:ascii="Verdana" w:hAnsi="Verdana"/>
        </w:rPr>
      </w:pPr>
      <w:r w:rsidRPr="00B76704">
        <w:rPr>
          <w:rFonts w:ascii="Verdana" w:hAnsi="Verdana"/>
        </w:rPr>
        <w:t>Que el artículo sexto de la Resolución 2622 de diciembre 19 de 2003 establece la estructura de las agencias y el nombre de uno de los grupos no coincide con el que se menciona en el artículo 19 al asignar las funciones correspondientes.</w:t>
      </w:r>
    </w:p>
    <w:p w14:paraId="439FF4C6" w14:textId="77777777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  <w:b/>
          <w:bCs/>
        </w:rPr>
        <w:t>RESUELVE:</w:t>
      </w:r>
    </w:p>
    <w:p w14:paraId="6A7E2AD1" w14:textId="45597887" w:rsidR="00B76704" w:rsidRPr="00B76704" w:rsidRDefault="00B76704" w:rsidP="00B76704">
      <w:pPr>
        <w:jc w:val="both"/>
        <w:rPr>
          <w:rFonts w:ascii="Verdana" w:hAnsi="Verdana"/>
        </w:rPr>
      </w:pPr>
      <w:bookmarkStart w:id="0" w:name="1"/>
      <w:r w:rsidRPr="00B76704">
        <w:rPr>
          <w:rFonts w:ascii="Verdana" w:hAnsi="Verdana"/>
          <w:b/>
          <w:bCs/>
        </w:rPr>
        <w:t>ARTÍCULO 1o.</w:t>
      </w:r>
      <w:bookmarkEnd w:id="0"/>
      <w:r w:rsidRPr="00B76704">
        <w:rPr>
          <w:rFonts w:ascii="Verdana" w:hAnsi="Verdana"/>
        </w:rPr>
        <w:t> </w:t>
      </w:r>
      <w:r w:rsidR="005261A8" w:rsidRPr="00B76704">
        <w:rPr>
          <w:rFonts w:ascii="Verdana" w:hAnsi="Verdana"/>
        </w:rPr>
        <w:t xml:space="preserve"> </w:t>
      </w:r>
      <w:r w:rsidRPr="00B76704">
        <w:rPr>
          <w:rFonts w:ascii="Verdana" w:hAnsi="Verdana"/>
        </w:rPr>
        <w:t>Modificar parcialmente el Artículo Séptimo de la Resolución 2622 de diciembre 19 de 2003, el cual quedará así:</w:t>
      </w:r>
    </w:p>
    <w:p w14:paraId="344C2819" w14:textId="77777777" w:rsidR="00B76704" w:rsidRDefault="00B76704" w:rsidP="00B76704">
      <w:pPr>
        <w:jc w:val="center"/>
        <w:rPr>
          <w:rFonts w:ascii="Verdana" w:hAnsi="Verdana"/>
          <w:b/>
          <w:bCs/>
        </w:rPr>
      </w:pPr>
    </w:p>
    <w:p w14:paraId="04B99656" w14:textId="77777777" w:rsidR="00B76704" w:rsidRDefault="00B76704" w:rsidP="00B76704">
      <w:pPr>
        <w:jc w:val="center"/>
        <w:rPr>
          <w:rFonts w:ascii="Verdana" w:hAnsi="Verdana"/>
          <w:b/>
          <w:bCs/>
        </w:rPr>
      </w:pPr>
    </w:p>
    <w:p w14:paraId="053D7A6E" w14:textId="68AB0A5E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  <w:b/>
          <w:bCs/>
        </w:rPr>
        <w:t>REGIONAL ATLÁNTICO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76704" w:rsidRPr="00B76704" w14:paraId="440E72B2" w14:textId="77777777" w:rsidTr="00B76704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E9405" w14:textId="77777777" w:rsidR="00B76704" w:rsidRPr="00B76704" w:rsidRDefault="00B76704" w:rsidP="00B76704">
            <w:pPr>
              <w:jc w:val="center"/>
              <w:rPr>
                <w:rFonts w:ascii="Verdana" w:hAnsi="Verdana"/>
              </w:rPr>
            </w:pPr>
            <w:r w:rsidRPr="00B76704">
              <w:rPr>
                <w:rFonts w:ascii="Verdana" w:hAnsi="Verdana"/>
                <w:b/>
                <w:bCs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15749" w14:textId="77777777" w:rsidR="00B76704" w:rsidRPr="00B76704" w:rsidRDefault="00B76704" w:rsidP="00B76704">
            <w:pPr>
              <w:jc w:val="center"/>
              <w:rPr>
                <w:rFonts w:ascii="Verdana" w:hAnsi="Verdana"/>
              </w:rPr>
            </w:pPr>
            <w:r w:rsidRPr="00B76704">
              <w:rPr>
                <w:rFonts w:ascii="Verdana" w:hAnsi="Verdana"/>
                <w:b/>
                <w:bCs/>
              </w:rPr>
              <w:t>Municipio Sede</w:t>
            </w:r>
          </w:p>
        </w:tc>
      </w:tr>
      <w:tr w:rsidR="00B76704" w:rsidRPr="00B76704" w14:paraId="0F88DA91" w14:textId="77777777" w:rsidTr="00B76704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2F512" w14:textId="77777777" w:rsidR="00B76704" w:rsidRPr="00B76704" w:rsidRDefault="00B76704" w:rsidP="00B76704">
            <w:pPr>
              <w:jc w:val="center"/>
              <w:rPr>
                <w:rFonts w:ascii="Verdana" w:hAnsi="Verdana"/>
              </w:rPr>
            </w:pPr>
            <w:r w:rsidRPr="00B76704">
              <w:rPr>
                <w:rFonts w:ascii="Verdana" w:hAnsi="Verdana"/>
              </w:rPr>
              <w:lastRenderedPageBreak/>
              <w:t>1. Norte Centro Histórico</w:t>
            </w:r>
            <w:r w:rsidRPr="00B76704">
              <w:rPr>
                <w:rFonts w:ascii="Verdana" w:hAnsi="Verdana"/>
              </w:rPr>
              <w:br/>
              <w:t>2. Sur Occidente</w:t>
            </w:r>
            <w:r w:rsidRPr="00B76704">
              <w:rPr>
                <w:rFonts w:ascii="Verdana" w:hAnsi="Verdana"/>
              </w:rPr>
              <w:br/>
              <w:t>3. Baranoa</w:t>
            </w:r>
            <w:r w:rsidRPr="00B76704">
              <w:rPr>
                <w:rFonts w:ascii="Verdana" w:hAnsi="Verdana"/>
              </w:rPr>
              <w:br/>
              <w:t>4. Sabanalarga</w:t>
            </w:r>
            <w:r w:rsidRPr="00B76704">
              <w:rPr>
                <w:rFonts w:ascii="Verdana" w:hAnsi="Verdana"/>
              </w:rPr>
              <w:br/>
              <w:t>5. Sabanagrande</w:t>
            </w:r>
            <w:r w:rsidRPr="00B76704">
              <w:rPr>
                <w:rFonts w:ascii="Verdana" w:hAnsi="Verdana"/>
              </w:rPr>
              <w:br/>
              <w:t>6. Hipódromo</w:t>
            </w:r>
            <w:r w:rsidRPr="00B76704">
              <w:rPr>
                <w:rFonts w:ascii="Verdana" w:hAnsi="Verdana"/>
              </w:rPr>
              <w:br/>
              <w:t>7. Sur Oriente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0AEA5" w14:textId="77777777" w:rsidR="00B76704" w:rsidRPr="00B76704" w:rsidRDefault="00B76704" w:rsidP="00B76704">
            <w:pPr>
              <w:jc w:val="center"/>
              <w:rPr>
                <w:rFonts w:ascii="Verdana" w:hAnsi="Verdana"/>
              </w:rPr>
            </w:pPr>
            <w:r w:rsidRPr="00B76704">
              <w:rPr>
                <w:rFonts w:ascii="Verdana" w:hAnsi="Verdana"/>
              </w:rPr>
              <w:t>Barranquilla</w:t>
            </w:r>
            <w:r w:rsidRPr="00B76704">
              <w:rPr>
                <w:rFonts w:ascii="Verdana" w:hAnsi="Verdana"/>
              </w:rPr>
              <w:br/>
              <w:t>Barranquilla</w:t>
            </w:r>
            <w:r w:rsidRPr="00B76704">
              <w:rPr>
                <w:rFonts w:ascii="Verdana" w:hAnsi="Verdana"/>
              </w:rPr>
              <w:br/>
              <w:t>Baranoa</w:t>
            </w:r>
            <w:r w:rsidRPr="00B76704">
              <w:rPr>
                <w:rFonts w:ascii="Verdana" w:hAnsi="Verdana"/>
              </w:rPr>
              <w:br/>
              <w:t>Sabanalarga</w:t>
            </w:r>
            <w:r w:rsidRPr="00B76704">
              <w:rPr>
                <w:rFonts w:ascii="Verdana" w:hAnsi="Verdana"/>
              </w:rPr>
              <w:br/>
              <w:t>Sabanagrande</w:t>
            </w:r>
            <w:r w:rsidRPr="00B76704">
              <w:rPr>
                <w:rFonts w:ascii="Verdana" w:hAnsi="Verdana"/>
              </w:rPr>
              <w:br/>
              <w:t>Soledad</w:t>
            </w:r>
            <w:r w:rsidRPr="00B76704">
              <w:rPr>
                <w:rFonts w:ascii="Verdana" w:hAnsi="Verdana"/>
              </w:rPr>
              <w:br/>
              <w:t>Barranquilla</w:t>
            </w:r>
          </w:p>
        </w:tc>
      </w:tr>
    </w:tbl>
    <w:p w14:paraId="1035B270" w14:textId="77777777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  <w:b/>
          <w:bCs/>
        </w:rPr>
        <w:t>REGIONAL CÓRDOBA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4498"/>
      </w:tblGrid>
      <w:tr w:rsidR="00B76704" w:rsidRPr="00B76704" w14:paraId="053945EA" w14:textId="77777777" w:rsidTr="00B76704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B2A48" w14:textId="77777777" w:rsidR="00B76704" w:rsidRPr="00B76704" w:rsidRDefault="00B76704" w:rsidP="00B76704">
            <w:pPr>
              <w:jc w:val="center"/>
              <w:rPr>
                <w:rFonts w:ascii="Verdana" w:hAnsi="Verdana"/>
              </w:rPr>
            </w:pPr>
            <w:r w:rsidRPr="00B76704">
              <w:rPr>
                <w:rFonts w:ascii="Verdana" w:hAnsi="Verdana"/>
                <w:b/>
                <w:bCs/>
              </w:rPr>
              <w:t>Nombre del Centro Zonal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203D2" w14:textId="77777777" w:rsidR="00B76704" w:rsidRPr="00B76704" w:rsidRDefault="00B76704" w:rsidP="00B76704">
            <w:pPr>
              <w:jc w:val="center"/>
              <w:rPr>
                <w:rFonts w:ascii="Verdana" w:hAnsi="Verdana"/>
              </w:rPr>
            </w:pPr>
            <w:r w:rsidRPr="00B76704">
              <w:rPr>
                <w:rFonts w:ascii="Verdana" w:hAnsi="Verdana"/>
                <w:b/>
                <w:bCs/>
              </w:rPr>
              <w:t>Municipio Sede</w:t>
            </w:r>
          </w:p>
        </w:tc>
      </w:tr>
      <w:tr w:rsidR="00B76704" w:rsidRPr="00B76704" w14:paraId="71F7EE42" w14:textId="77777777" w:rsidTr="00B76704">
        <w:trPr>
          <w:tblCellSpacing w:w="15" w:type="dxa"/>
        </w:trPr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BE573" w14:textId="77777777" w:rsidR="00B76704" w:rsidRPr="00B76704" w:rsidRDefault="00B76704" w:rsidP="00B76704">
            <w:pPr>
              <w:jc w:val="center"/>
              <w:rPr>
                <w:rFonts w:ascii="Verdana" w:hAnsi="Verdana"/>
              </w:rPr>
            </w:pPr>
            <w:r w:rsidRPr="00B76704">
              <w:rPr>
                <w:rFonts w:ascii="Verdana" w:hAnsi="Verdana"/>
              </w:rPr>
              <w:t>1. Montería 1</w:t>
            </w:r>
            <w:r w:rsidRPr="00B76704">
              <w:rPr>
                <w:rFonts w:ascii="Verdana" w:hAnsi="Verdana"/>
              </w:rPr>
              <w:br/>
              <w:t>2. Cereté</w:t>
            </w:r>
            <w:r w:rsidRPr="00B76704">
              <w:rPr>
                <w:rFonts w:ascii="Verdana" w:hAnsi="Verdana"/>
              </w:rPr>
              <w:br/>
              <w:t>3. Planeta Rica</w:t>
            </w:r>
            <w:r w:rsidRPr="00B76704">
              <w:rPr>
                <w:rFonts w:ascii="Verdana" w:hAnsi="Verdana"/>
              </w:rPr>
              <w:br/>
              <w:t>4. Tierralta</w:t>
            </w:r>
            <w:r w:rsidRPr="00B76704">
              <w:rPr>
                <w:rFonts w:ascii="Verdana" w:hAnsi="Verdana"/>
              </w:rPr>
              <w:br/>
              <w:t>5. Montelíbano</w:t>
            </w:r>
            <w:r w:rsidRPr="00B76704">
              <w:rPr>
                <w:rFonts w:ascii="Verdana" w:hAnsi="Verdana"/>
              </w:rPr>
              <w:br/>
              <w:t>6. Lorica</w:t>
            </w:r>
            <w:r w:rsidRPr="00B76704">
              <w:rPr>
                <w:rFonts w:ascii="Verdana" w:hAnsi="Verdana"/>
              </w:rPr>
              <w:br/>
              <w:t>7. Sahagún</w:t>
            </w:r>
            <w:r w:rsidRPr="00B76704">
              <w:rPr>
                <w:rFonts w:ascii="Verdana" w:hAnsi="Verdana"/>
              </w:rPr>
              <w:br/>
              <w:t>8. San Andrés de Sotavento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E232A" w14:textId="77777777" w:rsidR="00B76704" w:rsidRPr="00B76704" w:rsidRDefault="00B76704" w:rsidP="00B76704">
            <w:pPr>
              <w:jc w:val="center"/>
              <w:rPr>
                <w:rFonts w:ascii="Verdana" w:hAnsi="Verdana"/>
              </w:rPr>
            </w:pPr>
            <w:r w:rsidRPr="00B76704">
              <w:rPr>
                <w:rFonts w:ascii="Verdana" w:hAnsi="Verdana"/>
              </w:rPr>
              <w:t>Montería</w:t>
            </w:r>
            <w:r w:rsidRPr="00B76704">
              <w:rPr>
                <w:rFonts w:ascii="Verdana" w:hAnsi="Verdana"/>
              </w:rPr>
              <w:br/>
              <w:t>Cereté</w:t>
            </w:r>
            <w:r w:rsidRPr="00B76704">
              <w:rPr>
                <w:rFonts w:ascii="Verdana" w:hAnsi="Verdana"/>
              </w:rPr>
              <w:br/>
              <w:t>Planeta Rica</w:t>
            </w:r>
            <w:r w:rsidRPr="00B76704">
              <w:rPr>
                <w:rFonts w:ascii="Verdana" w:hAnsi="Verdana"/>
              </w:rPr>
              <w:br/>
              <w:t>Tierralta</w:t>
            </w:r>
            <w:r w:rsidRPr="00B76704">
              <w:rPr>
                <w:rFonts w:ascii="Verdana" w:hAnsi="Verdana"/>
              </w:rPr>
              <w:br/>
              <w:t>Montelíbano</w:t>
            </w:r>
            <w:r w:rsidRPr="00B76704">
              <w:rPr>
                <w:rFonts w:ascii="Verdana" w:hAnsi="Verdana"/>
              </w:rPr>
              <w:br/>
              <w:t>Lorica</w:t>
            </w:r>
            <w:r w:rsidRPr="00B76704">
              <w:rPr>
                <w:rFonts w:ascii="Verdana" w:hAnsi="Verdana"/>
              </w:rPr>
              <w:br/>
              <w:t>Sahagún</w:t>
            </w:r>
            <w:r w:rsidRPr="00B76704">
              <w:rPr>
                <w:rFonts w:ascii="Verdana" w:hAnsi="Verdana"/>
              </w:rPr>
              <w:br/>
              <w:t>San Andrés de Sotavento</w:t>
            </w:r>
          </w:p>
        </w:tc>
      </w:tr>
    </w:tbl>
    <w:p w14:paraId="4F7C3CF5" w14:textId="37DE1E44" w:rsidR="00B76704" w:rsidRPr="00B76704" w:rsidRDefault="00B76704" w:rsidP="00B76704">
      <w:pPr>
        <w:rPr>
          <w:rFonts w:ascii="Verdana" w:hAnsi="Verdana"/>
        </w:rPr>
      </w:pPr>
    </w:p>
    <w:p w14:paraId="3C1ADF81" w14:textId="69133F7C" w:rsidR="00B76704" w:rsidRPr="00B76704" w:rsidRDefault="00B76704" w:rsidP="00B76704">
      <w:pPr>
        <w:jc w:val="both"/>
        <w:rPr>
          <w:rFonts w:ascii="Verdana" w:hAnsi="Verdana"/>
        </w:rPr>
      </w:pPr>
      <w:bookmarkStart w:id="1" w:name="2"/>
      <w:r w:rsidRPr="00B76704">
        <w:rPr>
          <w:rFonts w:ascii="Verdana" w:hAnsi="Verdana"/>
          <w:b/>
          <w:bCs/>
        </w:rPr>
        <w:t>ARTÍCULO 2o.</w:t>
      </w:r>
      <w:bookmarkEnd w:id="1"/>
      <w:r w:rsidRPr="00B76704">
        <w:rPr>
          <w:rFonts w:ascii="Verdana" w:hAnsi="Verdana"/>
        </w:rPr>
        <w:t> </w:t>
      </w:r>
      <w:r w:rsidR="005261A8" w:rsidRPr="00B76704">
        <w:rPr>
          <w:rFonts w:ascii="Verdana" w:hAnsi="Verdana"/>
        </w:rPr>
        <w:t xml:space="preserve"> </w:t>
      </w:r>
      <w:r w:rsidRPr="00B76704">
        <w:rPr>
          <w:rFonts w:ascii="Verdana" w:hAnsi="Verdana"/>
        </w:rPr>
        <w:t>Aclarar el artículo 19 de la Resolución 2622 de diciembre 19 de 2003 en el sentido de que el grupo de Asistencia Técnica de las agencias se denomina Grupo Técnico y no como allí aparece.</w:t>
      </w:r>
      <w:r w:rsidRPr="00B76704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5523F8EA" wp14:editId="66178B60">
                <wp:extent cx="304800" cy="304800"/>
                <wp:effectExtent l="0" t="0" r="0" b="0"/>
                <wp:docPr id="5" name="Rectángulo 5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0A6BF9" id="Rectángulo 5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426A68D" w14:textId="5B0DEF47" w:rsidR="00B76704" w:rsidRPr="00B76704" w:rsidRDefault="00B76704" w:rsidP="00B76704">
      <w:pPr>
        <w:jc w:val="both"/>
        <w:rPr>
          <w:rFonts w:ascii="Verdana" w:hAnsi="Verdana"/>
        </w:rPr>
      </w:pPr>
      <w:bookmarkStart w:id="2" w:name="3"/>
      <w:r w:rsidRPr="00B76704">
        <w:rPr>
          <w:rFonts w:ascii="Verdana" w:hAnsi="Verdana"/>
          <w:b/>
          <w:bCs/>
        </w:rPr>
        <w:t>ARTÍCULO 3o.</w:t>
      </w:r>
      <w:bookmarkEnd w:id="2"/>
      <w:r w:rsidRPr="00B76704">
        <w:rPr>
          <w:rFonts w:ascii="Verdana" w:hAnsi="Verdana"/>
        </w:rPr>
        <w:t> </w:t>
      </w:r>
      <w:r w:rsidR="005261A8" w:rsidRPr="00B76704">
        <w:rPr>
          <w:rFonts w:ascii="Verdana" w:hAnsi="Verdana"/>
        </w:rPr>
        <w:t xml:space="preserve"> </w:t>
      </w:r>
      <w:r w:rsidRPr="00B76704">
        <w:rPr>
          <w:rFonts w:ascii="Verdana" w:hAnsi="Verdana"/>
        </w:rPr>
        <w:t>Los demás artículos de la Resolución 2622 de diciembre 19 de 2003 continúan vigentes sin ninguna modificación.</w:t>
      </w:r>
      <w:r w:rsidRPr="00B76704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6010FECD" wp14:editId="59672C33">
                <wp:extent cx="304800" cy="304800"/>
                <wp:effectExtent l="0" t="0" r="0" b="0"/>
                <wp:docPr id="4" name="Rectángulo 4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372B5" id="Rectángulo 4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9D02398" w14:textId="196E45A4" w:rsidR="00B76704" w:rsidRPr="00B76704" w:rsidRDefault="00B76704" w:rsidP="00B76704">
      <w:pPr>
        <w:jc w:val="both"/>
        <w:rPr>
          <w:rFonts w:ascii="Verdana" w:hAnsi="Verdana"/>
        </w:rPr>
      </w:pPr>
      <w:bookmarkStart w:id="3" w:name="4"/>
      <w:r w:rsidRPr="00B76704">
        <w:rPr>
          <w:rFonts w:ascii="Verdana" w:hAnsi="Verdana"/>
          <w:b/>
          <w:bCs/>
        </w:rPr>
        <w:t>ARTÍCULO 4o.</w:t>
      </w:r>
      <w:bookmarkEnd w:id="3"/>
      <w:r w:rsidRPr="00B76704">
        <w:rPr>
          <w:rFonts w:ascii="Verdana" w:hAnsi="Verdana"/>
        </w:rPr>
        <w:t> </w:t>
      </w:r>
      <w:r w:rsidR="005261A8">
        <w:rPr>
          <w:rFonts w:ascii="Verdana" w:hAnsi="Verdana"/>
          <w:b/>
          <w:bCs/>
        </w:rPr>
        <w:t>[</w:t>
      </w:r>
      <w:r w:rsidRPr="00B76704">
        <w:rPr>
          <w:rFonts w:ascii="Verdana" w:hAnsi="Verdana"/>
          <w:b/>
          <w:bCs/>
        </w:rPr>
        <w:t>Resolución derogada por el artículo </w:t>
      </w:r>
      <w:r w:rsidRPr="00B76704">
        <w:rPr>
          <w:rFonts w:ascii="Verdana" w:hAnsi="Verdana"/>
        </w:rPr>
        <w:t>20</w:t>
      </w:r>
      <w:r w:rsidRPr="00B76704">
        <w:rPr>
          <w:rFonts w:ascii="Verdana" w:hAnsi="Verdana"/>
          <w:b/>
          <w:bCs/>
        </w:rPr>
        <w:t> de la Resolución 2859 de 2013</w:t>
      </w:r>
      <w:r w:rsidR="005261A8">
        <w:rPr>
          <w:rFonts w:ascii="Verdana" w:hAnsi="Verdana"/>
          <w:b/>
          <w:bCs/>
        </w:rPr>
        <w:t>]</w:t>
      </w:r>
      <w:r w:rsidRPr="00B76704">
        <w:rPr>
          <w:rFonts w:ascii="Verdana" w:hAnsi="Verdana"/>
          <w:b/>
          <w:bCs/>
        </w:rPr>
        <w:t> </w:t>
      </w:r>
      <w:r w:rsidRPr="00B76704">
        <w:rPr>
          <w:rFonts w:ascii="Verdana" w:hAnsi="Verdana"/>
        </w:rPr>
        <w:t>La presente Resolución rige a partir de la fecha de su expedición.</w:t>
      </w:r>
    </w:p>
    <w:p w14:paraId="40F27D26" w14:textId="77777777" w:rsidR="00B76704" w:rsidRPr="005261A8" w:rsidRDefault="00B76704" w:rsidP="00B76704">
      <w:pPr>
        <w:jc w:val="center"/>
        <w:rPr>
          <w:rFonts w:ascii="Verdana" w:hAnsi="Verdana"/>
          <w:b/>
          <w:bCs/>
        </w:rPr>
      </w:pPr>
      <w:r w:rsidRPr="005261A8">
        <w:rPr>
          <w:rFonts w:ascii="Verdana" w:hAnsi="Verdana"/>
          <w:b/>
          <w:bCs/>
        </w:rPr>
        <w:t>COMUNÍQUESE Y CÚMPLASE</w:t>
      </w:r>
    </w:p>
    <w:p w14:paraId="31B7E941" w14:textId="24B3649E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</w:rPr>
        <w:t xml:space="preserve">Dada en Bogotá, D. C. a </w:t>
      </w:r>
      <w:r>
        <w:rPr>
          <w:rFonts w:ascii="Verdana" w:hAnsi="Verdana"/>
        </w:rPr>
        <w:t xml:space="preserve">los 26 de abril de </w:t>
      </w:r>
      <w:r w:rsidRPr="00B76704">
        <w:rPr>
          <w:rFonts w:ascii="Verdana" w:hAnsi="Verdana"/>
        </w:rPr>
        <w:t>2004.</w:t>
      </w:r>
    </w:p>
    <w:p w14:paraId="777C4345" w14:textId="77777777" w:rsidR="00B76704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  <w:b/>
          <w:bCs/>
        </w:rPr>
        <w:t>BEATRÍZ LONDOÑO SOTO</w:t>
      </w:r>
    </w:p>
    <w:p w14:paraId="3358811F" w14:textId="5EC92114" w:rsidR="00BF0030" w:rsidRPr="00B76704" w:rsidRDefault="00B76704" w:rsidP="00B76704">
      <w:pPr>
        <w:jc w:val="center"/>
        <w:rPr>
          <w:rFonts w:ascii="Verdana" w:hAnsi="Verdana"/>
        </w:rPr>
      </w:pPr>
      <w:r w:rsidRPr="00B76704">
        <w:rPr>
          <w:rFonts w:ascii="Verdana" w:hAnsi="Verdana"/>
        </w:rPr>
        <w:t>Directora General ICBF</w:t>
      </w:r>
    </w:p>
    <w:sectPr w:rsidR="00BF0030" w:rsidRPr="00B76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13"/>
    <w:rsid w:val="0042429D"/>
    <w:rsid w:val="00446079"/>
    <w:rsid w:val="00523668"/>
    <w:rsid w:val="005261A8"/>
    <w:rsid w:val="005D7113"/>
    <w:rsid w:val="00AD3E36"/>
    <w:rsid w:val="00B76704"/>
    <w:rsid w:val="00B941B0"/>
    <w:rsid w:val="00B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E46E"/>
  <w15:chartTrackingRefBased/>
  <w15:docId w15:val="{FCEB53AB-0BFF-4A9A-91C9-2857B92D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670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767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670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26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AED03-C7BE-4894-9E17-1EB0C2CF29BB}"/>
</file>

<file path=customXml/itemProps2.xml><?xml version="1.0" encoding="utf-8"?>
<ds:datastoreItem xmlns:ds="http://schemas.openxmlformats.org/officeDocument/2006/customXml" ds:itemID="{43EA559D-9BE5-4B42-84AD-F3362D4E49CC}"/>
</file>

<file path=customXml/itemProps3.xml><?xml version="1.0" encoding="utf-8"?>
<ds:datastoreItem xmlns:ds="http://schemas.openxmlformats.org/officeDocument/2006/customXml" ds:itemID="{BC94C0E9-5231-49EF-820F-864A54ADF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Jose Patricio Lizca Alvarez</cp:lastModifiedBy>
  <cp:revision>5</cp:revision>
  <dcterms:created xsi:type="dcterms:W3CDTF">2025-11-28T21:50:00Z</dcterms:created>
  <dcterms:modified xsi:type="dcterms:W3CDTF">2026-04-16T15:35:00Z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