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157B" w14:textId="77777777" w:rsidR="008E4B62" w:rsidRPr="008E4B62" w:rsidRDefault="008E4B62" w:rsidP="008E4B62">
      <w:pPr>
        <w:pStyle w:val="Sinespaciado"/>
        <w:jc w:val="center"/>
        <w:rPr>
          <w:rFonts w:ascii="Verdana" w:hAnsi="Verdana"/>
          <w:sz w:val="22"/>
          <w:szCs w:val="22"/>
        </w:rPr>
      </w:pPr>
      <w:r w:rsidRPr="008E4B62">
        <w:rPr>
          <w:rFonts w:ascii="Verdana" w:hAnsi="Verdana"/>
          <w:b/>
          <w:bCs/>
          <w:sz w:val="22"/>
          <w:szCs w:val="22"/>
        </w:rPr>
        <w:t>RESOLUCIÓN 8709 DE 2012</w:t>
      </w:r>
    </w:p>
    <w:p w14:paraId="1C7AE886" w14:textId="77777777" w:rsidR="008E4B62" w:rsidRDefault="008E4B62" w:rsidP="00833428">
      <w:pPr>
        <w:pStyle w:val="Sinespaciado"/>
        <w:rPr>
          <w:rFonts w:ascii="Verdana" w:hAnsi="Verdana"/>
          <w:sz w:val="22"/>
          <w:szCs w:val="22"/>
        </w:rPr>
      </w:pPr>
    </w:p>
    <w:p w14:paraId="37C8C3FE" w14:textId="58CBC615"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Fecha de Expedición: </w:t>
      </w:r>
      <w:r w:rsidR="004931F0" w:rsidRPr="008E4B62">
        <w:rPr>
          <w:rFonts w:ascii="Verdana" w:hAnsi="Verdana"/>
          <w:sz w:val="20"/>
          <w:szCs w:val="20"/>
        </w:rPr>
        <w:t>16 de noviembre de 2012</w:t>
      </w:r>
    </w:p>
    <w:p w14:paraId="2C13B487" w14:textId="09828AD4"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Fecha de entrada en vigencia: </w:t>
      </w:r>
      <w:r w:rsidR="008E4B62" w:rsidRPr="008E4B62">
        <w:rPr>
          <w:rFonts w:ascii="Verdana" w:hAnsi="Verdana"/>
          <w:sz w:val="20"/>
          <w:szCs w:val="20"/>
        </w:rPr>
        <w:t>16 de noviembre de 2012</w:t>
      </w:r>
    </w:p>
    <w:p w14:paraId="311E3A00" w14:textId="0C8A5E0C"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Estado de la vigencia: </w:t>
      </w:r>
      <w:r w:rsidR="008E4B62" w:rsidRPr="008E4B62">
        <w:rPr>
          <w:rFonts w:ascii="Verdana" w:hAnsi="Verdana"/>
          <w:sz w:val="20"/>
          <w:szCs w:val="20"/>
        </w:rPr>
        <w:t xml:space="preserve">Vigente </w:t>
      </w:r>
    </w:p>
    <w:p w14:paraId="7DD231D4" w14:textId="77777777" w:rsidR="00833428" w:rsidRPr="008E4B62" w:rsidRDefault="00833428" w:rsidP="00833428">
      <w:pPr>
        <w:pStyle w:val="Sinespaciado"/>
        <w:rPr>
          <w:rFonts w:ascii="Verdana" w:hAnsi="Verdana"/>
          <w:sz w:val="20"/>
          <w:szCs w:val="20"/>
        </w:rPr>
      </w:pPr>
    </w:p>
    <w:p w14:paraId="0B015CF0" w14:textId="39A9B4E4"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Fecha de publicación en Diario Oficial: </w:t>
      </w:r>
      <w:r w:rsidR="008E4B62" w:rsidRPr="008E4B62">
        <w:rPr>
          <w:rFonts w:ascii="Verdana" w:hAnsi="Verdana"/>
          <w:sz w:val="20"/>
          <w:szCs w:val="20"/>
        </w:rPr>
        <w:t>N/A</w:t>
      </w:r>
    </w:p>
    <w:p w14:paraId="7A658ADC" w14:textId="157FBA6D" w:rsidR="00794C8B" w:rsidRPr="008E4B62" w:rsidRDefault="00833428" w:rsidP="00833428">
      <w:pPr>
        <w:pStyle w:val="Sinespaciado"/>
        <w:rPr>
          <w:rFonts w:ascii="Verdana" w:hAnsi="Verdana"/>
          <w:sz w:val="20"/>
          <w:szCs w:val="20"/>
        </w:rPr>
      </w:pPr>
      <w:r w:rsidRPr="008E4B62">
        <w:rPr>
          <w:rFonts w:ascii="Verdana" w:hAnsi="Verdana"/>
          <w:sz w:val="20"/>
          <w:szCs w:val="20"/>
        </w:rPr>
        <w:t xml:space="preserve">Número del Diario Oficial: </w:t>
      </w:r>
      <w:r w:rsidR="008E4B62" w:rsidRPr="008E4B62">
        <w:rPr>
          <w:rFonts w:ascii="Verdana" w:hAnsi="Verdana"/>
          <w:sz w:val="20"/>
          <w:szCs w:val="20"/>
        </w:rPr>
        <w:t>N/A</w:t>
      </w:r>
    </w:p>
    <w:p w14:paraId="1FBA4C62" w14:textId="77777777" w:rsidR="00833428" w:rsidRPr="008E4B62" w:rsidRDefault="00833428" w:rsidP="00833428">
      <w:pPr>
        <w:pStyle w:val="Sinespaciado"/>
        <w:rPr>
          <w:rFonts w:ascii="Verdana" w:hAnsi="Verdana"/>
          <w:sz w:val="22"/>
          <w:szCs w:val="22"/>
        </w:rPr>
      </w:pPr>
    </w:p>
    <w:p w14:paraId="54FEA00C"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RESOLUCIÓN 8709 DE 2012</w:t>
      </w:r>
    </w:p>
    <w:p w14:paraId="4BC3EF50" w14:textId="77777777" w:rsidR="008E4B62" w:rsidRPr="008E4B62" w:rsidRDefault="008E4B62" w:rsidP="008E4B62">
      <w:pPr>
        <w:pStyle w:val="Sinespaciado"/>
        <w:jc w:val="center"/>
        <w:rPr>
          <w:rFonts w:ascii="Verdana" w:hAnsi="Verdana"/>
          <w:sz w:val="22"/>
          <w:szCs w:val="22"/>
        </w:rPr>
      </w:pPr>
    </w:p>
    <w:p w14:paraId="474EC227" w14:textId="77777777" w:rsidR="008E4B62" w:rsidRDefault="008E4B62" w:rsidP="008E4B62">
      <w:pPr>
        <w:pStyle w:val="Sinespaciado"/>
        <w:jc w:val="center"/>
        <w:rPr>
          <w:rFonts w:ascii="Verdana" w:hAnsi="Verdana"/>
          <w:sz w:val="22"/>
          <w:szCs w:val="22"/>
        </w:rPr>
      </w:pPr>
      <w:r w:rsidRPr="008E4B62">
        <w:rPr>
          <w:rFonts w:ascii="Verdana" w:hAnsi="Verdana"/>
          <w:sz w:val="22"/>
          <w:szCs w:val="22"/>
        </w:rPr>
        <w:t>(noviembre 16)</w:t>
      </w:r>
    </w:p>
    <w:p w14:paraId="18C70EA5" w14:textId="77777777" w:rsidR="008E4B62" w:rsidRPr="008E4B62" w:rsidRDefault="008E4B62" w:rsidP="008E4B62">
      <w:pPr>
        <w:pStyle w:val="Sinespaciado"/>
        <w:jc w:val="center"/>
        <w:rPr>
          <w:rFonts w:ascii="Verdana" w:hAnsi="Verdana"/>
          <w:sz w:val="22"/>
          <w:szCs w:val="22"/>
        </w:rPr>
      </w:pPr>
    </w:p>
    <w:p w14:paraId="17347BD3"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INSTITUTO COLOMBIANO DE BIENESTAR FAMILIAR – ICBF</w:t>
      </w:r>
    </w:p>
    <w:p w14:paraId="61C86E70" w14:textId="77777777" w:rsidR="008E4B62" w:rsidRPr="008E4B62" w:rsidRDefault="008E4B62" w:rsidP="008E4B62">
      <w:pPr>
        <w:pStyle w:val="Sinespaciado"/>
        <w:jc w:val="center"/>
        <w:rPr>
          <w:rFonts w:ascii="Verdana" w:hAnsi="Verdana"/>
          <w:sz w:val="22"/>
          <w:szCs w:val="22"/>
        </w:rPr>
      </w:pPr>
    </w:p>
    <w:p w14:paraId="537F07A5" w14:textId="77777777" w:rsidR="008E4B62" w:rsidRDefault="008E4B62" w:rsidP="008E4B62">
      <w:pPr>
        <w:pStyle w:val="Sinespaciado"/>
        <w:jc w:val="center"/>
        <w:rPr>
          <w:rFonts w:ascii="Verdana" w:hAnsi="Verdana"/>
          <w:sz w:val="22"/>
          <w:szCs w:val="22"/>
        </w:rPr>
      </w:pPr>
      <w:r w:rsidRPr="008E4B62">
        <w:rPr>
          <w:rFonts w:ascii="Verdana" w:hAnsi="Verdana"/>
          <w:sz w:val="22"/>
          <w:szCs w:val="22"/>
        </w:rPr>
        <w:t>Para la cual se ajustan los Lineamientos de Programación y Ejecución de Metas Sociales y Financieras - vigencia 2012 del Instituto Colombiano de Bienestar Familiar - Cecilia De la Fuente de Lleras.</w:t>
      </w:r>
    </w:p>
    <w:p w14:paraId="2EE0E98F" w14:textId="77777777" w:rsidR="008E4B62" w:rsidRPr="008E4B62" w:rsidRDefault="008E4B62" w:rsidP="008E4B62">
      <w:pPr>
        <w:pStyle w:val="Sinespaciado"/>
        <w:jc w:val="center"/>
        <w:rPr>
          <w:rFonts w:ascii="Verdana" w:hAnsi="Verdana"/>
          <w:sz w:val="22"/>
          <w:szCs w:val="22"/>
        </w:rPr>
      </w:pPr>
    </w:p>
    <w:p w14:paraId="4B553569"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EL DIRECTOR GENERAL DEL INSTITUTO COLOMBIANO DE BIENESTAR FAMILIAR - CECILIA DE LA FUENTE DE LLERAS</w:t>
      </w:r>
    </w:p>
    <w:p w14:paraId="3B7D78D2" w14:textId="69BE3056" w:rsidR="008E4B62" w:rsidRPr="008E4B62" w:rsidRDefault="008E4B62" w:rsidP="008E4B62">
      <w:pPr>
        <w:pStyle w:val="Sinespaciado"/>
        <w:jc w:val="center"/>
        <w:rPr>
          <w:rFonts w:ascii="Verdana" w:hAnsi="Verdana"/>
          <w:sz w:val="22"/>
          <w:szCs w:val="22"/>
        </w:rPr>
      </w:pPr>
    </w:p>
    <w:p w14:paraId="1EEEC946" w14:textId="585EA87D" w:rsidR="008E4B62" w:rsidRDefault="008E4B62" w:rsidP="008E4B62">
      <w:pPr>
        <w:pStyle w:val="Sinespaciado"/>
        <w:jc w:val="center"/>
        <w:rPr>
          <w:rFonts w:ascii="Verdana" w:hAnsi="Verdana"/>
          <w:sz w:val="22"/>
          <w:szCs w:val="22"/>
        </w:rPr>
      </w:pPr>
      <w:r w:rsidRPr="008E4B62">
        <w:rPr>
          <w:rFonts w:ascii="Verdana" w:hAnsi="Verdana"/>
          <w:sz w:val="22"/>
          <w:szCs w:val="22"/>
        </w:rPr>
        <w:t>En uso de sus facultades legales y en especial las conferidas en el literal b) del artículo 28 de la ley 7</w:t>
      </w:r>
      <w:r w:rsidRPr="008E4B62">
        <w:rPr>
          <w:rFonts w:ascii="Verdana" w:hAnsi="Verdana"/>
          <w:sz w:val="22"/>
          <w:szCs w:val="22"/>
          <w:vertAlign w:val="superscript"/>
        </w:rPr>
        <w:t>a</w:t>
      </w:r>
      <w:r w:rsidRPr="008E4B62">
        <w:rPr>
          <w:rFonts w:ascii="Verdana" w:hAnsi="Verdana"/>
          <w:sz w:val="22"/>
          <w:szCs w:val="22"/>
        </w:rPr>
        <w:t> de 1979, y</w:t>
      </w:r>
    </w:p>
    <w:p w14:paraId="07BF3356" w14:textId="77777777" w:rsidR="008E4B62" w:rsidRPr="008E4B62" w:rsidRDefault="008E4B62" w:rsidP="008E4B62">
      <w:pPr>
        <w:pStyle w:val="Sinespaciado"/>
        <w:jc w:val="center"/>
        <w:rPr>
          <w:rFonts w:ascii="Verdana" w:hAnsi="Verdana"/>
          <w:sz w:val="22"/>
          <w:szCs w:val="22"/>
        </w:rPr>
      </w:pPr>
    </w:p>
    <w:p w14:paraId="49AC4AE3"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CONSIDERANDO:</w:t>
      </w:r>
    </w:p>
    <w:p w14:paraId="0A0B4B50" w14:textId="77777777" w:rsidR="008E4B62" w:rsidRPr="008E4B62" w:rsidRDefault="008E4B62" w:rsidP="008E4B62">
      <w:pPr>
        <w:pStyle w:val="Sinespaciado"/>
        <w:jc w:val="center"/>
        <w:rPr>
          <w:rFonts w:ascii="Verdana" w:hAnsi="Verdana"/>
          <w:sz w:val="22"/>
          <w:szCs w:val="22"/>
        </w:rPr>
      </w:pPr>
    </w:p>
    <w:p w14:paraId="71C1B2BD" w14:textId="0A10B26F" w:rsidR="008E4B62" w:rsidRDefault="008E4B62" w:rsidP="008E4B62">
      <w:pPr>
        <w:pStyle w:val="Sinespaciado"/>
        <w:jc w:val="both"/>
        <w:rPr>
          <w:rFonts w:ascii="Verdana" w:hAnsi="Verdana"/>
          <w:sz w:val="22"/>
          <w:szCs w:val="22"/>
        </w:rPr>
      </w:pPr>
      <w:r w:rsidRPr="008E4B62">
        <w:rPr>
          <w:rFonts w:ascii="Verdana" w:hAnsi="Verdana"/>
          <w:sz w:val="22"/>
          <w:szCs w:val="22"/>
        </w:rPr>
        <w:t>Que mediante la Resolución No. 17 del 2 de enero de 2012 se aprobaron los Lineamientos de Programación y Ejecución de Metas Sociales y Financieras del Instituto Colombiano de Bienestar Familiar Cecilia De la Fuente de Lleras - vigencia 2012.</w:t>
      </w:r>
    </w:p>
    <w:p w14:paraId="5F0DB83E" w14:textId="77777777" w:rsidR="008E4B62" w:rsidRPr="008E4B62" w:rsidRDefault="008E4B62" w:rsidP="008E4B62">
      <w:pPr>
        <w:pStyle w:val="Sinespaciado"/>
        <w:jc w:val="both"/>
        <w:rPr>
          <w:rFonts w:ascii="Verdana" w:hAnsi="Verdana"/>
          <w:sz w:val="22"/>
          <w:szCs w:val="22"/>
        </w:rPr>
      </w:pPr>
    </w:p>
    <w:p w14:paraId="2EF2F96B"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Que la ficha No. I-64 de los Lineamientos, corresponde al indicador presupuestal </w:t>
      </w:r>
      <w:r w:rsidRPr="008E4B62">
        <w:rPr>
          <w:rFonts w:ascii="Verdana" w:hAnsi="Verdana"/>
          <w:b/>
          <w:bCs/>
          <w:sz w:val="22"/>
          <w:szCs w:val="22"/>
        </w:rPr>
        <w:t>C320-1504-5- 1-2-3 </w:t>
      </w:r>
      <w:r w:rsidRPr="008E4B62">
        <w:rPr>
          <w:rFonts w:ascii="Verdana" w:hAnsi="Verdana"/>
          <w:sz w:val="22"/>
          <w:szCs w:val="22"/>
        </w:rPr>
        <w:t>que regula lo referente a </w:t>
      </w:r>
      <w:r w:rsidRPr="008E4B62">
        <w:rPr>
          <w:rFonts w:ascii="Verdana" w:hAnsi="Verdana"/>
          <w:b/>
          <w:bCs/>
          <w:sz w:val="22"/>
          <w:szCs w:val="22"/>
        </w:rPr>
        <w:t>Programa de Alimentación Escolar</w:t>
      </w:r>
      <w:r w:rsidRPr="008E4B62">
        <w:rPr>
          <w:rFonts w:ascii="Verdana" w:hAnsi="Verdana"/>
          <w:sz w:val="22"/>
          <w:szCs w:val="22"/>
        </w:rPr>
        <w:t> dentro del Proyecto Apoyo Nutricional y de Orientación Juvenil a la Niñez y a la Adolescencia a Nivel Nacional, debe ser ajustada en el ítem Clasificador del Gasto con el fin de ajustarlo de acuerdo con las nuevas directrices definidas por la Dirección de Niñez y Adolescencia para esta modalidad.</w:t>
      </w:r>
    </w:p>
    <w:p w14:paraId="48B62F74" w14:textId="77777777" w:rsidR="008E4B62" w:rsidRPr="008E4B62" w:rsidRDefault="008E4B62" w:rsidP="008E4B62">
      <w:pPr>
        <w:pStyle w:val="Sinespaciado"/>
        <w:jc w:val="both"/>
        <w:rPr>
          <w:rFonts w:ascii="Verdana" w:hAnsi="Verdana"/>
          <w:sz w:val="22"/>
          <w:szCs w:val="22"/>
        </w:rPr>
      </w:pPr>
    </w:p>
    <w:p w14:paraId="3A5741FB"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Que para la modificación de la ficha existe el análisis de viabilidad técnica expedido por la dependencia responsable de los temas contenidos en ella.</w:t>
      </w:r>
    </w:p>
    <w:p w14:paraId="548F4A32" w14:textId="77777777" w:rsidR="008E4B62" w:rsidRPr="008E4B62" w:rsidRDefault="008E4B62" w:rsidP="008E4B62">
      <w:pPr>
        <w:pStyle w:val="Sinespaciado"/>
        <w:jc w:val="both"/>
        <w:rPr>
          <w:rFonts w:ascii="Verdana" w:hAnsi="Verdana"/>
          <w:sz w:val="22"/>
          <w:szCs w:val="22"/>
        </w:rPr>
      </w:pPr>
    </w:p>
    <w:p w14:paraId="408B184B"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Que en mérito de lo expuesto,</w:t>
      </w:r>
    </w:p>
    <w:p w14:paraId="1B0F8076" w14:textId="77777777" w:rsidR="008E4B62" w:rsidRDefault="008E4B62" w:rsidP="008E4B62">
      <w:pPr>
        <w:pStyle w:val="Sinespaciado"/>
        <w:jc w:val="both"/>
        <w:rPr>
          <w:rFonts w:ascii="Verdana" w:hAnsi="Verdana"/>
          <w:sz w:val="22"/>
          <w:szCs w:val="22"/>
        </w:rPr>
      </w:pPr>
    </w:p>
    <w:p w14:paraId="2A498566" w14:textId="77777777" w:rsidR="008E4B62" w:rsidRPr="008E4B62" w:rsidRDefault="008E4B62" w:rsidP="008E4B62">
      <w:pPr>
        <w:pStyle w:val="Sinespaciado"/>
        <w:jc w:val="both"/>
        <w:rPr>
          <w:rFonts w:ascii="Verdana" w:hAnsi="Verdana"/>
          <w:sz w:val="22"/>
          <w:szCs w:val="22"/>
        </w:rPr>
      </w:pPr>
    </w:p>
    <w:p w14:paraId="332FD47B"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RESUELVE:</w:t>
      </w:r>
    </w:p>
    <w:p w14:paraId="59BE1461" w14:textId="77777777" w:rsidR="008E4B62" w:rsidRPr="008E4B62" w:rsidRDefault="008E4B62" w:rsidP="008E4B62">
      <w:pPr>
        <w:pStyle w:val="Sinespaciado"/>
        <w:jc w:val="center"/>
        <w:rPr>
          <w:rFonts w:ascii="Verdana" w:hAnsi="Verdana"/>
          <w:sz w:val="22"/>
          <w:szCs w:val="22"/>
        </w:rPr>
      </w:pPr>
    </w:p>
    <w:p w14:paraId="4CF7475A" w14:textId="77777777" w:rsidR="008E4B62" w:rsidRDefault="008E4B62" w:rsidP="008E4B62">
      <w:pPr>
        <w:pStyle w:val="Sinespaciado"/>
        <w:jc w:val="both"/>
        <w:rPr>
          <w:rFonts w:ascii="Verdana" w:hAnsi="Verdana"/>
          <w:sz w:val="22"/>
          <w:szCs w:val="22"/>
        </w:rPr>
      </w:pPr>
      <w:bookmarkStart w:id="0" w:name="1"/>
      <w:r w:rsidRPr="008E4B62">
        <w:rPr>
          <w:rFonts w:ascii="Verdana" w:hAnsi="Verdana"/>
          <w:b/>
          <w:bCs/>
          <w:sz w:val="22"/>
          <w:szCs w:val="22"/>
        </w:rPr>
        <w:lastRenderedPageBreak/>
        <w:t>ARTÍCULO PRIMERO</w:t>
      </w:r>
      <w:r w:rsidRPr="008E4B62">
        <w:rPr>
          <w:rFonts w:ascii="Verdana" w:hAnsi="Verdana"/>
          <w:sz w:val="22"/>
          <w:szCs w:val="22"/>
        </w:rPr>
        <w:t>.</w:t>
      </w:r>
      <w:bookmarkEnd w:id="0"/>
      <w:r w:rsidRPr="008E4B62">
        <w:rPr>
          <w:rFonts w:ascii="Verdana" w:hAnsi="Verdana"/>
          <w:b/>
          <w:bCs/>
          <w:sz w:val="22"/>
          <w:szCs w:val="22"/>
        </w:rPr>
        <w:t> </w:t>
      </w:r>
      <w:r w:rsidRPr="008E4B62">
        <w:rPr>
          <w:rFonts w:ascii="Verdana" w:hAnsi="Verdana"/>
          <w:sz w:val="22"/>
          <w:szCs w:val="22"/>
        </w:rPr>
        <w:t>Ajustar la Ficha I-64 correspondiente al identificador presupuestal </w:t>
      </w:r>
      <w:r w:rsidRPr="008E4B62">
        <w:rPr>
          <w:rFonts w:ascii="Verdana" w:hAnsi="Verdana"/>
          <w:b/>
          <w:bCs/>
          <w:sz w:val="22"/>
          <w:szCs w:val="22"/>
        </w:rPr>
        <w:t>C320-1504-5-1-2-3 </w:t>
      </w:r>
      <w:r w:rsidRPr="008E4B62">
        <w:rPr>
          <w:rFonts w:ascii="Verdana" w:hAnsi="Verdana"/>
          <w:sz w:val="22"/>
          <w:szCs w:val="22"/>
        </w:rPr>
        <w:t>de los Lineamientos de Programación y Ejecución de Metas Sociales y Financieras - vigencia 2012 en el ítem Clasificador del Gasto, los cuales quedarán así:</w:t>
      </w:r>
    </w:p>
    <w:p w14:paraId="129CA67C" w14:textId="77777777" w:rsidR="008E4B62" w:rsidRPr="008E4B62" w:rsidRDefault="008E4B62" w:rsidP="008E4B62">
      <w:pPr>
        <w:pStyle w:val="Sinespaciado"/>
        <w:jc w:val="both"/>
        <w:rPr>
          <w:rFonts w:ascii="Verdana" w:hAnsi="Verdana"/>
          <w:sz w:val="22"/>
          <w:szCs w:val="22"/>
        </w:rPr>
      </w:pPr>
    </w:p>
    <w:p w14:paraId="45792B46"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Proyecto 320-1504-5 APOYO NUTRICIONAL Y DE ORIENTACIÓN JUVENIL A LA NIÑEZ Y A LA ADOLESCENCIA A NIVEL NACIONAL</w:t>
      </w:r>
    </w:p>
    <w:p w14:paraId="547E05A1"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Subproyecto 1 PROGRAMA DE ALIMENTACIÓN ESCOLAR - PAE - DESAYUNO</w:t>
      </w:r>
    </w:p>
    <w:p w14:paraId="01AACC3B"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Subproyecto 2 PROGRAMA DE ALIMENTACIÓN ESCOLAR - PAE - ALMUERZO</w:t>
      </w:r>
    </w:p>
    <w:p w14:paraId="1069A5A4"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Subproyecto 3 PROGRAMA DE ALIMENTACIÓN ESCOLAR - PAE - INTERNADOS RURALES</w:t>
      </w:r>
    </w:p>
    <w:p w14:paraId="3B101DF1" w14:textId="77777777" w:rsidR="008E4B62" w:rsidRPr="008E4B62" w:rsidRDefault="008E4B62" w:rsidP="008E4B62">
      <w:pPr>
        <w:pStyle w:val="Sinespaciado"/>
        <w:jc w:val="both"/>
        <w:rPr>
          <w:rFonts w:ascii="Verdana" w:hAnsi="Verdana"/>
          <w:sz w:val="22"/>
          <w:szCs w:val="22"/>
        </w:rPr>
      </w:pPr>
    </w:p>
    <w:p w14:paraId="40042C84" w14:textId="77777777" w:rsidR="008E4B62" w:rsidRDefault="008E4B62" w:rsidP="008E4B62">
      <w:pPr>
        <w:pStyle w:val="Sinespaciado"/>
        <w:jc w:val="both"/>
        <w:rPr>
          <w:rFonts w:ascii="Verdana" w:hAnsi="Verdana"/>
          <w:b/>
          <w:bCs/>
          <w:sz w:val="22"/>
          <w:szCs w:val="22"/>
        </w:rPr>
      </w:pPr>
      <w:r w:rsidRPr="008E4B62">
        <w:rPr>
          <w:rFonts w:ascii="Verdana" w:hAnsi="Verdana"/>
          <w:b/>
          <w:bCs/>
          <w:sz w:val="22"/>
          <w:szCs w:val="22"/>
        </w:rPr>
        <w:t>CLASIFICADOR DEL GASTO:</w:t>
      </w:r>
    </w:p>
    <w:p w14:paraId="58B2C305" w14:textId="77777777" w:rsidR="008E4B62" w:rsidRPr="008E4B62" w:rsidRDefault="008E4B62" w:rsidP="008E4B62">
      <w:pPr>
        <w:pStyle w:val="Sinespaciado"/>
        <w:jc w:val="both"/>
        <w:rPr>
          <w:rFonts w:ascii="Verdana" w:hAnsi="Verdana"/>
          <w:sz w:val="22"/>
          <w:szCs w:val="22"/>
        </w:rPr>
      </w:pPr>
    </w:p>
    <w:p w14:paraId="7B2CADAC"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 Transferencias por Contratos de Aporte para la prestación integral del servicio de alimentación escolar.</w:t>
      </w:r>
    </w:p>
    <w:p w14:paraId="1DEEE036" w14:textId="77777777" w:rsidR="008E4B62" w:rsidRPr="008E4B62" w:rsidRDefault="008E4B62" w:rsidP="008E4B62">
      <w:pPr>
        <w:pStyle w:val="Sinespaciado"/>
        <w:jc w:val="both"/>
        <w:rPr>
          <w:rFonts w:ascii="Verdana" w:hAnsi="Verdana"/>
          <w:sz w:val="22"/>
          <w:szCs w:val="22"/>
        </w:rPr>
      </w:pPr>
    </w:p>
    <w:p w14:paraId="7C0FAAFF"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 Contrato de Suministros, transporte y/o todos aquellos servicios o gastos requeridos para el suministro y entrega de las raciones industrializadas. Este clasificador podrá ser ejecutado por la sede Nacional o por las Direcciones Regionales del ICBF.</w:t>
      </w:r>
    </w:p>
    <w:p w14:paraId="187B3625" w14:textId="77777777" w:rsidR="008E4B62" w:rsidRPr="008E4B62" w:rsidRDefault="008E4B62" w:rsidP="008E4B62">
      <w:pPr>
        <w:pStyle w:val="Sinespaciado"/>
        <w:jc w:val="both"/>
        <w:rPr>
          <w:rFonts w:ascii="Verdana" w:hAnsi="Verdana"/>
          <w:sz w:val="22"/>
          <w:szCs w:val="22"/>
        </w:rPr>
      </w:pPr>
    </w:p>
    <w:p w14:paraId="0020013C"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 Contratos o convenios inter-administrativos de cofinanciación y cooperación.</w:t>
      </w:r>
    </w:p>
    <w:p w14:paraId="22F2CEC4" w14:textId="77777777" w:rsidR="008E4B62" w:rsidRPr="008E4B62" w:rsidRDefault="008E4B62" w:rsidP="008E4B62">
      <w:pPr>
        <w:pStyle w:val="Sinespaciado"/>
        <w:jc w:val="both"/>
        <w:rPr>
          <w:rFonts w:ascii="Verdana" w:hAnsi="Verdana"/>
          <w:sz w:val="22"/>
          <w:szCs w:val="22"/>
        </w:rPr>
      </w:pPr>
    </w:p>
    <w:p w14:paraId="66DC135E"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 Financiación de actividades, estrategias, tecnologías (que no impliquen compra de equipo), metodologías, sistemas y demás gastos que demande el diseño, prueba, implementación y mejora del control y seguimiento del programa de alimentación escolar, con el fin de garantizar que las raciones efectivamente lleguen a la población escolar matriculada en las instituciones educativas oficiales. Este clasificador solamente podrá ser ejecutado por la Sede Nacional.</w:t>
      </w:r>
    </w:p>
    <w:p w14:paraId="291AE871" w14:textId="77777777" w:rsidR="008E4B62" w:rsidRPr="008E4B62" w:rsidRDefault="008E4B62" w:rsidP="008E4B62">
      <w:pPr>
        <w:pStyle w:val="Sinespaciado"/>
        <w:jc w:val="both"/>
        <w:rPr>
          <w:rFonts w:ascii="Verdana" w:hAnsi="Verdana"/>
          <w:sz w:val="22"/>
          <w:szCs w:val="22"/>
        </w:rPr>
      </w:pPr>
    </w:p>
    <w:p w14:paraId="23DFDC50" w14:textId="77777777" w:rsidR="008E4B62" w:rsidRDefault="008E4B62" w:rsidP="008E4B62">
      <w:pPr>
        <w:pStyle w:val="Sinespaciado"/>
        <w:jc w:val="both"/>
        <w:rPr>
          <w:rFonts w:ascii="Verdana" w:hAnsi="Verdana"/>
          <w:sz w:val="22"/>
          <w:szCs w:val="22"/>
        </w:rPr>
      </w:pPr>
      <w:r w:rsidRPr="008E4B62">
        <w:rPr>
          <w:rFonts w:ascii="Verdana" w:hAnsi="Verdana"/>
          <w:sz w:val="22"/>
          <w:szCs w:val="22"/>
        </w:rPr>
        <w:t>-- Contratos con personas naturales o jurídicas para apoyar el desarrollo de la planeación, adquisición, interventoría, supervisión y actividades propias del ICBF en la ejecución de los contratos que se suscriban para el Programa de Alimentación Escolar - PAE.</w:t>
      </w:r>
    </w:p>
    <w:p w14:paraId="619668FC" w14:textId="77777777" w:rsidR="008E4B62" w:rsidRPr="008E4B62" w:rsidRDefault="008E4B62" w:rsidP="008E4B62">
      <w:pPr>
        <w:pStyle w:val="Sinespaciado"/>
        <w:jc w:val="both"/>
        <w:rPr>
          <w:rFonts w:ascii="Verdana" w:hAnsi="Verdana"/>
          <w:sz w:val="22"/>
          <w:szCs w:val="22"/>
        </w:rPr>
      </w:pPr>
    </w:p>
    <w:p w14:paraId="5E139EC9" w14:textId="77777777" w:rsidR="008E4B62" w:rsidRDefault="008E4B62" w:rsidP="008E4B62">
      <w:pPr>
        <w:pStyle w:val="Sinespaciado"/>
        <w:jc w:val="both"/>
        <w:rPr>
          <w:rFonts w:ascii="Verdana" w:hAnsi="Verdana"/>
          <w:sz w:val="22"/>
          <w:szCs w:val="22"/>
        </w:rPr>
      </w:pPr>
      <w:bookmarkStart w:id="1" w:name="2"/>
      <w:r w:rsidRPr="008E4B62">
        <w:rPr>
          <w:rFonts w:ascii="Verdana" w:hAnsi="Verdana"/>
          <w:b/>
          <w:bCs/>
          <w:sz w:val="22"/>
          <w:szCs w:val="22"/>
        </w:rPr>
        <w:t>ARTÍCULO SEGUNDO</w:t>
      </w:r>
      <w:r w:rsidRPr="008E4B62">
        <w:rPr>
          <w:rFonts w:ascii="Verdana" w:hAnsi="Verdana"/>
          <w:sz w:val="22"/>
          <w:szCs w:val="22"/>
        </w:rPr>
        <w:t>.</w:t>
      </w:r>
      <w:bookmarkEnd w:id="1"/>
      <w:r w:rsidRPr="008E4B62">
        <w:rPr>
          <w:rFonts w:ascii="Verdana" w:hAnsi="Verdana"/>
          <w:b/>
          <w:bCs/>
          <w:sz w:val="22"/>
          <w:szCs w:val="22"/>
        </w:rPr>
        <w:t> </w:t>
      </w:r>
      <w:r w:rsidRPr="008E4B62">
        <w:rPr>
          <w:rFonts w:ascii="Verdana" w:hAnsi="Verdana"/>
          <w:sz w:val="22"/>
          <w:szCs w:val="22"/>
        </w:rPr>
        <w:t>La presente resolución rige a partir de la fecha de su expedición.</w:t>
      </w:r>
    </w:p>
    <w:p w14:paraId="06546AE0" w14:textId="77777777" w:rsidR="008E4B62" w:rsidRPr="008E4B62" w:rsidRDefault="008E4B62" w:rsidP="008E4B62">
      <w:pPr>
        <w:pStyle w:val="Sinespaciado"/>
        <w:jc w:val="both"/>
        <w:rPr>
          <w:rFonts w:ascii="Verdana" w:hAnsi="Verdana"/>
          <w:sz w:val="22"/>
          <w:szCs w:val="22"/>
        </w:rPr>
      </w:pPr>
    </w:p>
    <w:p w14:paraId="31BF67ED"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COMUNIQUESE Y CUMPLASE</w:t>
      </w:r>
    </w:p>
    <w:p w14:paraId="378C82AA" w14:textId="7E498849" w:rsidR="008E4B62" w:rsidRPr="008E4B62" w:rsidRDefault="008E4B62" w:rsidP="008E4B62">
      <w:pPr>
        <w:pStyle w:val="Sinespaciado"/>
        <w:jc w:val="center"/>
        <w:rPr>
          <w:rFonts w:ascii="Verdana" w:hAnsi="Verdana"/>
          <w:b/>
          <w:bCs/>
          <w:sz w:val="22"/>
          <w:szCs w:val="22"/>
        </w:rPr>
      </w:pPr>
    </w:p>
    <w:p w14:paraId="1702BFF3" w14:textId="7CC24F86" w:rsidR="008E4B62" w:rsidRDefault="008E4B62" w:rsidP="008E4B62">
      <w:pPr>
        <w:pStyle w:val="Sinespaciado"/>
        <w:jc w:val="center"/>
        <w:rPr>
          <w:rFonts w:ascii="Verdana" w:hAnsi="Verdana"/>
          <w:sz w:val="22"/>
          <w:szCs w:val="22"/>
        </w:rPr>
      </w:pPr>
      <w:r w:rsidRPr="008E4B62">
        <w:rPr>
          <w:rFonts w:ascii="Verdana" w:hAnsi="Verdana"/>
          <w:sz w:val="22"/>
          <w:szCs w:val="22"/>
        </w:rPr>
        <w:t xml:space="preserve">Dada en Bogotá D.C., a los 16 </w:t>
      </w:r>
      <w:r>
        <w:rPr>
          <w:rFonts w:ascii="Verdana" w:hAnsi="Verdana"/>
          <w:sz w:val="22"/>
          <w:szCs w:val="22"/>
        </w:rPr>
        <w:t>noviembre de</w:t>
      </w:r>
      <w:r w:rsidRPr="008E4B62">
        <w:rPr>
          <w:rFonts w:ascii="Verdana" w:hAnsi="Verdana"/>
          <w:sz w:val="22"/>
          <w:szCs w:val="22"/>
        </w:rPr>
        <w:t xml:space="preserve"> 2012</w:t>
      </w:r>
    </w:p>
    <w:p w14:paraId="388F808A" w14:textId="77777777" w:rsidR="008E4B62" w:rsidRDefault="008E4B62" w:rsidP="008E4B62">
      <w:pPr>
        <w:pStyle w:val="Sinespaciado"/>
        <w:jc w:val="center"/>
        <w:rPr>
          <w:rFonts w:ascii="Verdana" w:hAnsi="Verdana"/>
          <w:sz w:val="22"/>
          <w:szCs w:val="22"/>
        </w:rPr>
      </w:pPr>
    </w:p>
    <w:p w14:paraId="49FD53FC" w14:textId="77777777" w:rsidR="008E4B62" w:rsidRPr="008E4B62" w:rsidRDefault="008E4B62" w:rsidP="008E4B62">
      <w:pPr>
        <w:pStyle w:val="Sinespaciado"/>
        <w:jc w:val="center"/>
        <w:rPr>
          <w:rFonts w:ascii="Verdana" w:hAnsi="Verdana"/>
          <w:sz w:val="22"/>
          <w:szCs w:val="22"/>
        </w:rPr>
      </w:pPr>
    </w:p>
    <w:p w14:paraId="5F8A8060" w14:textId="77777777" w:rsidR="008E4B62" w:rsidRPr="008E4B62" w:rsidRDefault="008E4B62" w:rsidP="008E4B62">
      <w:pPr>
        <w:pStyle w:val="Sinespaciado"/>
        <w:jc w:val="center"/>
        <w:rPr>
          <w:rFonts w:ascii="Verdana" w:hAnsi="Verdana"/>
          <w:sz w:val="22"/>
          <w:szCs w:val="22"/>
        </w:rPr>
      </w:pPr>
      <w:r w:rsidRPr="008E4B62">
        <w:rPr>
          <w:rFonts w:ascii="Verdana" w:hAnsi="Verdana"/>
          <w:b/>
          <w:bCs/>
          <w:sz w:val="22"/>
          <w:szCs w:val="22"/>
        </w:rPr>
        <w:t>DIEGO ANDRÉS MOLANO APONTE</w:t>
      </w:r>
    </w:p>
    <w:p w14:paraId="5F6BDE6E" w14:textId="77777777" w:rsidR="008E4B62" w:rsidRDefault="008E4B62" w:rsidP="008E4B62">
      <w:pPr>
        <w:pStyle w:val="Sinespaciado"/>
        <w:jc w:val="center"/>
        <w:rPr>
          <w:rFonts w:ascii="Verdana" w:hAnsi="Verdana"/>
          <w:sz w:val="22"/>
          <w:szCs w:val="22"/>
        </w:rPr>
      </w:pPr>
      <w:r w:rsidRPr="008E4B62">
        <w:rPr>
          <w:rFonts w:ascii="Verdana" w:hAnsi="Verdana"/>
          <w:sz w:val="22"/>
          <w:szCs w:val="22"/>
        </w:rPr>
        <w:t>Director General</w:t>
      </w:r>
    </w:p>
    <w:p w14:paraId="09283097" w14:textId="77777777" w:rsidR="008E4B62" w:rsidRDefault="008E4B62" w:rsidP="008E4B62">
      <w:pPr>
        <w:pStyle w:val="Sinespaciado"/>
        <w:jc w:val="center"/>
        <w:rPr>
          <w:rFonts w:ascii="Verdana" w:hAnsi="Verdana"/>
          <w:sz w:val="22"/>
          <w:szCs w:val="22"/>
        </w:rPr>
      </w:pPr>
    </w:p>
    <w:p w14:paraId="63A3A8AF" w14:textId="77777777" w:rsidR="008E4B62" w:rsidRPr="008E4B62" w:rsidRDefault="008E4B62" w:rsidP="008E4B62">
      <w:pPr>
        <w:pStyle w:val="Sinespaciado"/>
        <w:jc w:val="center"/>
        <w:rPr>
          <w:rFonts w:ascii="Verdana" w:hAnsi="Verdana"/>
          <w:sz w:val="22"/>
          <w:szCs w:val="22"/>
        </w:rPr>
      </w:pPr>
    </w:p>
    <w:p w14:paraId="48410FF5" w14:textId="77777777" w:rsidR="008E4B62" w:rsidRPr="008E4B62" w:rsidRDefault="008E4B62" w:rsidP="008E4B62">
      <w:pPr>
        <w:pStyle w:val="Sinespaciado"/>
        <w:jc w:val="center"/>
        <w:rPr>
          <w:rFonts w:ascii="Verdana" w:hAnsi="Verdana"/>
          <w:sz w:val="22"/>
          <w:szCs w:val="22"/>
        </w:rPr>
      </w:pPr>
      <w:r w:rsidRPr="008E4B62">
        <w:rPr>
          <w:rFonts w:ascii="Verdana" w:hAnsi="Verdana"/>
          <w:b/>
          <w:bCs/>
          <w:sz w:val="22"/>
          <w:szCs w:val="22"/>
        </w:rPr>
        <w:t>Departamento Administrativo para la Prosperidad Social</w:t>
      </w:r>
    </w:p>
    <w:p w14:paraId="030DF65C" w14:textId="77777777" w:rsidR="008E4B62" w:rsidRPr="008E4B62" w:rsidRDefault="008E4B62" w:rsidP="008E4B62">
      <w:pPr>
        <w:pStyle w:val="Sinespaciado"/>
        <w:jc w:val="center"/>
        <w:rPr>
          <w:rFonts w:ascii="Verdana" w:hAnsi="Verdana"/>
          <w:sz w:val="22"/>
          <w:szCs w:val="22"/>
        </w:rPr>
      </w:pPr>
      <w:r w:rsidRPr="008E4B62">
        <w:rPr>
          <w:rFonts w:ascii="Verdana" w:hAnsi="Verdana"/>
          <w:sz w:val="22"/>
          <w:szCs w:val="22"/>
        </w:rPr>
        <w:t>Instituto Colombiano de Bienestar Familiar</w:t>
      </w:r>
    </w:p>
    <w:p w14:paraId="49B0DE6B" w14:textId="77777777" w:rsidR="008E4B62" w:rsidRDefault="008E4B62" w:rsidP="008E4B62">
      <w:pPr>
        <w:pStyle w:val="Sinespaciado"/>
        <w:jc w:val="center"/>
        <w:rPr>
          <w:rFonts w:ascii="Verdana" w:hAnsi="Verdana"/>
          <w:b/>
          <w:bCs/>
          <w:sz w:val="22"/>
          <w:szCs w:val="22"/>
        </w:rPr>
      </w:pPr>
      <w:r w:rsidRPr="008E4B62">
        <w:rPr>
          <w:rFonts w:ascii="Verdana" w:hAnsi="Verdana"/>
          <w:b/>
          <w:bCs/>
          <w:sz w:val="22"/>
          <w:szCs w:val="22"/>
        </w:rPr>
        <w:t>Cecilia De la Fuente de Lleras</w:t>
      </w:r>
    </w:p>
    <w:p w14:paraId="2E8D21D1" w14:textId="77777777" w:rsidR="008E4B62" w:rsidRPr="008E4B62" w:rsidRDefault="008E4B62" w:rsidP="008E4B62">
      <w:pPr>
        <w:pStyle w:val="Sinespaciado"/>
        <w:jc w:val="center"/>
        <w:rPr>
          <w:rFonts w:ascii="Verdana" w:hAnsi="Verdana"/>
          <w:sz w:val="22"/>
          <w:szCs w:val="22"/>
        </w:rPr>
      </w:pPr>
    </w:p>
    <w:p w14:paraId="21519527"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Dirección de Planeación y Control de Gestión - Subdirección de Programación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33"/>
        <w:gridCol w:w="1347"/>
        <w:gridCol w:w="747"/>
        <w:gridCol w:w="719"/>
        <w:gridCol w:w="2231"/>
        <w:gridCol w:w="1576"/>
        <w:gridCol w:w="85"/>
        <w:gridCol w:w="100"/>
      </w:tblGrid>
      <w:tr w:rsidR="008E4B62" w:rsidRPr="008E4B62" w14:paraId="05DD1EFE" w14:textId="77777777">
        <w:trPr>
          <w:gridAfter w:val="2"/>
          <w:wAfter w:w="4053" w:type="dxa"/>
          <w:tblCellSpacing w:w="15" w:type="dxa"/>
        </w:trPr>
        <w:tc>
          <w:tcPr>
            <w:tcW w:w="950" w:type="pct"/>
            <w:tcBorders>
              <w:top w:val="nil"/>
              <w:left w:val="nil"/>
              <w:bottom w:val="nil"/>
              <w:right w:val="nil"/>
            </w:tcBorders>
            <w:tcMar>
              <w:top w:w="0" w:type="dxa"/>
              <w:left w:w="0" w:type="dxa"/>
              <w:bottom w:w="0" w:type="dxa"/>
              <w:right w:w="0" w:type="dxa"/>
            </w:tcMar>
            <w:hideMark/>
          </w:tcPr>
          <w:p w14:paraId="51D3C153"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FICHA I-64</w:t>
            </w:r>
          </w:p>
        </w:tc>
        <w:tc>
          <w:tcPr>
            <w:tcW w:w="750" w:type="pct"/>
            <w:tcBorders>
              <w:top w:val="nil"/>
              <w:left w:val="nil"/>
              <w:bottom w:val="nil"/>
              <w:right w:val="nil"/>
            </w:tcBorders>
            <w:tcMar>
              <w:top w:w="0" w:type="dxa"/>
              <w:left w:w="0" w:type="dxa"/>
              <w:bottom w:w="0" w:type="dxa"/>
              <w:right w:w="0" w:type="dxa"/>
            </w:tcMar>
            <w:hideMark/>
          </w:tcPr>
          <w:p w14:paraId="43AC63EB"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PRG</w:t>
            </w:r>
          </w:p>
        </w:tc>
        <w:tc>
          <w:tcPr>
            <w:tcW w:w="600" w:type="pct"/>
            <w:tcBorders>
              <w:top w:val="nil"/>
              <w:left w:val="nil"/>
              <w:bottom w:val="nil"/>
              <w:right w:val="nil"/>
            </w:tcBorders>
            <w:tcMar>
              <w:top w:w="0" w:type="dxa"/>
              <w:left w:w="0" w:type="dxa"/>
              <w:bottom w:w="0" w:type="dxa"/>
              <w:right w:w="0" w:type="dxa"/>
            </w:tcMar>
            <w:hideMark/>
          </w:tcPr>
          <w:p w14:paraId="4782153F"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SPRG</w:t>
            </w:r>
          </w:p>
        </w:tc>
        <w:tc>
          <w:tcPr>
            <w:tcW w:w="550" w:type="pct"/>
            <w:tcBorders>
              <w:top w:val="nil"/>
              <w:left w:val="nil"/>
              <w:bottom w:val="nil"/>
              <w:right w:val="nil"/>
            </w:tcBorders>
            <w:tcMar>
              <w:top w:w="0" w:type="dxa"/>
              <w:left w:w="0" w:type="dxa"/>
              <w:bottom w:w="0" w:type="dxa"/>
              <w:right w:w="0" w:type="dxa"/>
            </w:tcMar>
            <w:hideMark/>
          </w:tcPr>
          <w:p w14:paraId="6475FAC9"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PROV</w:t>
            </w:r>
          </w:p>
        </w:tc>
        <w:tc>
          <w:tcPr>
            <w:tcW w:w="1500" w:type="pct"/>
            <w:tcBorders>
              <w:top w:val="nil"/>
              <w:left w:val="nil"/>
              <w:bottom w:val="nil"/>
              <w:right w:val="nil"/>
            </w:tcBorders>
            <w:tcMar>
              <w:top w:w="0" w:type="dxa"/>
              <w:left w:w="0" w:type="dxa"/>
              <w:bottom w:w="0" w:type="dxa"/>
              <w:right w:w="0" w:type="dxa"/>
            </w:tcMar>
            <w:hideMark/>
          </w:tcPr>
          <w:p w14:paraId="1D22D640"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SBPY</w:t>
            </w:r>
          </w:p>
        </w:tc>
        <w:tc>
          <w:tcPr>
            <w:tcW w:w="700" w:type="pct"/>
            <w:tcBorders>
              <w:top w:val="nil"/>
              <w:left w:val="nil"/>
              <w:bottom w:val="nil"/>
              <w:right w:val="nil"/>
            </w:tcBorders>
            <w:tcMar>
              <w:top w:w="0" w:type="dxa"/>
              <w:left w:w="0" w:type="dxa"/>
              <w:bottom w:w="0" w:type="dxa"/>
              <w:right w:w="0" w:type="dxa"/>
            </w:tcMar>
            <w:hideMark/>
          </w:tcPr>
          <w:p w14:paraId="5C8217EF"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MODALIDAD</w:t>
            </w:r>
          </w:p>
        </w:tc>
      </w:tr>
      <w:tr w:rsidR="008E4B62" w:rsidRPr="008E4B62" w14:paraId="33836A5C" w14:textId="77777777">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0EFAB0B9"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320</w:t>
            </w:r>
          </w:p>
        </w:tc>
        <w:tc>
          <w:tcPr>
            <w:tcW w:w="600" w:type="pct"/>
            <w:tcBorders>
              <w:top w:val="nil"/>
              <w:left w:val="nil"/>
              <w:bottom w:val="nil"/>
              <w:right w:val="nil"/>
            </w:tcBorders>
            <w:tcMar>
              <w:top w:w="0" w:type="dxa"/>
              <w:left w:w="0" w:type="dxa"/>
              <w:bottom w:w="0" w:type="dxa"/>
              <w:right w:w="0" w:type="dxa"/>
            </w:tcMar>
            <w:hideMark/>
          </w:tcPr>
          <w:p w14:paraId="425A5065"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1504</w:t>
            </w:r>
          </w:p>
        </w:tc>
        <w:tc>
          <w:tcPr>
            <w:tcW w:w="550" w:type="pct"/>
            <w:tcBorders>
              <w:top w:val="nil"/>
              <w:left w:val="nil"/>
              <w:bottom w:val="nil"/>
              <w:right w:val="nil"/>
            </w:tcBorders>
            <w:tcMar>
              <w:top w:w="0" w:type="dxa"/>
              <w:left w:w="0" w:type="dxa"/>
              <w:bottom w:w="0" w:type="dxa"/>
              <w:right w:w="0" w:type="dxa"/>
            </w:tcMar>
            <w:hideMark/>
          </w:tcPr>
          <w:p w14:paraId="1DCB0C75"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5</w:t>
            </w:r>
          </w:p>
        </w:tc>
        <w:tc>
          <w:tcPr>
            <w:tcW w:w="500" w:type="pct"/>
            <w:tcBorders>
              <w:top w:val="nil"/>
              <w:left w:val="nil"/>
              <w:bottom w:val="nil"/>
              <w:right w:val="nil"/>
            </w:tcBorders>
            <w:tcMar>
              <w:top w:w="0" w:type="dxa"/>
              <w:left w:w="0" w:type="dxa"/>
              <w:bottom w:w="0" w:type="dxa"/>
              <w:right w:w="0" w:type="dxa"/>
            </w:tcMar>
            <w:hideMark/>
          </w:tcPr>
          <w:p w14:paraId="11A9AF36"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1</w:t>
            </w:r>
          </w:p>
        </w:tc>
        <w:tc>
          <w:tcPr>
            <w:tcW w:w="500" w:type="pct"/>
            <w:tcBorders>
              <w:top w:val="nil"/>
              <w:left w:val="nil"/>
              <w:bottom w:val="nil"/>
              <w:right w:val="nil"/>
            </w:tcBorders>
            <w:tcMar>
              <w:top w:w="0" w:type="dxa"/>
              <w:left w:w="0" w:type="dxa"/>
              <w:bottom w:w="0" w:type="dxa"/>
              <w:right w:w="0" w:type="dxa"/>
            </w:tcMar>
            <w:hideMark/>
          </w:tcPr>
          <w:p w14:paraId="35B361C4"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2</w:t>
            </w:r>
          </w:p>
        </w:tc>
        <w:tc>
          <w:tcPr>
            <w:tcW w:w="1200" w:type="pct"/>
            <w:gridSpan w:val="2"/>
            <w:tcBorders>
              <w:top w:val="nil"/>
              <w:left w:val="nil"/>
              <w:bottom w:val="nil"/>
              <w:right w:val="nil"/>
            </w:tcBorders>
            <w:tcMar>
              <w:top w:w="0" w:type="dxa"/>
              <w:left w:w="0" w:type="dxa"/>
              <w:bottom w:w="0" w:type="dxa"/>
              <w:right w:w="0" w:type="dxa"/>
            </w:tcMar>
            <w:hideMark/>
          </w:tcPr>
          <w:p w14:paraId="3DBA6A0E"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3</w:t>
            </w:r>
          </w:p>
        </w:tc>
      </w:tr>
      <w:tr w:rsidR="008E4B62" w:rsidRPr="008E4B62" w14:paraId="5DB3467A"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53942C01"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PROYECTO</w:t>
            </w:r>
          </w:p>
        </w:tc>
        <w:tc>
          <w:tcPr>
            <w:tcW w:w="4050" w:type="pct"/>
            <w:gridSpan w:val="5"/>
            <w:tcBorders>
              <w:top w:val="nil"/>
              <w:left w:val="nil"/>
              <w:bottom w:val="nil"/>
              <w:right w:val="nil"/>
            </w:tcBorders>
            <w:tcMar>
              <w:top w:w="0" w:type="dxa"/>
              <w:left w:w="0" w:type="dxa"/>
              <w:bottom w:w="0" w:type="dxa"/>
              <w:right w:w="0" w:type="dxa"/>
            </w:tcMar>
            <w:hideMark/>
          </w:tcPr>
          <w:p w14:paraId="7669015F" w14:textId="77777777" w:rsidR="008E4B62" w:rsidRPr="008E4B62" w:rsidRDefault="008E4B62" w:rsidP="008E4B62">
            <w:pPr>
              <w:pStyle w:val="Sinespaciado"/>
              <w:jc w:val="both"/>
              <w:rPr>
                <w:rFonts w:ascii="Verdana" w:hAnsi="Verdana"/>
                <w:sz w:val="22"/>
                <w:szCs w:val="22"/>
              </w:rPr>
            </w:pPr>
            <w:r w:rsidRPr="008E4B62">
              <w:rPr>
                <w:rFonts w:ascii="Verdana" w:hAnsi="Verdana"/>
                <w:b/>
                <w:bCs/>
                <w:sz w:val="22"/>
                <w:szCs w:val="22"/>
              </w:rPr>
              <w:t>APOYO NUTRICIONAL Y DE ORIENTACIÓN JUVENIL A LA NIÑEZ Y ADOLESCENCIA</w:t>
            </w:r>
            <w:r w:rsidRPr="008E4B62">
              <w:rPr>
                <w:rFonts w:ascii="Verdana" w:hAnsi="Verdana"/>
                <w:b/>
                <w:bCs/>
                <w:sz w:val="22"/>
                <w:szCs w:val="22"/>
              </w:rPr>
              <w:br/>
              <w:t>A NIVEL NACIONAL</w:t>
            </w:r>
          </w:p>
        </w:tc>
        <w:tc>
          <w:tcPr>
            <w:tcW w:w="0" w:type="auto"/>
            <w:tcMar>
              <w:top w:w="0" w:type="dxa"/>
              <w:left w:w="0" w:type="dxa"/>
              <w:bottom w:w="0" w:type="dxa"/>
              <w:right w:w="0" w:type="dxa"/>
            </w:tcMar>
            <w:vAlign w:val="center"/>
            <w:hideMark/>
          </w:tcPr>
          <w:p w14:paraId="35667FA4" w14:textId="77777777" w:rsidR="008E4B62" w:rsidRPr="008E4B62" w:rsidRDefault="008E4B62" w:rsidP="008E4B62">
            <w:pPr>
              <w:pStyle w:val="Sinespaciado"/>
              <w:rPr>
                <w:rFonts w:ascii="Verdana" w:hAnsi="Verdana"/>
                <w:sz w:val="22"/>
                <w:szCs w:val="22"/>
              </w:rPr>
            </w:pPr>
          </w:p>
        </w:tc>
        <w:tc>
          <w:tcPr>
            <w:tcW w:w="0" w:type="auto"/>
            <w:tcMar>
              <w:top w:w="0" w:type="dxa"/>
              <w:left w:w="0" w:type="dxa"/>
              <w:bottom w:w="0" w:type="dxa"/>
              <w:right w:w="0" w:type="dxa"/>
            </w:tcMar>
            <w:vAlign w:val="center"/>
            <w:hideMark/>
          </w:tcPr>
          <w:p w14:paraId="383B803C" w14:textId="77777777" w:rsidR="008E4B62" w:rsidRPr="008E4B62" w:rsidRDefault="008E4B62" w:rsidP="008E4B62">
            <w:pPr>
              <w:pStyle w:val="Sinespaciado"/>
              <w:rPr>
                <w:rFonts w:ascii="Verdana" w:hAnsi="Verdana"/>
                <w:sz w:val="22"/>
                <w:szCs w:val="22"/>
              </w:rPr>
            </w:pPr>
          </w:p>
        </w:tc>
      </w:tr>
      <w:tr w:rsidR="008E4B62" w:rsidRPr="008E4B62" w14:paraId="010FF156"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41A39781"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SUBPROYECTOS</w:t>
            </w:r>
          </w:p>
        </w:tc>
        <w:tc>
          <w:tcPr>
            <w:tcW w:w="4050" w:type="pct"/>
            <w:gridSpan w:val="5"/>
            <w:tcBorders>
              <w:top w:val="nil"/>
              <w:left w:val="nil"/>
              <w:bottom w:val="nil"/>
              <w:right w:val="nil"/>
            </w:tcBorders>
            <w:tcMar>
              <w:top w:w="0" w:type="dxa"/>
              <w:left w:w="0" w:type="dxa"/>
              <w:bottom w:w="0" w:type="dxa"/>
              <w:right w:w="0" w:type="dxa"/>
            </w:tcMar>
            <w:hideMark/>
          </w:tcPr>
          <w:p w14:paraId="3BF7F9E5"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PROGRAMA DE ALIMENTACIÓN ESCOLAR - PAE - DESAYUNO</w:t>
            </w:r>
            <w:r w:rsidRPr="008E4B62">
              <w:rPr>
                <w:rFonts w:ascii="Verdana" w:hAnsi="Verdana"/>
                <w:b/>
                <w:bCs/>
                <w:sz w:val="22"/>
                <w:szCs w:val="22"/>
              </w:rPr>
              <w:br/>
              <w:t>PROGRAMA DE ALIMENTACIÓN ESCOLAR - PAE - ALMUERZO</w:t>
            </w:r>
            <w:r w:rsidRPr="008E4B62">
              <w:rPr>
                <w:rFonts w:ascii="Verdana" w:hAnsi="Verdana"/>
                <w:b/>
                <w:bCs/>
                <w:sz w:val="22"/>
                <w:szCs w:val="22"/>
              </w:rPr>
              <w:br/>
              <w:t>PROGRAMA DE ALIMENTACIÓN ESCOLAR PAE - INTERNADOS RURALES</w:t>
            </w:r>
            <w:r w:rsidRPr="008E4B62">
              <w:rPr>
                <w:rFonts w:ascii="Verdana" w:hAnsi="Verdana"/>
                <w:b/>
                <w:bCs/>
                <w:sz w:val="22"/>
                <w:szCs w:val="22"/>
              </w:rPr>
              <w:br/>
            </w:r>
          </w:p>
        </w:tc>
        <w:tc>
          <w:tcPr>
            <w:tcW w:w="0" w:type="auto"/>
            <w:tcMar>
              <w:top w:w="0" w:type="dxa"/>
              <w:left w:w="0" w:type="dxa"/>
              <w:bottom w:w="0" w:type="dxa"/>
              <w:right w:w="0" w:type="dxa"/>
            </w:tcMar>
            <w:vAlign w:val="center"/>
            <w:hideMark/>
          </w:tcPr>
          <w:p w14:paraId="333A8B5A" w14:textId="77777777" w:rsidR="008E4B62" w:rsidRPr="008E4B62" w:rsidRDefault="008E4B62" w:rsidP="008E4B62">
            <w:pPr>
              <w:pStyle w:val="Sinespaciado"/>
              <w:rPr>
                <w:rFonts w:ascii="Verdana" w:hAnsi="Verdana"/>
                <w:sz w:val="22"/>
                <w:szCs w:val="22"/>
              </w:rPr>
            </w:pPr>
          </w:p>
        </w:tc>
        <w:tc>
          <w:tcPr>
            <w:tcW w:w="0" w:type="auto"/>
            <w:tcMar>
              <w:top w:w="0" w:type="dxa"/>
              <w:left w:w="0" w:type="dxa"/>
              <w:bottom w:w="0" w:type="dxa"/>
              <w:right w:w="0" w:type="dxa"/>
            </w:tcMar>
            <w:vAlign w:val="center"/>
            <w:hideMark/>
          </w:tcPr>
          <w:p w14:paraId="6800C845" w14:textId="77777777" w:rsidR="008E4B62" w:rsidRPr="008E4B62" w:rsidRDefault="008E4B62" w:rsidP="008E4B62">
            <w:pPr>
              <w:pStyle w:val="Sinespaciado"/>
              <w:rPr>
                <w:rFonts w:ascii="Verdana" w:hAnsi="Verdana"/>
                <w:sz w:val="22"/>
                <w:szCs w:val="22"/>
              </w:rPr>
            </w:pPr>
          </w:p>
        </w:tc>
      </w:tr>
      <w:tr w:rsidR="008E4B62" w:rsidRPr="008E4B62" w14:paraId="6C2C5847"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5BAA23CB"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OBJETIVO</w:t>
            </w:r>
          </w:p>
        </w:tc>
        <w:tc>
          <w:tcPr>
            <w:tcW w:w="950" w:type="pct"/>
            <w:tcBorders>
              <w:top w:val="nil"/>
              <w:left w:val="nil"/>
              <w:bottom w:val="nil"/>
              <w:right w:val="nil"/>
            </w:tcBorders>
            <w:tcMar>
              <w:top w:w="0" w:type="dxa"/>
              <w:left w:w="0" w:type="dxa"/>
              <w:bottom w:w="0" w:type="dxa"/>
              <w:right w:w="0" w:type="dxa"/>
            </w:tcMar>
            <w:hideMark/>
          </w:tcPr>
          <w:p w14:paraId="292BFB64"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GENERAL</w:t>
            </w:r>
          </w:p>
        </w:tc>
        <w:tc>
          <w:tcPr>
            <w:tcW w:w="3100" w:type="pct"/>
            <w:gridSpan w:val="4"/>
            <w:tcBorders>
              <w:top w:val="nil"/>
              <w:left w:val="nil"/>
              <w:bottom w:val="nil"/>
              <w:right w:val="nil"/>
            </w:tcBorders>
            <w:tcMar>
              <w:top w:w="0" w:type="dxa"/>
              <w:left w:w="0" w:type="dxa"/>
              <w:bottom w:w="0" w:type="dxa"/>
              <w:right w:w="0" w:type="dxa"/>
            </w:tcMar>
            <w:hideMark/>
          </w:tcPr>
          <w:p w14:paraId="1757E5B3"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Contribuir a mejorar el desempeño académico de los niños, niñas y adolescentes, promover el ingreso y la permanencia en el sistema educativo y la formación de hábitos alimentarios saludables en la población escolar, con la participación activa de la familia, la comunidad y el estado a través de los entes territoriales.</w:t>
            </w:r>
          </w:p>
        </w:tc>
        <w:tc>
          <w:tcPr>
            <w:tcW w:w="0" w:type="auto"/>
            <w:tcMar>
              <w:top w:w="0" w:type="dxa"/>
              <w:left w:w="0" w:type="dxa"/>
              <w:bottom w:w="0" w:type="dxa"/>
              <w:right w:w="0" w:type="dxa"/>
            </w:tcMar>
            <w:vAlign w:val="center"/>
            <w:hideMark/>
          </w:tcPr>
          <w:p w14:paraId="2213CA9D" w14:textId="77777777" w:rsidR="008E4B62" w:rsidRPr="008E4B62" w:rsidRDefault="008E4B62" w:rsidP="008E4B62">
            <w:pPr>
              <w:pStyle w:val="Sinespaciado"/>
              <w:rPr>
                <w:rFonts w:ascii="Verdana" w:hAnsi="Verdana"/>
                <w:sz w:val="22"/>
                <w:szCs w:val="22"/>
              </w:rPr>
            </w:pPr>
          </w:p>
        </w:tc>
        <w:tc>
          <w:tcPr>
            <w:tcW w:w="0" w:type="auto"/>
            <w:tcMar>
              <w:top w:w="0" w:type="dxa"/>
              <w:left w:w="0" w:type="dxa"/>
              <w:bottom w:w="0" w:type="dxa"/>
              <w:right w:w="0" w:type="dxa"/>
            </w:tcMar>
            <w:vAlign w:val="center"/>
            <w:hideMark/>
          </w:tcPr>
          <w:p w14:paraId="6C50A08E" w14:textId="77777777" w:rsidR="008E4B62" w:rsidRPr="008E4B62" w:rsidRDefault="008E4B62" w:rsidP="008E4B62">
            <w:pPr>
              <w:pStyle w:val="Sinespaciado"/>
              <w:rPr>
                <w:rFonts w:ascii="Verdana" w:hAnsi="Verdana"/>
                <w:sz w:val="22"/>
                <w:szCs w:val="22"/>
              </w:rPr>
            </w:pPr>
          </w:p>
        </w:tc>
      </w:tr>
      <w:tr w:rsidR="008E4B62" w:rsidRPr="008E4B62" w14:paraId="5ADF039F" w14:textId="7777777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7C437CD2"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ESPECÍFICO</w:t>
            </w:r>
          </w:p>
        </w:tc>
        <w:tc>
          <w:tcPr>
            <w:tcW w:w="3100" w:type="pct"/>
            <w:gridSpan w:val="4"/>
            <w:tcBorders>
              <w:top w:val="nil"/>
              <w:left w:val="nil"/>
              <w:bottom w:val="nil"/>
              <w:right w:val="nil"/>
            </w:tcBorders>
            <w:tcMar>
              <w:top w:w="0" w:type="dxa"/>
              <w:left w:w="0" w:type="dxa"/>
              <w:bottom w:w="0" w:type="dxa"/>
              <w:right w:w="0" w:type="dxa"/>
            </w:tcMar>
            <w:hideMark/>
          </w:tcPr>
          <w:p w14:paraId="44188D2F" w14:textId="77777777" w:rsidR="008E4B62" w:rsidRPr="008E4B62" w:rsidRDefault="008E4B62" w:rsidP="008E4B62">
            <w:pPr>
              <w:pStyle w:val="Sinespaciado"/>
              <w:rPr>
                <w:rFonts w:ascii="Verdana" w:hAnsi="Verdana"/>
                <w:sz w:val="22"/>
                <w:szCs w:val="22"/>
              </w:rPr>
            </w:pPr>
          </w:p>
        </w:tc>
        <w:tc>
          <w:tcPr>
            <w:tcW w:w="0" w:type="auto"/>
            <w:tcMar>
              <w:top w:w="0" w:type="dxa"/>
              <w:left w:w="0" w:type="dxa"/>
              <w:bottom w:w="0" w:type="dxa"/>
              <w:right w:w="0" w:type="dxa"/>
            </w:tcMar>
            <w:vAlign w:val="center"/>
            <w:hideMark/>
          </w:tcPr>
          <w:p w14:paraId="7CED1884" w14:textId="77777777" w:rsidR="008E4B62" w:rsidRPr="008E4B62" w:rsidRDefault="008E4B62" w:rsidP="008E4B62">
            <w:pPr>
              <w:pStyle w:val="Sinespaciado"/>
              <w:rPr>
                <w:rFonts w:ascii="Verdana" w:hAnsi="Verdana"/>
                <w:sz w:val="22"/>
                <w:szCs w:val="22"/>
              </w:rPr>
            </w:pPr>
          </w:p>
        </w:tc>
        <w:tc>
          <w:tcPr>
            <w:tcW w:w="0" w:type="auto"/>
            <w:tcMar>
              <w:top w:w="0" w:type="dxa"/>
              <w:left w:w="0" w:type="dxa"/>
              <w:bottom w:w="0" w:type="dxa"/>
              <w:right w:w="0" w:type="dxa"/>
            </w:tcMar>
            <w:vAlign w:val="center"/>
            <w:hideMark/>
          </w:tcPr>
          <w:p w14:paraId="2ED274FE" w14:textId="77777777" w:rsidR="008E4B62" w:rsidRPr="008E4B62" w:rsidRDefault="008E4B62" w:rsidP="008E4B62">
            <w:pPr>
              <w:pStyle w:val="Sinespaciado"/>
              <w:rPr>
                <w:rFonts w:ascii="Verdana" w:hAnsi="Verdana"/>
                <w:sz w:val="22"/>
                <w:szCs w:val="22"/>
              </w:rPr>
            </w:pPr>
          </w:p>
        </w:tc>
      </w:tr>
    </w:tbl>
    <w:p w14:paraId="389AD250"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POBLACION OBJETIVO</w:t>
      </w:r>
      <w:r w:rsidRPr="008E4B62">
        <w:rPr>
          <w:rFonts w:ascii="Verdana" w:hAnsi="Verdana"/>
          <w:b/>
          <w:bCs/>
          <w:sz w:val="22"/>
          <w:szCs w:val="22"/>
        </w:rPr>
        <w:br/>
      </w:r>
    </w:p>
    <w:p w14:paraId="268321F4"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Niños, niñas y adolescentes matriculados en el sistema educativo oficial colombiano. En concordancia con lo definido en el Artículo 19 de la Ley 1176 de 2007, una vez seleccionada la Institución Educativa oficial, el Programa de Alimentación Escolar, otorga el beneficio al 100% de los alumnos matriculados por grado, cubriendo prioritariamente a la población en preescolar y primaria, y avanzando para cubrir la totalidad de grados siguientes. / (1)</w:t>
      </w:r>
      <w:r w:rsidRPr="008E4B62">
        <w:rPr>
          <w:rFonts w:ascii="Verdana" w:hAnsi="Verdana"/>
          <w:sz w:val="22"/>
          <w:szCs w:val="22"/>
        </w:rPr>
        <w:br/>
      </w:r>
      <w:r w:rsidRPr="008E4B62">
        <w:rPr>
          <w:rFonts w:ascii="Verdana" w:hAnsi="Verdana"/>
          <w:sz w:val="22"/>
          <w:szCs w:val="22"/>
        </w:rPr>
        <w:br/>
        <w:t>Para seleccionar las Instituciones Educativas, se prioriza la población en zonas rurales, o que la mayoría de los escolares se encuentren en situación de desplazamiento, pertenecientes a grupos étnicos, Red Unidos o bajo los siguientes puntos de corte, según desagregación geográfica:</w:t>
      </w:r>
      <w:r w:rsidRPr="008E4B62">
        <w:rPr>
          <w:rFonts w:ascii="Verdana" w:hAnsi="Verdana"/>
          <w:sz w:val="22"/>
          <w:szCs w:val="22"/>
        </w:rPr>
        <w:br/>
      </w:r>
      <w:r w:rsidRPr="008E4B62">
        <w:rPr>
          <w:rFonts w:ascii="Verdana" w:hAnsi="Verdana"/>
          <w:sz w:val="22"/>
          <w:szCs w:val="22"/>
        </w:rPr>
        <w:br/>
      </w:r>
      <w:r w:rsidRPr="008E4B62">
        <w:rPr>
          <w:rFonts w:ascii="Verdana" w:hAnsi="Verdana"/>
          <w:b/>
          <w:bCs/>
          <w:sz w:val="22"/>
          <w:szCs w:val="22"/>
        </w:rPr>
        <w:t>14 ciudades (1)</w:t>
      </w:r>
      <w:r w:rsidRPr="008E4B62">
        <w:rPr>
          <w:rFonts w:ascii="Verdana" w:hAnsi="Verdana"/>
          <w:b/>
          <w:bCs/>
          <w:sz w:val="22"/>
          <w:szCs w:val="22"/>
        </w:rPr>
        <w:br/>
        <w:t>Otras cabeceras</w:t>
      </w:r>
      <w:r w:rsidRPr="008E4B62">
        <w:rPr>
          <w:rFonts w:ascii="Verdana" w:hAnsi="Verdana"/>
          <w:b/>
          <w:bCs/>
          <w:sz w:val="22"/>
          <w:szCs w:val="22"/>
        </w:rPr>
        <w:br/>
        <w:t>Rural</w:t>
      </w:r>
      <w:r w:rsidRPr="008E4B62">
        <w:rPr>
          <w:rFonts w:ascii="Verdana" w:hAnsi="Verdana"/>
          <w:b/>
          <w:bCs/>
          <w:sz w:val="22"/>
          <w:szCs w:val="22"/>
        </w:rPr>
        <w:br/>
      </w:r>
      <w:r w:rsidRPr="008E4B62">
        <w:rPr>
          <w:rFonts w:ascii="Verdana" w:hAnsi="Verdana"/>
          <w:sz w:val="22"/>
          <w:szCs w:val="22"/>
        </w:rPr>
        <w:br/>
        <w:t>0 – 48.49</w:t>
      </w:r>
      <w:r w:rsidRPr="008E4B62">
        <w:rPr>
          <w:rFonts w:ascii="Verdana" w:hAnsi="Verdana"/>
          <w:sz w:val="22"/>
          <w:szCs w:val="22"/>
        </w:rPr>
        <w:br/>
        <w:t>0 -45.34</w:t>
      </w:r>
      <w:r w:rsidRPr="008E4B62">
        <w:rPr>
          <w:rFonts w:ascii="Verdana" w:hAnsi="Verdana"/>
          <w:sz w:val="22"/>
          <w:szCs w:val="22"/>
        </w:rPr>
        <w:br/>
        <w:t>0 – 34.79</w:t>
      </w:r>
      <w:r w:rsidRPr="008E4B62">
        <w:rPr>
          <w:rFonts w:ascii="Verdana" w:hAnsi="Verdana"/>
          <w:sz w:val="22"/>
          <w:szCs w:val="22"/>
        </w:rPr>
        <w:br/>
      </w:r>
      <w:r w:rsidRPr="008E4B62">
        <w:rPr>
          <w:rFonts w:ascii="Verdana" w:hAnsi="Verdana"/>
          <w:sz w:val="22"/>
          <w:szCs w:val="22"/>
        </w:rPr>
        <w:br/>
      </w:r>
      <w:r w:rsidRPr="008E4B62">
        <w:rPr>
          <w:rFonts w:ascii="Verdana" w:hAnsi="Verdana"/>
          <w:sz w:val="22"/>
          <w:szCs w:val="22"/>
        </w:rPr>
        <w:br/>
        <w:t>14 ciudades principales: Bo</w:t>
      </w:r>
      <w:r w:rsidRPr="008E4B62">
        <w:rPr>
          <w:rFonts w:ascii="Verdana" w:hAnsi="Verdana"/>
          <w:sz w:val="22"/>
          <w:szCs w:val="22"/>
          <w:u w:val="single"/>
        </w:rPr>
        <w:t>g</w:t>
      </w:r>
      <w:r w:rsidRPr="008E4B62">
        <w:rPr>
          <w:rFonts w:ascii="Verdana" w:hAnsi="Verdana"/>
          <w:sz w:val="22"/>
          <w:szCs w:val="22"/>
        </w:rPr>
        <w:t>otá, Medellín</w:t>
      </w:r>
      <w:r w:rsidRPr="008E4B62">
        <w:rPr>
          <w:rFonts w:ascii="Verdana" w:hAnsi="Verdana"/>
          <w:sz w:val="22"/>
          <w:szCs w:val="22"/>
          <w:u w:val="single"/>
        </w:rPr>
        <w:t>,</w:t>
      </w:r>
      <w:r w:rsidRPr="008E4B62">
        <w:rPr>
          <w:rFonts w:ascii="Verdana" w:hAnsi="Verdana"/>
          <w:sz w:val="22"/>
          <w:szCs w:val="22"/>
        </w:rPr>
        <w:t> Cali, Barran</w:t>
      </w:r>
      <w:r w:rsidRPr="008E4B62">
        <w:rPr>
          <w:rFonts w:ascii="Verdana" w:hAnsi="Verdana"/>
          <w:sz w:val="22"/>
          <w:szCs w:val="22"/>
          <w:u w:val="single"/>
        </w:rPr>
        <w:t>q</w:t>
      </w:r>
      <w:r w:rsidRPr="008E4B62">
        <w:rPr>
          <w:rFonts w:ascii="Verdana" w:hAnsi="Verdana"/>
          <w:sz w:val="22"/>
          <w:szCs w:val="22"/>
        </w:rPr>
        <w:t>u</w:t>
      </w:r>
      <w:r w:rsidRPr="008E4B62">
        <w:rPr>
          <w:rFonts w:ascii="Verdana" w:hAnsi="Verdana"/>
          <w:sz w:val="22"/>
          <w:szCs w:val="22"/>
          <w:u w:val="single"/>
        </w:rPr>
        <w:t>ill</w:t>
      </w:r>
      <w:r w:rsidRPr="008E4B62">
        <w:rPr>
          <w:rFonts w:ascii="Verdana" w:hAnsi="Verdana"/>
          <w:sz w:val="22"/>
          <w:szCs w:val="22"/>
        </w:rPr>
        <w:t>a, Carta</w:t>
      </w:r>
      <w:r w:rsidRPr="008E4B62">
        <w:rPr>
          <w:rFonts w:ascii="Verdana" w:hAnsi="Verdana"/>
          <w:sz w:val="22"/>
          <w:szCs w:val="22"/>
          <w:u w:val="single"/>
        </w:rPr>
        <w:t>g</w:t>
      </w:r>
      <w:r w:rsidRPr="008E4B62">
        <w:rPr>
          <w:rFonts w:ascii="Verdana" w:hAnsi="Verdana"/>
          <w:sz w:val="22"/>
          <w:szCs w:val="22"/>
        </w:rPr>
        <w:t>ena, Cúcuta, Bucara</w:t>
      </w:r>
      <w:r w:rsidRPr="008E4B62">
        <w:rPr>
          <w:rFonts w:ascii="Verdana" w:hAnsi="Verdana"/>
          <w:sz w:val="22"/>
          <w:szCs w:val="22"/>
          <w:u w:val="single"/>
        </w:rPr>
        <w:t>m</w:t>
      </w:r>
      <w:r w:rsidRPr="008E4B62">
        <w:rPr>
          <w:rFonts w:ascii="Verdana" w:hAnsi="Verdana"/>
          <w:sz w:val="22"/>
          <w:szCs w:val="22"/>
        </w:rPr>
        <w:t>an</w:t>
      </w:r>
      <w:r w:rsidRPr="008E4B62">
        <w:rPr>
          <w:rFonts w:ascii="Verdana" w:hAnsi="Verdana"/>
          <w:sz w:val="22"/>
          <w:szCs w:val="22"/>
          <w:u w:val="single"/>
        </w:rPr>
        <w:t>g</w:t>
      </w:r>
      <w:r w:rsidRPr="008E4B62">
        <w:rPr>
          <w:rFonts w:ascii="Verdana" w:hAnsi="Verdana"/>
          <w:sz w:val="22"/>
          <w:szCs w:val="22"/>
        </w:rPr>
        <w:t>a, Iba</w:t>
      </w:r>
      <w:r w:rsidRPr="008E4B62">
        <w:rPr>
          <w:rFonts w:ascii="Verdana" w:hAnsi="Verdana"/>
          <w:sz w:val="22"/>
          <w:szCs w:val="22"/>
          <w:u w:val="single"/>
        </w:rPr>
        <w:t>g</w:t>
      </w:r>
      <w:r w:rsidRPr="008E4B62">
        <w:rPr>
          <w:rFonts w:ascii="Verdana" w:hAnsi="Verdana"/>
          <w:sz w:val="22"/>
          <w:szCs w:val="22"/>
        </w:rPr>
        <w:t>ué, Pereira</w:t>
      </w:r>
      <w:r w:rsidRPr="008E4B62">
        <w:rPr>
          <w:rFonts w:ascii="Verdana" w:hAnsi="Verdana"/>
          <w:sz w:val="22"/>
          <w:szCs w:val="22"/>
          <w:u w:val="single"/>
        </w:rPr>
        <w:t>,</w:t>
      </w:r>
      <w:r w:rsidRPr="008E4B62">
        <w:rPr>
          <w:rFonts w:ascii="Verdana" w:hAnsi="Verdana"/>
          <w:sz w:val="22"/>
          <w:szCs w:val="22"/>
        </w:rPr>
        <w:t> V</w:t>
      </w:r>
      <w:r w:rsidRPr="008E4B62">
        <w:rPr>
          <w:rFonts w:ascii="Verdana" w:hAnsi="Verdana"/>
          <w:sz w:val="22"/>
          <w:szCs w:val="22"/>
          <w:u w:val="single"/>
        </w:rPr>
        <w:t>ill</w:t>
      </w:r>
      <w:r w:rsidRPr="008E4B62">
        <w:rPr>
          <w:rFonts w:ascii="Verdana" w:hAnsi="Verdana"/>
          <w:sz w:val="22"/>
          <w:szCs w:val="22"/>
        </w:rPr>
        <w:t>avicenc</w:t>
      </w:r>
      <w:r w:rsidRPr="008E4B62">
        <w:rPr>
          <w:rFonts w:ascii="Verdana" w:hAnsi="Verdana"/>
          <w:sz w:val="22"/>
          <w:szCs w:val="22"/>
          <w:u w:val="single"/>
        </w:rPr>
        <w:t>i</w:t>
      </w:r>
      <w:r w:rsidRPr="008E4B62">
        <w:rPr>
          <w:rFonts w:ascii="Verdana" w:hAnsi="Verdana"/>
          <w:sz w:val="22"/>
          <w:szCs w:val="22"/>
        </w:rPr>
        <w:t>o, Pasto, Monter</w:t>
      </w:r>
      <w:r w:rsidRPr="008E4B62">
        <w:rPr>
          <w:rFonts w:ascii="Verdana" w:hAnsi="Verdana"/>
          <w:sz w:val="22"/>
          <w:szCs w:val="22"/>
          <w:u w:val="single"/>
        </w:rPr>
        <w:t>í</w:t>
      </w:r>
      <w:r w:rsidRPr="008E4B62">
        <w:rPr>
          <w:rFonts w:ascii="Verdana" w:hAnsi="Verdana"/>
          <w:sz w:val="22"/>
          <w:szCs w:val="22"/>
        </w:rPr>
        <w:t>a, Man</w:t>
      </w:r>
      <w:r w:rsidRPr="008E4B62">
        <w:rPr>
          <w:rFonts w:ascii="Verdana" w:hAnsi="Verdana"/>
          <w:sz w:val="22"/>
          <w:szCs w:val="22"/>
          <w:u w:val="single"/>
        </w:rPr>
        <w:t>i</w:t>
      </w:r>
      <w:r w:rsidRPr="008E4B62">
        <w:rPr>
          <w:rFonts w:ascii="Verdana" w:hAnsi="Verdana"/>
          <w:sz w:val="22"/>
          <w:szCs w:val="22"/>
        </w:rPr>
        <w:t>zales </w:t>
      </w:r>
      <w:r w:rsidRPr="008E4B62">
        <w:rPr>
          <w:rFonts w:ascii="Verdana" w:hAnsi="Verdana"/>
          <w:sz w:val="22"/>
          <w:szCs w:val="22"/>
          <w:u w:val="single"/>
        </w:rPr>
        <w:t>y</w:t>
      </w:r>
      <w:r w:rsidRPr="008E4B62">
        <w:rPr>
          <w:rFonts w:ascii="Verdana" w:hAnsi="Verdana"/>
          <w:sz w:val="22"/>
          <w:szCs w:val="22"/>
        </w:rPr>
        <w:t> Santa Marta).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85"/>
        <w:gridCol w:w="2179"/>
        <w:gridCol w:w="1424"/>
        <w:gridCol w:w="1525"/>
        <w:gridCol w:w="917"/>
        <w:gridCol w:w="908"/>
      </w:tblGrid>
      <w:tr w:rsidR="008E4B62" w:rsidRPr="008E4B62" w14:paraId="2902BAF4"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0FBA4DC8"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ACCIONES</w:t>
            </w:r>
            <w:r w:rsidRPr="008E4B62">
              <w:rPr>
                <w:rFonts w:ascii="Verdana" w:hAnsi="Verdana"/>
                <w:b/>
                <w:bCs/>
                <w:sz w:val="22"/>
                <w:szCs w:val="22"/>
              </w:rPr>
              <w:br/>
            </w:r>
          </w:p>
        </w:tc>
        <w:tc>
          <w:tcPr>
            <w:tcW w:w="4050" w:type="pct"/>
            <w:gridSpan w:val="5"/>
            <w:tcBorders>
              <w:top w:val="nil"/>
              <w:left w:val="nil"/>
              <w:bottom w:val="nil"/>
              <w:right w:val="nil"/>
            </w:tcBorders>
            <w:tcMar>
              <w:top w:w="0" w:type="dxa"/>
              <w:left w:w="0" w:type="dxa"/>
              <w:bottom w:w="0" w:type="dxa"/>
              <w:right w:w="0" w:type="dxa"/>
            </w:tcMar>
            <w:hideMark/>
          </w:tcPr>
          <w:p w14:paraId="7946B7B6"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Suministrar a los escolares por lo menos una ración de alimentos durante su asistencia a la jomada escolar diaria en la institución educativa, como complemento a la alimentación recibida en el hogar</w:t>
            </w:r>
          </w:p>
        </w:tc>
      </w:tr>
      <w:tr w:rsidR="008E4B62" w:rsidRPr="008E4B62" w14:paraId="0DCD3EB0"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68CAE39A"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br/>
            </w:r>
            <w:r w:rsidRPr="008E4B62">
              <w:rPr>
                <w:rFonts w:ascii="Verdana" w:hAnsi="Verdana"/>
                <w:sz w:val="22"/>
                <w:szCs w:val="22"/>
              </w:rPr>
              <w:br/>
            </w:r>
            <w:r w:rsidRPr="008E4B62">
              <w:rPr>
                <w:rFonts w:ascii="Verdana" w:hAnsi="Verdana"/>
                <w:sz w:val="22"/>
                <w:szCs w:val="22"/>
              </w:rPr>
              <w:br/>
            </w:r>
            <w:r w:rsidRPr="008E4B62">
              <w:rPr>
                <w:rFonts w:ascii="Verdana" w:hAnsi="Verdana"/>
                <w:b/>
                <w:bCs/>
                <w:sz w:val="22"/>
                <w:szCs w:val="22"/>
              </w:rPr>
              <w:t>PARÁMETROS</w:t>
            </w:r>
          </w:p>
        </w:tc>
        <w:tc>
          <w:tcPr>
            <w:tcW w:w="950" w:type="pct"/>
            <w:tcBorders>
              <w:top w:val="nil"/>
              <w:left w:val="nil"/>
              <w:bottom w:val="nil"/>
              <w:right w:val="nil"/>
            </w:tcBorders>
            <w:tcMar>
              <w:top w:w="0" w:type="dxa"/>
              <w:left w:w="0" w:type="dxa"/>
              <w:bottom w:w="0" w:type="dxa"/>
              <w:right w:w="0" w:type="dxa"/>
            </w:tcMar>
            <w:hideMark/>
          </w:tcPr>
          <w:p w14:paraId="4A8A774B"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TIEMPO DE FUNCIONAMIENTO</w:t>
            </w:r>
          </w:p>
        </w:tc>
        <w:tc>
          <w:tcPr>
            <w:tcW w:w="3100" w:type="pct"/>
            <w:gridSpan w:val="4"/>
            <w:tcBorders>
              <w:top w:val="nil"/>
              <w:left w:val="nil"/>
              <w:bottom w:val="nil"/>
              <w:right w:val="nil"/>
            </w:tcBorders>
            <w:tcMar>
              <w:top w:w="0" w:type="dxa"/>
              <w:left w:w="0" w:type="dxa"/>
              <w:bottom w:w="0" w:type="dxa"/>
              <w:right w:w="0" w:type="dxa"/>
            </w:tcMar>
            <w:hideMark/>
          </w:tcPr>
          <w:p w14:paraId="3D0F44C0"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180 Días</w:t>
            </w:r>
          </w:p>
        </w:tc>
      </w:tr>
      <w:tr w:rsidR="008E4B62" w:rsidRPr="008E4B62" w14:paraId="65C76CFA" w14:textId="7777777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15EA9D9D"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ROTACIÓN</w:t>
            </w:r>
          </w:p>
        </w:tc>
        <w:tc>
          <w:tcPr>
            <w:tcW w:w="3100" w:type="pct"/>
            <w:gridSpan w:val="4"/>
            <w:tcBorders>
              <w:top w:val="nil"/>
              <w:left w:val="nil"/>
              <w:bottom w:val="nil"/>
              <w:right w:val="nil"/>
            </w:tcBorders>
            <w:tcMar>
              <w:top w:w="0" w:type="dxa"/>
              <w:left w:w="0" w:type="dxa"/>
              <w:bottom w:w="0" w:type="dxa"/>
              <w:right w:w="0" w:type="dxa"/>
            </w:tcMar>
            <w:hideMark/>
          </w:tcPr>
          <w:p w14:paraId="64AD41EF"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Un niño por cupo</w:t>
            </w:r>
          </w:p>
        </w:tc>
      </w:tr>
      <w:tr w:rsidR="008E4B62" w:rsidRPr="008E4B62" w14:paraId="76A076E5" w14:textId="77777777">
        <w:trPr>
          <w:tblCellSpacing w:w="15" w:type="dxa"/>
        </w:trPr>
        <w:tc>
          <w:tcPr>
            <w:tcW w:w="1900" w:type="pct"/>
            <w:gridSpan w:val="2"/>
            <w:tcBorders>
              <w:top w:val="nil"/>
              <w:left w:val="nil"/>
              <w:bottom w:val="nil"/>
              <w:right w:val="nil"/>
            </w:tcBorders>
            <w:tcMar>
              <w:top w:w="0" w:type="dxa"/>
              <w:left w:w="0" w:type="dxa"/>
              <w:bottom w:w="0" w:type="dxa"/>
              <w:right w:w="0" w:type="dxa"/>
            </w:tcMar>
            <w:hideMark/>
          </w:tcPr>
          <w:p w14:paraId="2EAC9607"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BIENESTARINA</w:t>
            </w:r>
          </w:p>
        </w:tc>
        <w:tc>
          <w:tcPr>
            <w:tcW w:w="3100" w:type="pct"/>
            <w:gridSpan w:val="4"/>
            <w:tcBorders>
              <w:top w:val="nil"/>
              <w:left w:val="nil"/>
              <w:bottom w:val="nil"/>
              <w:right w:val="nil"/>
            </w:tcBorders>
            <w:tcMar>
              <w:top w:w="0" w:type="dxa"/>
              <w:left w:w="0" w:type="dxa"/>
              <w:bottom w:w="0" w:type="dxa"/>
              <w:right w:w="0" w:type="dxa"/>
            </w:tcMar>
            <w:hideMark/>
          </w:tcPr>
          <w:p w14:paraId="2E0450E7"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10 gr. cupo niño día (180 días)</w:t>
            </w:r>
          </w:p>
        </w:tc>
      </w:tr>
      <w:tr w:rsidR="008E4B62" w:rsidRPr="008E4B62" w14:paraId="342B51F3"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04FE2C40" w14:textId="77777777" w:rsidR="008E4B62" w:rsidRPr="008E4B62" w:rsidRDefault="008E4B62" w:rsidP="008E4B62">
            <w:pPr>
              <w:pStyle w:val="Sinespaciado"/>
              <w:rPr>
                <w:rFonts w:ascii="Verdana" w:hAnsi="Verdana"/>
                <w:sz w:val="22"/>
                <w:szCs w:val="22"/>
              </w:rPr>
            </w:pPr>
          </w:p>
        </w:tc>
        <w:tc>
          <w:tcPr>
            <w:tcW w:w="950" w:type="pct"/>
            <w:tcBorders>
              <w:top w:val="nil"/>
              <w:left w:val="nil"/>
              <w:bottom w:val="nil"/>
              <w:right w:val="nil"/>
            </w:tcBorders>
            <w:tcMar>
              <w:top w:w="0" w:type="dxa"/>
              <w:left w:w="0" w:type="dxa"/>
              <w:bottom w:w="0" w:type="dxa"/>
              <w:right w:w="0" w:type="dxa"/>
            </w:tcMar>
            <w:hideMark/>
          </w:tcPr>
          <w:p w14:paraId="25F44CDF"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br/>
            </w:r>
            <w:r w:rsidRPr="008E4B62">
              <w:rPr>
                <w:rFonts w:ascii="Verdana" w:hAnsi="Verdana"/>
                <w:b/>
                <w:bCs/>
                <w:sz w:val="22"/>
                <w:szCs w:val="22"/>
              </w:rPr>
              <w:br/>
            </w:r>
            <w:r w:rsidRPr="008E4B62">
              <w:rPr>
                <w:rFonts w:ascii="Verdana" w:hAnsi="Verdana"/>
                <w:b/>
                <w:bCs/>
                <w:sz w:val="22"/>
                <w:szCs w:val="22"/>
              </w:rPr>
              <w:br/>
              <w:t>COSTO</w:t>
            </w:r>
          </w:p>
        </w:tc>
        <w:tc>
          <w:tcPr>
            <w:tcW w:w="3100" w:type="pct"/>
            <w:gridSpan w:val="4"/>
            <w:tcBorders>
              <w:top w:val="nil"/>
              <w:left w:val="nil"/>
              <w:bottom w:val="nil"/>
              <w:right w:val="nil"/>
            </w:tcBorders>
            <w:tcMar>
              <w:top w:w="0" w:type="dxa"/>
              <w:left w:w="0" w:type="dxa"/>
              <w:bottom w:w="0" w:type="dxa"/>
              <w:right w:w="0" w:type="dxa"/>
            </w:tcMar>
            <w:hideMark/>
          </w:tcPr>
          <w:p w14:paraId="2835D4A4"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Desayuno: $ 915 Ración/Escolar/día (Incluye el valor de Bienestarina $35 10 Gramos/cupo/día)</w:t>
            </w:r>
            <w:r w:rsidRPr="008E4B62">
              <w:rPr>
                <w:rFonts w:ascii="Verdana" w:hAnsi="Verdana"/>
                <w:sz w:val="22"/>
                <w:szCs w:val="22"/>
              </w:rPr>
              <w:br/>
              <w:t>Almuerzo: $ 1.232 Ración/Escolar/día (Incluye el valor de Bienestarina $35 10 Gramos/cupo/día)</w:t>
            </w:r>
            <w:r w:rsidRPr="008E4B62">
              <w:rPr>
                <w:rFonts w:ascii="Verdana" w:hAnsi="Verdana"/>
                <w:sz w:val="22"/>
                <w:szCs w:val="22"/>
              </w:rPr>
              <w:br/>
              <w:t>Internado Rural: $2.147 cupo/niño/día. (Incluye el valor de Bienestarina $35 10 Gramos/cupo/día)</w:t>
            </w:r>
            <w:r w:rsidRPr="008E4B62">
              <w:rPr>
                <w:rFonts w:ascii="Verdana" w:hAnsi="Verdana"/>
                <w:sz w:val="22"/>
                <w:szCs w:val="22"/>
              </w:rPr>
              <w:br/>
              <w:t>Se mantiene la unificación de costos para las modalidades de desayuno y almuerzo en el país, con excepción de las Regionales Bogotá, San Andrés, Amazonas, Guainía, Vaupés y Vichada.</w:t>
            </w:r>
            <w:r w:rsidRPr="008E4B62">
              <w:rPr>
                <w:rFonts w:ascii="Verdana" w:hAnsi="Verdana"/>
                <w:sz w:val="22"/>
                <w:szCs w:val="22"/>
              </w:rPr>
              <w:br/>
            </w:r>
            <w:r w:rsidRPr="008E4B62">
              <w:rPr>
                <w:rFonts w:ascii="Verdana" w:hAnsi="Verdana"/>
                <w:sz w:val="22"/>
                <w:szCs w:val="22"/>
              </w:rPr>
              <w:br/>
              <w:t>Para desayunos y complemento alimentario jornada tarde debe garantizarse que los niños beneficiarios </w:t>
            </w:r>
            <w:r w:rsidRPr="008E4B62">
              <w:rPr>
                <w:rFonts w:ascii="Verdana" w:hAnsi="Verdana"/>
                <w:sz w:val="22"/>
                <w:szCs w:val="22"/>
                <w:u w:val="single"/>
              </w:rPr>
              <w:t>no paguen cuota de</w:t>
            </w:r>
            <w:r w:rsidRPr="008E4B62">
              <w:rPr>
                <w:rFonts w:ascii="Verdana" w:hAnsi="Verdana"/>
                <w:sz w:val="22"/>
                <w:szCs w:val="22"/>
              </w:rPr>
              <w:t> </w:t>
            </w:r>
            <w:r w:rsidRPr="008E4B62">
              <w:rPr>
                <w:rFonts w:ascii="Verdana" w:hAnsi="Verdana"/>
                <w:sz w:val="22"/>
                <w:szCs w:val="22"/>
                <w:u w:val="single"/>
              </w:rPr>
              <w:t>participación.</w:t>
            </w:r>
            <w:r w:rsidRPr="008E4B62">
              <w:rPr>
                <w:rFonts w:ascii="Verdana" w:hAnsi="Verdana"/>
                <w:sz w:val="22"/>
                <w:szCs w:val="22"/>
              </w:rPr>
              <w:t> Para almuerzos, mientras se logra el desmonte total de cuotas de participación, la cuota máxima de participación por semana debe ser el 11% de un SMLV 2011. Si las familias no pueden pagar cuota de participación esto no debe excluir al niño del servicio, se debe gestionar la consecución de este valor a través de cofinanciación. El ICBF, reconoce las cuotas compensatorias para niños y niñas de familias desplazadas, en la Modalidad Almuerzo.</w:t>
            </w:r>
            <w:r w:rsidRPr="008E4B62">
              <w:rPr>
                <w:rFonts w:ascii="Verdana" w:hAnsi="Verdana"/>
                <w:sz w:val="22"/>
                <w:szCs w:val="22"/>
              </w:rPr>
              <w:br/>
            </w:r>
            <w:r w:rsidRPr="008E4B62">
              <w:rPr>
                <w:rFonts w:ascii="Verdana" w:hAnsi="Verdana"/>
                <w:sz w:val="22"/>
                <w:szCs w:val="22"/>
              </w:rPr>
              <w:br/>
              <w:t>En la Regional Cundinamarca continúa la modalidad Refrigerio Reforzado en lugar de Desayuno, conservando los mismos criterios definidos mediante Resolución 0684 de Marzo 29 de 2006.</w:t>
            </w:r>
            <w:r w:rsidRPr="008E4B62">
              <w:rPr>
                <w:rFonts w:ascii="Verdana" w:hAnsi="Verdana"/>
                <w:sz w:val="22"/>
                <w:szCs w:val="22"/>
              </w:rPr>
              <w:br/>
            </w:r>
            <w:r w:rsidRPr="008E4B62">
              <w:rPr>
                <w:rFonts w:ascii="Verdana" w:hAnsi="Verdana"/>
                <w:sz w:val="22"/>
                <w:szCs w:val="22"/>
              </w:rPr>
              <w:br/>
              <w:t>Para las unidades de servicio que requieran dotación y menaje, es necesario fortalecer la gestión con recursos del municipio: por Ley 1176 de 2007, (por educación: calidad o recursos especiales para alimentación escolar, por salud, fortalecimiento Plan Nacional de Alimentación y Nutrición), recursos propios del municipio, recursos de libre Inversión, Resguardos Indígenas, Gobernación, ONGs, regalías. Cooperación Internacional u otras.</w:t>
            </w:r>
            <w:r w:rsidRPr="008E4B62">
              <w:rPr>
                <w:rFonts w:ascii="Verdana" w:hAnsi="Verdana"/>
                <w:sz w:val="22"/>
                <w:szCs w:val="22"/>
              </w:rPr>
              <w:br/>
            </w:r>
            <w:r w:rsidRPr="008E4B62">
              <w:rPr>
                <w:rFonts w:ascii="Verdana" w:hAnsi="Verdana"/>
                <w:sz w:val="22"/>
                <w:szCs w:val="22"/>
              </w:rPr>
              <w:br/>
            </w:r>
            <w:r w:rsidRPr="008E4B62">
              <w:rPr>
                <w:rFonts w:ascii="Verdana" w:hAnsi="Verdana"/>
                <w:b/>
                <w:bCs/>
                <w:sz w:val="22"/>
                <w:szCs w:val="22"/>
              </w:rPr>
              <w:t>Cofinanciación: </w:t>
            </w:r>
            <w:r w:rsidRPr="008E4B62">
              <w:rPr>
                <w:rFonts w:ascii="Verdana" w:hAnsi="Verdana"/>
                <w:sz w:val="22"/>
                <w:szCs w:val="22"/>
              </w:rPr>
              <w:t>La Ley 1176 de 2007 a través del Sistema General de Participaciones - Asignación Especial para Alimentación Escolar destina recursos a los Distritos y Municipios para la prestación de este servicio, por lo cual se debe promover la realización de convenios con los Entes Territoriales y otros cofinanciadores que permitan la integración de recursos de asistencia alimentaria en una bolsa común de tal forma que permita cualificar la minuta, ampliar cobertura (cupos y días de atención) mejorar la prestación del servicio y el desmonte total de las cuotas de participación en almuerzo escolar.</w:t>
            </w:r>
            <w:r w:rsidRPr="008E4B62">
              <w:rPr>
                <w:rFonts w:ascii="Verdana" w:hAnsi="Verdana"/>
                <w:sz w:val="22"/>
                <w:szCs w:val="22"/>
              </w:rPr>
              <w:br/>
            </w:r>
            <w:r w:rsidRPr="008E4B62">
              <w:rPr>
                <w:rFonts w:ascii="Verdana" w:hAnsi="Verdana"/>
                <w:sz w:val="22"/>
                <w:szCs w:val="22"/>
              </w:rPr>
              <w:br/>
              <w:t>Estos recursos y los demás del Sistema General de Participaciones - SGP que financien programas de alimentación escolar serán complementarios a los asignados por otras instituciones públicas o privadas que destinen recursos para el mismo fin (ICBF, Gobernaciones, Fundaciones, Organizaciones no Gubernamentales, Internacionales), con el propósito de atender progresivamente de los grados inferiores a los superiores, iniciando por el grado transición, para brindar el servicio de alimentación escolar a todos los niños, niñas y adolescentes en vulnerabilidad matriculados en el sistema educativo oficial del Distrito o Municipio, dando prioridad a la población desplazada.</w:t>
            </w:r>
            <w:r w:rsidRPr="008E4B62">
              <w:rPr>
                <w:rFonts w:ascii="Verdana" w:hAnsi="Verdana"/>
                <w:sz w:val="22"/>
                <w:szCs w:val="22"/>
              </w:rPr>
              <w:br/>
            </w:r>
            <w:r w:rsidRPr="008E4B62">
              <w:rPr>
                <w:rFonts w:ascii="Verdana" w:hAnsi="Verdana"/>
                <w:sz w:val="22"/>
                <w:szCs w:val="22"/>
              </w:rPr>
              <w:br/>
              <w:t>Para los beneficiarios de la modalidad ALMUERZO que estén en situación de desplazamiento, el ICBF reconocerá el valor correspondiente a la cuota de participación establecida mediante Resolución 1094 de 2005, lo cual se podrá financiar con cargo al mismo rubro de Almuerzo o al de Fondo para el Pago de Cuotas de Participación o Tasa Compensatoria del Proyecto 2 - Desplazados, de acuerdo con la siguiente tarifa: 11% SMDV.</w:t>
            </w:r>
            <w:r w:rsidRPr="008E4B62">
              <w:rPr>
                <w:rFonts w:ascii="Verdana" w:hAnsi="Verdana"/>
                <w:b/>
                <w:bCs/>
                <w:sz w:val="22"/>
                <w:szCs w:val="22"/>
              </w:rPr>
              <w:br/>
            </w:r>
          </w:p>
        </w:tc>
      </w:tr>
      <w:tr w:rsidR="008E4B62" w:rsidRPr="008E4B62" w14:paraId="619F759A"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7CF39DDB"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CONTRATACIÓN</w:t>
            </w:r>
          </w:p>
        </w:tc>
        <w:tc>
          <w:tcPr>
            <w:tcW w:w="4050" w:type="pct"/>
            <w:gridSpan w:val="5"/>
            <w:tcBorders>
              <w:top w:val="nil"/>
              <w:left w:val="nil"/>
              <w:bottom w:val="nil"/>
              <w:right w:val="nil"/>
            </w:tcBorders>
            <w:tcMar>
              <w:top w:w="0" w:type="dxa"/>
              <w:left w:w="0" w:type="dxa"/>
              <w:bottom w:w="0" w:type="dxa"/>
              <w:right w:w="0" w:type="dxa"/>
            </w:tcMar>
            <w:hideMark/>
          </w:tcPr>
          <w:p w14:paraId="28FBDECF"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La selección del operador u operadores del programa se hará prioritariamente por medio de Convocatoria Pública.</w:t>
            </w:r>
            <w:r w:rsidRPr="008E4B62">
              <w:rPr>
                <w:rFonts w:ascii="Verdana" w:hAnsi="Verdana"/>
                <w:sz w:val="22"/>
                <w:szCs w:val="22"/>
              </w:rPr>
              <w:br/>
            </w:r>
            <w:r w:rsidRPr="008E4B62">
              <w:rPr>
                <w:rFonts w:ascii="Verdana" w:hAnsi="Verdana"/>
                <w:sz w:val="22"/>
                <w:szCs w:val="22"/>
              </w:rPr>
              <w:br/>
              <w:t>Contratos de aporte con Cajas de Compensación Familiar, cooperativas, asociaciones de padres de familia y otras ONG, siempre y cuando se garantice el compromiso de los padres de familia y la participación de la comunidad en el desarrollo de acciones propias del programa y que el operador que se escoja sea de reconocida idoneidad y cuente con la capacidad técnica y operativa y cumpla con todas las obligaciones que se le exijan.</w:t>
            </w:r>
            <w:r w:rsidRPr="008E4B62">
              <w:rPr>
                <w:rFonts w:ascii="Verdana" w:hAnsi="Verdana"/>
                <w:sz w:val="22"/>
                <w:szCs w:val="22"/>
              </w:rPr>
              <w:br/>
            </w:r>
            <w:r w:rsidRPr="008E4B62">
              <w:rPr>
                <w:rFonts w:ascii="Verdana" w:hAnsi="Verdana"/>
                <w:sz w:val="22"/>
                <w:szCs w:val="22"/>
              </w:rPr>
              <w:br/>
              <w:t>Convenios de cofinanciación con las entidades territoriales, en virtud de los cuales el ICBF puede entregar los recursos correspondientes a la modalidad para ser manejados directamente por estas, en cuyo caso es requisito indispensable la asesoría técnica y el acompañamiento permanente al desarrollo del programa por parte del Centro Zonal, en estos casos debe especificarse en los convenios que el ICBF garantice la asistencia técnica.</w:t>
            </w:r>
            <w:r w:rsidRPr="008E4B62">
              <w:rPr>
                <w:rFonts w:ascii="Verdana" w:hAnsi="Verdana"/>
                <w:sz w:val="22"/>
                <w:szCs w:val="22"/>
              </w:rPr>
              <w:br/>
            </w:r>
            <w:r w:rsidRPr="008E4B62">
              <w:rPr>
                <w:rFonts w:ascii="Verdana" w:hAnsi="Verdana"/>
                <w:sz w:val="22"/>
                <w:szCs w:val="22"/>
              </w:rPr>
              <w:br/>
              <w:t>La modalidad Internado Rural será contratada y ejecutada directamente desde la Sede Nacional, la supervisión se hará por medio de las Direcciones Regionales.</w:t>
            </w:r>
            <w:r w:rsidRPr="008E4B62">
              <w:rPr>
                <w:rFonts w:ascii="Verdana" w:hAnsi="Verdana"/>
                <w:sz w:val="22"/>
                <w:szCs w:val="22"/>
              </w:rPr>
              <w:br/>
            </w:r>
            <w:r w:rsidRPr="008E4B62">
              <w:rPr>
                <w:rFonts w:ascii="Verdana" w:hAnsi="Verdana"/>
                <w:sz w:val="22"/>
                <w:szCs w:val="22"/>
              </w:rPr>
              <w:br/>
            </w:r>
            <w:r w:rsidRPr="008E4B62">
              <w:rPr>
                <w:rFonts w:ascii="Verdana" w:hAnsi="Verdana"/>
                <w:b/>
                <w:bCs/>
                <w:sz w:val="22"/>
                <w:szCs w:val="22"/>
              </w:rPr>
              <w:t>Forma de Pago</w:t>
            </w:r>
            <w:r w:rsidRPr="008E4B62">
              <w:rPr>
                <w:rFonts w:ascii="Verdana" w:hAnsi="Verdana"/>
                <w:sz w:val="22"/>
                <w:szCs w:val="22"/>
              </w:rPr>
              <w:t>:</w:t>
            </w:r>
            <w:r w:rsidRPr="008E4B62">
              <w:rPr>
                <w:rFonts w:ascii="Verdana" w:hAnsi="Verdana"/>
                <w:sz w:val="22"/>
                <w:szCs w:val="22"/>
              </w:rPr>
              <w:br/>
            </w:r>
            <w:r w:rsidRPr="008E4B62">
              <w:rPr>
                <w:rFonts w:ascii="Verdana" w:hAnsi="Verdana"/>
                <w:b/>
                <w:bCs/>
                <w:sz w:val="22"/>
                <w:szCs w:val="22"/>
              </w:rPr>
              <w:br/>
            </w:r>
            <w:r w:rsidRPr="008E4B62">
              <w:rPr>
                <w:rFonts w:ascii="Verdana" w:hAnsi="Verdana"/>
                <w:sz w:val="22"/>
                <w:szCs w:val="22"/>
              </w:rPr>
              <w:t>Se dará un anticipo para la compra de alimentos no perecederos que garantice el inicio del servicio el primer día de clase. Los pagos se realizarán mes vencido dentro del mes siguiente a la operación del servicio. Cada Regional, acorde con su situación específica de PAC y costos generados por la frecuencia de pago, definirá el periodo de pago, con el fin de racionalizar los gastos de los operadores en el cumplimiento de esta actividad. Para los casos de comunidades indígenas o áreas rurales dispersas puede establecerse períodos de pago por trimestre o mayores según se especifique en la minuta de contrato de aporte.</w:t>
            </w:r>
            <w:r w:rsidRPr="008E4B62">
              <w:rPr>
                <w:rFonts w:ascii="Verdana" w:hAnsi="Verdana"/>
                <w:sz w:val="22"/>
                <w:szCs w:val="22"/>
              </w:rPr>
              <w:br/>
            </w:r>
            <w:r w:rsidRPr="008E4B62">
              <w:rPr>
                <w:rFonts w:ascii="Verdana" w:hAnsi="Verdana"/>
                <w:sz w:val="22"/>
                <w:szCs w:val="22"/>
              </w:rPr>
              <w:br/>
              <w:t>Las pólizas y publicaciones deberán ser asumidas por la Entidad contratista. Excepcionalmente las regionales podrán programar en sus presupuestos recursos para apoyar el pago de estos valores a asociaciones de padres u otras organizaciones sin ánimo de lucro, que por las características del contrato de aporte, en cuanto a volumen de raciones y costos del servicio, se considere indispensable que deban ser reconocidos por el ICBF.</w:t>
            </w:r>
            <w:r w:rsidRPr="008E4B62">
              <w:rPr>
                <w:rFonts w:ascii="Verdana" w:hAnsi="Verdana"/>
                <w:sz w:val="22"/>
                <w:szCs w:val="22"/>
              </w:rPr>
              <w:br/>
            </w:r>
            <w:r w:rsidRPr="008E4B62">
              <w:rPr>
                <w:rFonts w:ascii="Verdana" w:hAnsi="Verdana"/>
                <w:sz w:val="22"/>
                <w:szCs w:val="22"/>
              </w:rPr>
              <w:br/>
              <w:t>Si se considera que para la prestación del servicio de alimentación escolar es necesario pactar un anticipo, podrá hacerse hasta por el equivalente al valor proyectado de los dos primeros meses de prestación servicio, sin que en ningún caso pueda superar el 50% del valor del contrato.</w:t>
            </w:r>
            <w:r w:rsidRPr="008E4B62">
              <w:rPr>
                <w:rFonts w:ascii="Verdana" w:hAnsi="Verdana"/>
                <w:b/>
                <w:bCs/>
                <w:sz w:val="22"/>
                <w:szCs w:val="22"/>
              </w:rPr>
              <w:br/>
            </w:r>
          </w:p>
        </w:tc>
      </w:tr>
      <w:tr w:rsidR="008E4B62" w:rsidRPr="008E4B62" w14:paraId="56101B06"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3D6F7CF2"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CLASIFICADOR DEL GASTO</w:t>
            </w:r>
          </w:p>
        </w:tc>
        <w:tc>
          <w:tcPr>
            <w:tcW w:w="4050" w:type="pct"/>
            <w:gridSpan w:val="5"/>
            <w:tcBorders>
              <w:top w:val="nil"/>
              <w:left w:val="nil"/>
              <w:bottom w:val="nil"/>
              <w:right w:val="nil"/>
            </w:tcBorders>
            <w:tcMar>
              <w:top w:w="0" w:type="dxa"/>
              <w:left w:w="0" w:type="dxa"/>
              <w:bottom w:w="0" w:type="dxa"/>
              <w:right w:w="0" w:type="dxa"/>
            </w:tcMar>
            <w:hideMark/>
          </w:tcPr>
          <w:p w14:paraId="79192E3F"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 Transferencias por Contratos de Aporte para la prestación integral del servicio de alimentación escolar.</w:t>
            </w:r>
            <w:r w:rsidRPr="008E4B62">
              <w:rPr>
                <w:rFonts w:ascii="Verdana" w:hAnsi="Verdana"/>
                <w:sz w:val="22"/>
                <w:szCs w:val="22"/>
              </w:rPr>
              <w:br/>
            </w:r>
            <w:r w:rsidRPr="008E4B62">
              <w:rPr>
                <w:rFonts w:ascii="Verdana" w:hAnsi="Verdana"/>
                <w:sz w:val="22"/>
                <w:szCs w:val="22"/>
              </w:rPr>
              <w:br/>
              <w:t>· Contrato de suministros, transporte y/o todos aquellos servicios o gastos requeridos para el suministro y entrega de las raciones industrializadas. Este clasificador podrá ser ejecutado por la Sede Nacional o por las Direcciones Regionales del ICBF</w:t>
            </w:r>
            <w:r w:rsidRPr="008E4B62">
              <w:rPr>
                <w:rFonts w:ascii="Verdana" w:hAnsi="Verdana"/>
                <w:sz w:val="22"/>
                <w:szCs w:val="22"/>
              </w:rPr>
              <w:br/>
            </w:r>
            <w:r w:rsidRPr="008E4B62">
              <w:rPr>
                <w:rFonts w:ascii="Verdana" w:hAnsi="Verdana"/>
                <w:sz w:val="22"/>
                <w:szCs w:val="22"/>
              </w:rPr>
              <w:br/>
              <w:t>· Contratos o convenios inter-administrativos de cofinanciación y cooperación.</w:t>
            </w:r>
            <w:r w:rsidRPr="008E4B62">
              <w:rPr>
                <w:rFonts w:ascii="Verdana" w:hAnsi="Verdana"/>
                <w:sz w:val="22"/>
                <w:szCs w:val="22"/>
              </w:rPr>
              <w:br/>
            </w:r>
            <w:r w:rsidRPr="008E4B62">
              <w:rPr>
                <w:rFonts w:ascii="Verdana" w:hAnsi="Verdana"/>
                <w:sz w:val="22"/>
                <w:szCs w:val="22"/>
              </w:rPr>
              <w:br/>
              <w:t>· Financiación de actividades, estrategias, tecnologías (que no impliquen compra de equipo), metodologías, sistemas y demás gastos que demande el diseño, prueba, implementación y mejora del control y seguimiento del programa de alimentación escolar, con el fin de garantizar que las raciones efectivamente lleguen a la población escolar matriculada en las instituciones educativas oficiales. Este clasificador solamente podrá ser ejecutado por la Sede Nacional.</w:t>
            </w:r>
          </w:p>
        </w:tc>
      </w:tr>
      <w:tr w:rsidR="008E4B62" w:rsidRPr="008E4B62" w14:paraId="388B5A30"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42E9A400"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INDICADORES DE SEGUIMIENTO Y EVALUACIÓN</w:t>
            </w:r>
          </w:p>
        </w:tc>
        <w:tc>
          <w:tcPr>
            <w:tcW w:w="4050" w:type="pct"/>
            <w:gridSpan w:val="5"/>
            <w:tcBorders>
              <w:top w:val="nil"/>
              <w:left w:val="nil"/>
              <w:bottom w:val="nil"/>
              <w:right w:val="nil"/>
            </w:tcBorders>
            <w:tcMar>
              <w:top w:w="0" w:type="dxa"/>
              <w:left w:w="0" w:type="dxa"/>
              <w:bottom w:w="0" w:type="dxa"/>
              <w:right w:w="0" w:type="dxa"/>
            </w:tcMar>
            <w:hideMark/>
          </w:tcPr>
          <w:p w14:paraId="18456048"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Niños, niñas y adolescentes atendidos por el Programa de Alimentación Escolar</w:t>
            </w:r>
            <w:r w:rsidRPr="008E4B62">
              <w:rPr>
                <w:rFonts w:ascii="Verdana" w:hAnsi="Verdana"/>
                <w:b/>
                <w:bCs/>
                <w:sz w:val="22"/>
                <w:szCs w:val="22"/>
              </w:rPr>
              <w:br/>
            </w:r>
            <w:r w:rsidRPr="008E4B62">
              <w:rPr>
                <w:rFonts w:ascii="Verdana" w:hAnsi="Verdana"/>
                <w:sz w:val="22"/>
                <w:szCs w:val="22"/>
              </w:rPr>
              <w:t>Niños, niñas y adolescentes en situación de desplazamiento atendidos por el Programa de Alimentación Escolar</w:t>
            </w:r>
            <w:r w:rsidRPr="008E4B62">
              <w:rPr>
                <w:rFonts w:ascii="Verdana" w:hAnsi="Verdana"/>
                <w:sz w:val="22"/>
                <w:szCs w:val="22"/>
              </w:rPr>
              <w:br/>
              <w:t>Días promedio de atención del Programa de Alimentación Escolar</w:t>
            </w:r>
          </w:p>
        </w:tc>
      </w:tr>
      <w:tr w:rsidR="008E4B62" w:rsidRPr="008E4B62" w14:paraId="7EDC366F" w14:textId="77777777">
        <w:trPr>
          <w:tblCellSpacing w:w="15" w:type="dxa"/>
        </w:trPr>
        <w:tc>
          <w:tcPr>
            <w:tcW w:w="950" w:type="pct"/>
            <w:tcBorders>
              <w:top w:val="nil"/>
              <w:left w:val="nil"/>
              <w:bottom w:val="nil"/>
              <w:right w:val="nil"/>
            </w:tcBorders>
            <w:tcMar>
              <w:top w:w="0" w:type="dxa"/>
              <w:left w:w="0" w:type="dxa"/>
              <w:bottom w:w="0" w:type="dxa"/>
              <w:right w:w="0" w:type="dxa"/>
            </w:tcMar>
            <w:hideMark/>
          </w:tcPr>
          <w:p w14:paraId="550FA779" w14:textId="77777777" w:rsidR="008E4B62" w:rsidRPr="008E4B62" w:rsidRDefault="008E4B62" w:rsidP="008E4B62">
            <w:pPr>
              <w:pStyle w:val="Sinespaciado"/>
              <w:rPr>
                <w:rFonts w:ascii="Verdana" w:hAnsi="Verdana"/>
                <w:sz w:val="22"/>
                <w:szCs w:val="22"/>
              </w:rPr>
            </w:pPr>
            <w:r w:rsidRPr="008E4B62">
              <w:rPr>
                <w:rFonts w:ascii="Verdana" w:hAnsi="Verdana"/>
                <w:b/>
                <w:bCs/>
                <w:sz w:val="22"/>
                <w:szCs w:val="22"/>
              </w:rPr>
              <w:t>LINEAMIENTOS TÉCNICOS</w:t>
            </w:r>
          </w:p>
        </w:tc>
        <w:tc>
          <w:tcPr>
            <w:tcW w:w="4050" w:type="pct"/>
            <w:gridSpan w:val="5"/>
            <w:tcBorders>
              <w:top w:val="nil"/>
              <w:left w:val="nil"/>
              <w:bottom w:val="nil"/>
              <w:right w:val="nil"/>
            </w:tcBorders>
            <w:tcMar>
              <w:top w:w="0" w:type="dxa"/>
              <w:left w:w="0" w:type="dxa"/>
              <w:bottom w:w="0" w:type="dxa"/>
              <w:right w:w="0" w:type="dxa"/>
            </w:tcMar>
            <w:hideMark/>
          </w:tcPr>
          <w:p w14:paraId="5498A419"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Lineamientos Técnico Administrativos y Estándares del Programa de Alimentación Escolar</w:t>
            </w:r>
          </w:p>
        </w:tc>
      </w:tr>
      <w:tr w:rsidR="008E4B62" w:rsidRPr="008E4B62" w14:paraId="7B09BCE7" w14:textId="77777777">
        <w:trPr>
          <w:tblCellSpacing w:w="15" w:type="dxa"/>
        </w:trPr>
        <w:tc>
          <w:tcPr>
            <w:tcW w:w="400" w:type="pct"/>
            <w:tcBorders>
              <w:top w:val="nil"/>
              <w:left w:val="nil"/>
              <w:bottom w:val="nil"/>
              <w:right w:val="nil"/>
            </w:tcBorders>
            <w:tcMar>
              <w:top w:w="0" w:type="dxa"/>
              <w:left w:w="0" w:type="dxa"/>
              <w:bottom w:w="0" w:type="dxa"/>
              <w:right w:w="0" w:type="dxa"/>
            </w:tcMar>
            <w:hideMark/>
          </w:tcPr>
          <w:p w14:paraId="61213AFB"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Vo. Bo.</w:t>
            </w:r>
          </w:p>
        </w:tc>
        <w:tc>
          <w:tcPr>
            <w:tcW w:w="1250" w:type="pct"/>
            <w:tcBorders>
              <w:top w:val="nil"/>
              <w:left w:val="nil"/>
              <w:bottom w:val="nil"/>
              <w:right w:val="nil"/>
            </w:tcBorders>
            <w:tcMar>
              <w:top w:w="0" w:type="dxa"/>
              <w:left w:w="0" w:type="dxa"/>
              <w:bottom w:w="0" w:type="dxa"/>
              <w:right w:w="0" w:type="dxa"/>
            </w:tcMar>
            <w:hideMark/>
          </w:tcPr>
          <w:p w14:paraId="52E0965C"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FERNANDO ALEXANDER GARZÓN LASSO</w:t>
            </w:r>
            <w:r w:rsidRPr="008E4B62">
              <w:rPr>
                <w:rFonts w:ascii="Verdana" w:hAnsi="Verdana"/>
                <w:sz w:val="22"/>
                <w:szCs w:val="22"/>
              </w:rPr>
              <w:br/>
              <w:t>DIRECTOR NIÑEZ Y ADOLESCENCIA</w:t>
            </w:r>
          </w:p>
        </w:tc>
        <w:tc>
          <w:tcPr>
            <w:tcW w:w="750" w:type="pct"/>
            <w:tcBorders>
              <w:top w:val="nil"/>
              <w:left w:val="nil"/>
              <w:bottom w:val="nil"/>
              <w:right w:val="nil"/>
            </w:tcBorders>
            <w:tcMar>
              <w:top w:w="0" w:type="dxa"/>
              <w:left w:w="0" w:type="dxa"/>
              <w:bottom w:w="0" w:type="dxa"/>
              <w:right w:w="0" w:type="dxa"/>
            </w:tcMar>
            <w:hideMark/>
          </w:tcPr>
          <w:p w14:paraId="0CF525D6"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MARIO PARDO PARDO</w:t>
            </w:r>
          </w:p>
        </w:tc>
        <w:tc>
          <w:tcPr>
            <w:tcW w:w="1100" w:type="pct"/>
            <w:tcBorders>
              <w:top w:val="nil"/>
              <w:left w:val="nil"/>
              <w:bottom w:val="nil"/>
              <w:right w:val="nil"/>
            </w:tcBorders>
            <w:tcMar>
              <w:top w:w="0" w:type="dxa"/>
              <w:left w:w="0" w:type="dxa"/>
              <w:bottom w:w="0" w:type="dxa"/>
              <w:right w:w="0" w:type="dxa"/>
            </w:tcMar>
            <w:hideMark/>
          </w:tcPr>
          <w:p w14:paraId="33B93120"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CARLOS ENRIQUE GARZÓN GÓMEZ</w:t>
            </w:r>
          </w:p>
        </w:tc>
        <w:tc>
          <w:tcPr>
            <w:tcW w:w="800" w:type="pct"/>
            <w:tcBorders>
              <w:top w:val="nil"/>
              <w:left w:val="nil"/>
              <w:bottom w:val="nil"/>
              <w:right w:val="nil"/>
            </w:tcBorders>
            <w:tcMar>
              <w:top w:w="0" w:type="dxa"/>
              <w:left w:w="0" w:type="dxa"/>
              <w:bottom w:w="0" w:type="dxa"/>
              <w:right w:w="0" w:type="dxa"/>
            </w:tcMar>
            <w:hideMark/>
          </w:tcPr>
          <w:p w14:paraId="629E5CCF"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ROCIO ENCISO GARZÓN</w:t>
            </w:r>
          </w:p>
        </w:tc>
        <w:tc>
          <w:tcPr>
            <w:tcW w:w="700" w:type="pct"/>
            <w:tcBorders>
              <w:top w:val="nil"/>
              <w:left w:val="nil"/>
              <w:bottom w:val="nil"/>
              <w:right w:val="nil"/>
            </w:tcBorders>
            <w:tcMar>
              <w:top w:w="0" w:type="dxa"/>
              <w:left w:w="0" w:type="dxa"/>
              <w:bottom w:w="0" w:type="dxa"/>
              <w:right w:w="0" w:type="dxa"/>
            </w:tcMar>
            <w:hideMark/>
          </w:tcPr>
          <w:p w14:paraId="705B5646"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FECHA DE AJUSTE:</w:t>
            </w:r>
            <w:r w:rsidRPr="008E4B62">
              <w:rPr>
                <w:rFonts w:ascii="Verdana" w:hAnsi="Verdana"/>
                <w:sz w:val="22"/>
                <w:szCs w:val="22"/>
              </w:rPr>
              <w:br/>
              <w:t>Octubre 2012</w:t>
            </w:r>
          </w:p>
        </w:tc>
      </w:tr>
      <w:tr w:rsidR="008E4B62" w:rsidRPr="008E4B62" w14:paraId="675C6397"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3FA0E553" w14:textId="77777777" w:rsidR="008E4B62" w:rsidRPr="008E4B62" w:rsidRDefault="008E4B62" w:rsidP="008E4B62">
            <w:pPr>
              <w:pStyle w:val="Sinespaciado"/>
              <w:rPr>
                <w:rFonts w:ascii="Verdana" w:hAnsi="Verdana"/>
                <w:sz w:val="22"/>
                <w:szCs w:val="22"/>
              </w:rPr>
            </w:pPr>
            <w:r w:rsidRPr="008E4B62">
              <w:rPr>
                <w:rFonts w:ascii="Verdana" w:hAnsi="Verdana"/>
                <w:sz w:val="22"/>
                <w:szCs w:val="22"/>
              </w:rPr>
              <w:t>Área Responsable</w:t>
            </w:r>
          </w:p>
        </w:tc>
        <w:tc>
          <w:tcPr>
            <w:tcW w:w="750" w:type="pct"/>
            <w:tcBorders>
              <w:top w:val="nil"/>
              <w:left w:val="nil"/>
              <w:bottom w:val="nil"/>
              <w:right w:val="nil"/>
            </w:tcBorders>
            <w:tcMar>
              <w:top w:w="0" w:type="dxa"/>
              <w:left w:w="0" w:type="dxa"/>
              <w:bottom w:w="0" w:type="dxa"/>
              <w:right w:w="0" w:type="dxa"/>
            </w:tcMar>
            <w:hideMark/>
          </w:tcPr>
          <w:p w14:paraId="1A8A814A"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Sub. Programación</w:t>
            </w:r>
          </w:p>
        </w:tc>
        <w:tc>
          <w:tcPr>
            <w:tcW w:w="1100" w:type="pct"/>
            <w:tcBorders>
              <w:top w:val="nil"/>
              <w:left w:val="nil"/>
              <w:bottom w:val="nil"/>
              <w:right w:val="nil"/>
            </w:tcBorders>
            <w:tcMar>
              <w:top w:w="0" w:type="dxa"/>
              <w:left w:w="0" w:type="dxa"/>
              <w:bottom w:w="0" w:type="dxa"/>
              <w:right w:w="0" w:type="dxa"/>
            </w:tcMar>
            <w:hideMark/>
          </w:tcPr>
          <w:p w14:paraId="4E8EA915"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Sub. Mejoramiento Organizacional</w:t>
            </w:r>
          </w:p>
        </w:tc>
        <w:tc>
          <w:tcPr>
            <w:tcW w:w="1500" w:type="pct"/>
            <w:gridSpan w:val="2"/>
            <w:tcBorders>
              <w:top w:val="nil"/>
              <w:left w:val="nil"/>
              <w:bottom w:val="nil"/>
              <w:right w:val="nil"/>
            </w:tcBorders>
            <w:tcMar>
              <w:top w:w="0" w:type="dxa"/>
              <w:left w:w="0" w:type="dxa"/>
              <w:bottom w:w="0" w:type="dxa"/>
              <w:right w:w="0" w:type="dxa"/>
            </w:tcMar>
            <w:hideMark/>
          </w:tcPr>
          <w:p w14:paraId="51F9631E" w14:textId="77777777" w:rsidR="008E4B62" w:rsidRPr="008E4B62" w:rsidRDefault="008E4B62" w:rsidP="008E4B62">
            <w:pPr>
              <w:pStyle w:val="Sinespaciado"/>
              <w:jc w:val="both"/>
              <w:rPr>
                <w:rFonts w:ascii="Verdana" w:hAnsi="Verdana"/>
                <w:sz w:val="22"/>
                <w:szCs w:val="22"/>
              </w:rPr>
            </w:pPr>
            <w:r w:rsidRPr="008E4B62">
              <w:rPr>
                <w:rFonts w:ascii="Verdana" w:hAnsi="Verdana"/>
                <w:sz w:val="22"/>
                <w:szCs w:val="22"/>
              </w:rPr>
              <w:t>Sub. De Evaluación</w:t>
            </w:r>
          </w:p>
        </w:tc>
      </w:tr>
    </w:tbl>
    <w:p w14:paraId="5E65950F" w14:textId="2C0A8C0C" w:rsidR="008E4B62" w:rsidRPr="008E4B62" w:rsidRDefault="008E4B62" w:rsidP="008E4B62">
      <w:pPr>
        <w:pStyle w:val="Sinespaciado"/>
        <w:rPr>
          <w:rFonts w:ascii="Verdana" w:hAnsi="Verdana"/>
          <w:sz w:val="22"/>
          <w:szCs w:val="22"/>
        </w:rPr>
      </w:pPr>
      <w:r w:rsidRPr="008E4B62">
        <w:rPr>
          <w:rFonts w:ascii="Verdana" w:hAnsi="Verdana"/>
          <w:noProof/>
          <w:sz w:val="22"/>
          <w:szCs w:val="22"/>
        </w:rPr>
        <mc:AlternateContent>
          <mc:Choice Requires="wps">
            <w:drawing>
              <wp:inline distT="0" distB="0" distL="0" distR="0" wp14:anchorId="7AEC4421" wp14:editId="3DA76B2E">
                <wp:extent cx="304800" cy="304800"/>
                <wp:effectExtent l="0" t="0" r="0" b="0"/>
                <wp:docPr id="957805098" name="Rectángulo 3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09A6C" id="Rectángulo 3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C8ACE41" w14:textId="77777777" w:rsidR="008E4B62" w:rsidRPr="008E4B62" w:rsidRDefault="008E4B62" w:rsidP="008E4B62">
      <w:pPr>
        <w:pStyle w:val="Sinespaciado"/>
        <w:jc w:val="both"/>
        <w:rPr>
          <w:rFonts w:ascii="Verdana" w:hAnsi="Verdana"/>
          <w:sz w:val="22"/>
          <w:szCs w:val="22"/>
        </w:rPr>
      </w:pPr>
    </w:p>
    <w:sectPr w:rsidR="008E4B62" w:rsidRPr="008E4B6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2CC9" w14:textId="77777777" w:rsidR="00DF577E" w:rsidRDefault="00DF577E" w:rsidP="004975DF">
      <w:pPr>
        <w:spacing w:after="0" w:line="240" w:lineRule="auto"/>
      </w:pPr>
      <w:r>
        <w:separator/>
      </w:r>
    </w:p>
  </w:endnote>
  <w:endnote w:type="continuationSeparator" w:id="0">
    <w:p w14:paraId="768E8DD5" w14:textId="77777777" w:rsidR="00DF577E" w:rsidRDefault="00DF577E"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DCBA" w14:textId="77777777" w:rsidR="00DF577E" w:rsidRDefault="00DF577E" w:rsidP="004975DF">
      <w:pPr>
        <w:spacing w:after="0" w:line="240" w:lineRule="auto"/>
      </w:pPr>
      <w:r>
        <w:separator/>
      </w:r>
    </w:p>
  </w:footnote>
  <w:footnote w:type="continuationSeparator" w:id="0">
    <w:p w14:paraId="13EE746B" w14:textId="77777777" w:rsidR="00DF577E" w:rsidRDefault="00DF577E"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08CD"/>
    <w:rsid w:val="0026255C"/>
    <w:rsid w:val="00270179"/>
    <w:rsid w:val="00281F44"/>
    <w:rsid w:val="002B6543"/>
    <w:rsid w:val="002C446A"/>
    <w:rsid w:val="003518CB"/>
    <w:rsid w:val="00387EE9"/>
    <w:rsid w:val="003F5B79"/>
    <w:rsid w:val="00411CB4"/>
    <w:rsid w:val="00421F4C"/>
    <w:rsid w:val="004529C5"/>
    <w:rsid w:val="004931F0"/>
    <w:rsid w:val="004975DF"/>
    <w:rsid w:val="004B0C44"/>
    <w:rsid w:val="00536063"/>
    <w:rsid w:val="0054386A"/>
    <w:rsid w:val="00555E91"/>
    <w:rsid w:val="00575C56"/>
    <w:rsid w:val="005956EB"/>
    <w:rsid w:val="005A7703"/>
    <w:rsid w:val="005E167A"/>
    <w:rsid w:val="005F0BAB"/>
    <w:rsid w:val="00665FDA"/>
    <w:rsid w:val="00682E2C"/>
    <w:rsid w:val="0069399C"/>
    <w:rsid w:val="006C6703"/>
    <w:rsid w:val="00747F38"/>
    <w:rsid w:val="00794C8B"/>
    <w:rsid w:val="007E46F5"/>
    <w:rsid w:val="007E4A25"/>
    <w:rsid w:val="007F184D"/>
    <w:rsid w:val="00802E83"/>
    <w:rsid w:val="00833428"/>
    <w:rsid w:val="00845AFC"/>
    <w:rsid w:val="00875E76"/>
    <w:rsid w:val="008E4B62"/>
    <w:rsid w:val="008F2607"/>
    <w:rsid w:val="00953C3B"/>
    <w:rsid w:val="009B64BC"/>
    <w:rsid w:val="009D207A"/>
    <w:rsid w:val="00A17D9C"/>
    <w:rsid w:val="00A42548"/>
    <w:rsid w:val="00A90642"/>
    <w:rsid w:val="00A95792"/>
    <w:rsid w:val="00B050D3"/>
    <w:rsid w:val="00B8362C"/>
    <w:rsid w:val="00B85A8A"/>
    <w:rsid w:val="00BB2E1F"/>
    <w:rsid w:val="00C06159"/>
    <w:rsid w:val="00C40B9F"/>
    <w:rsid w:val="00C83F29"/>
    <w:rsid w:val="00CA209C"/>
    <w:rsid w:val="00CC5ED5"/>
    <w:rsid w:val="00CC7570"/>
    <w:rsid w:val="00D71035"/>
    <w:rsid w:val="00D72857"/>
    <w:rsid w:val="00D7759C"/>
    <w:rsid w:val="00DF577E"/>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21420-0127-4915-9362-54B5B819E369}"/>
</file>

<file path=customXml/itemProps2.xml><?xml version="1.0" encoding="utf-8"?>
<ds:datastoreItem xmlns:ds="http://schemas.openxmlformats.org/officeDocument/2006/customXml" ds:itemID="{D904D7DE-7E78-45F0-AB05-B1ABB2AD201C}"/>
</file>

<file path=customXml/itemProps3.xml><?xml version="1.0" encoding="utf-8"?>
<ds:datastoreItem xmlns:ds="http://schemas.openxmlformats.org/officeDocument/2006/customXml" ds:itemID="{6486E98D-3197-4DC4-ABC0-E51AAE2261F7}"/>
</file>

<file path=docProps/app.xml><?xml version="1.0" encoding="utf-8"?>
<Properties xmlns="http://schemas.openxmlformats.org/officeDocument/2006/extended-properties" xmlns:vt="http://schemas.openxmlformats.org/officeDocument/2006/docPropsVTypes">
  <Template>Normal</Template>
  <TotalTime>8</TotalTime>
  <Pages>3</Pages>
  <Words>2053</Words>
  <Characters>11295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2026-01-16T14:43:00Z</dcterms:created>
  <dcterms:modified xsi:type="dcterms:W3CDTF">2026-04-16T16:59:00Z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