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DFD14" w14:textId="189939E3" w:rsidR="00D80B4F" w:rsidRPr="00D80B4F" w:rsidRDefault="00D80B4F" w:rsidP="00D80B4F">
      <w:pPr>
        <w:jc w:val="center"/>
        <w:rPr>
          <w:rFonts w:ascii="Verdana" w:hAnsi="Verdana"/>
          <w:b/>
          <w:bCs/>
          <w:sz w:val="22"/>
          <w:szCs w:val="22"/>
        </w:rPr>
      </w:pPr>
      <w:r w:rsidRPr="00D80B4F">
        <w:rPr>
          <w:rFonts w:ascii="Verdana" w:hAnsi="Verdana"/>
          <w:b/>
          <w:bCs/>
          <w:sz w:val="22"/>
          <w:szCs w:val="22"/>
        </w:rPr>
        <w:t>RESOLUCIÓN 8515 DE 2013</w:t>
      </w:r>
    </w:p>
    <w:p w14:paraId="77E750D1" w14:textId="644B9016" w:rsidR="002A74E7" w:rsidRPr="00D80B4F" w:rsidRDefault="002A74E7" w:rsidP="002A74E7">
      <w:pPr>
        <w:rPr>
          <w:rFonts w:ascii="Verdana" w:hAnsi="Verdana"/>
          <w:sz w:val="20"/>
          <w:szCs w:val="20"/>
        </w:rPr>
      </w:pPr>
      <w:r w:rsidRPr="00D80B4F">
        <w:rPr>
          <w:rFonts w:ascii="Verdana" w:hAnsi="Verdana"/>
          <w:sz w:val="20"/>
          <w:szCs w:val="20"/>
        </w:rPr>
        <w:t xml:space="preserve">Fecha de Expedición: </w:t>
      </w:r>
      <w:r w:rsidR="00D80B4F">
        <w:rPr>
          <w:rFonts w:ascii="Verdana" w:hAnsi="Verdana"/>
          <w:sz w:val="20"/>
          <w:szCs w:val="20"/>
        </w:rPr>
        <w:t>30</w:t>
      </w:r>
      <w:r w:rsidRPr="00D80B4F">
        <w:rPr>
          <w:rFonts w:ascii="Verdana" w:hAnsi="Verdana"/>
          <w:sz w:val="20"/>
          <w:szCs w:val="20"/>
        </w:rPr>
        <w:t xml:space="preserve"> de septiembre de 2013</w:t>
      </w:r>
    </w:p>
    <w:p w14:paraId="00145253" w14:textId="4DE106A4" w:rsidR="002A74E7" w:rsidRPr="00D80B4F" w:rsidRDefault="002A74E7" w:rsidP="002A74E7">
      <w:pPr>
        <w:rPr>
          <w:rFonts w:ascii="Verdana" w:hAnsi="Verdana"/>
          <w:sz w:val="20"/>
          <w:szCs w:val="20"/>
        </w:rPr>
      </w:pPr>
      <w:r w:rsidRPr="00D80B4F">
        <w:rPr>
          <w:rFonts w:ascii="Verdana" w:hAnsi="Verdana"/>
          <w:sz w:val="20"/>
          <w:szCs w:val="20"/>
        </w:rPr>
        <w:t xml:space="preserve">Fecha de </w:t>
      </w:r>
      <w:proofErr w:type="gramStart"/>
      <w:r w:rsidRPr="00D80B4F">
        <w:rPr>
          <w:rFonts w:ascii="Verdana" w:hAnsi="Verdana"/>
          <w:sz w:val="20"/>
          <w:szCs w:val="20"/>
        </w:rPr>
        <w:t>entrada en vigencia</w:t>
      </w:r>
      <w:proofErr w:type="gramEnd"/>
      <w:r w:rsidRPr="00D80B4F">
        <w:rPr>
          <w:rFonts w:ascii="Verdana" w:hAnsi="Verdana"/>
          <w:sz w:val="20"/>
          <w:szCs w:val="20"/>
        </w:rPr>
        <w:t xml:space="preserve">: </w:t>
      </w:r>
      <w:r w:rsidR="00D80B4F">
        <w:rPr>
          <w:rFonts w:ascii="Verdana" w:hAnsi="Verdana"/>
          <w:sz w:val="20"/>
          <w:szCs w:val="20"/>
        </w:rPr>
        <w:t>30</w:t>
      </w:r>
      <w:r w:rsidRPr="00D80B4F">
        <w:rPr>
          <w:rFonts w:ascii="Verdana" w:hAnsi="Verdana"/>
          <w:sz w:val="20"/>
          <w:szCs w:val="20"/>
        </w:rPr>
        <w:t xml:space="preserve"> de septiembre de 2013</w:t>
      </w:r>
    </w:p>
    <w:p w14:paraId="26A6D8F3" w14:textId="3F54A4AA" w:rsidR="002A74E7" w:rsidRPr="00D80B4F" w:rsidRDefault="002A74E7" w:rsidP="002A74E7">
      <w:pPr>
        <w:rPr>
          <w:rFonts w:ascii="Verdana" w:hAnsi="Verdana"/>
          <w:sz w:val="20"/>
          <w:szCs w:val="20"/>
        </w:rPr>
      </w:pPr>
      <w:r w:rsidRPr="00D80B4F">
        <w:rPr>
          <w:rFonts w:ascii="Verdana" w:hAnsi="Verdana"/>
          <w:sz w:val="20"/>
          <w:szCs w:val="20"/>
        </w:rPr>
        <w:t xml:space="preserve">Estado de la vigencia: </w:t>
      </w:r>
      <w:r w:rsidR="00D80B4F">
        <w:rPr>
          <w:rFonts w:ascii="Verdana" w:hAnsi="Verdana"/>
          <w:sz w:val="20"/>
          <w:szCs w:val="20"/>
        </w:rPr>
        <w:t>vigente</w:t>
      </w:r>
    </w:p>
    <w:p w14:paraId="69DDAEDA" w14:textId="77777777" w:rsidR="002A74E7" w:rsidRPr="00D80B4F" w:rsidRDefault="002A74E7" w:rsidP="002A74E7">
      <w:pPr>
        <w:rPr>
          <w:rFonts w:ascii="Verdana" w:hAnsi="Verdana"/>
          <w:sz w:val="20"/>
          <w:szCs w:val="20"/>
        </w:rPr>
      </w:pPr>
    </w:p>
    <w:p w14:paraId="7889E118" w14:textId="1A158F19" w:rsidR="002A74E7" w:rsidRPr="00D80B4F" w:rsidRDefault="002A74E7" w:rsidP="002A74E7">
      <w:pPr>
        <w:rPr>
          <w:rFonts w:ascii="Verdana" w:hAnsi="Verdana"/>
          <w:sz w:val="20"/>
          <w:szCs w:val="20"/>
        </w:rPr>
      </w:pPr>
      <w:r w:rsidRPr="00D80B4F">
        <w:rPr>
          <w:rFonts w:ascii="Verdana" w:hAnsi="Verdana"/>
          <w:sz w:val="20"/>
          <w:szCs w:val="20"/>
        </w:rPr>
        <w:t xml:space="preserve">Fecha de publicación en Diario Oficial: </w:t>
      </w:r>
      <w:r w:rsidR="00D80B4F">
        <w:rPr>
          <w:rFonts w:ascii="Verdana" w:hAnsi="Verdana"/>
          <w:sz w:val="20"/>
          <w:szCs w:val="20"/>
        </w:rPr>
        <w:t>N/A</w:t>
      </w:r>
    </w:p>
    <w:p w14:paraId="5C8D583E" w14:textId="7F9E9464" w:rsidR="002A74E7" w:rsidRPr="00D80B4F" w:rsidRDefault="002A74E7" w:rsidP="002A74E7">
      <w:pPr>
        <w:rPr>
          <w:rFonts w:ascii="Verdana" w:hAnsi="Verdana"/>
          <w:sz w:val="20"/>
          <w:szCs w:val="20"/>
        </w:rPr>
      </w:pPr>
      <w:r w:rsidRPr="00D80B4F">
        <w:rPr>
          <w:rFonts w:ascii="Verdana" w:hAnsi="Verdana"/>
          <w:sz w:val="20"/>
          <w:szCs w:val="20"/>
        </w:rPr>
        <w:t>Número del Diario Oficial: N</w:t>
      </w:r>
      <w:r w:rsidR="00D80B4F">
        <w:rPr>
          <w:rFonts w:ascii="Verdana" w:hAnsi="Verdana"/>
          <w:sz w:val="20"/>
          <w:szCs w:val="20"/>
        </w:rPr>
        <w:t>/A</w:t>
      </w:r>
    </w:p>
    <w:p w14:paraId="3CF16E2A" w14:textId="5C09AFAC" w:rsidR="002A74E7" w:rsidRPr="00D80B4F" w:rsidRDefault="002A74E7" w:rsidP="00D80B4F">
      <w:pPr>
        <w:jc w:val="center"/>
        <w:rPr>
          <w:rFonts w:ascii="Verdana" w:hAnsi="Verdana"/>
          <w:b/>
          <w:bCs/>
          <w:sz w:val="22"/>
          <w:szCs w:val="22"/>
        </w:rPr>
      </w:pPr>
      <w:r w:rsidRPr="00D80B4F">
        <w:rPr>
          <w:rFonts w:ascii="Verdana" w:hAnsi="Verdana"/>
          <w:b/>
          <w:bCs/>
          <w:sz w:val="22"/>
          <w:szCs w:val="22"/>
        </w:rPr>
        <w:t>RESOLUCIÓN 8515 DE 2013</w:t>
      </w:r>
    </w:p>
    <w:p w14:paraId="151C1268" w14:textId="332FDA65" w:rsidR="002A74E7" w:rsidRPr="00D80B4F" w:rsidRDefault="002A74E7" w:rsidP="00D80B4F">
      <w:pPr>
        <w:jc w:val="center"/>
        <w:rPr>
          <w:rFonts w:ascii="Verdana" w:hAnsi="Verdana"/>
          <w:b/>
          <w:bCs/>
          <w:sz w:val="22"/>
          <w:szCs w:val="22"/>
        </w:rPr>
      </w:pPr>
      <w:r w:rsidRPr="00D80B4F">
        <w:rPr>
          <w:rFonts w:ascii="Verdana" w:hAnsi="Verdana"/>
          <w:b/>
          <w:bCs/>
          <w:sz w:val="22"/>
          <w:szCs w:val="22"/>
        </w:rPr>
        <w:t>(</w:t>
      </w:r>
      <w:r w:rsidR="00D80B4F">
        <w:rPr>
          <w:rFonts w:ascii="Verdana" w:hAnsi="Verdana"/>
          <w:b/>
          <w:bCs/>
          <w:sz w:val="22"/>
          <w:szCs w:val="22"/>
        </w:rPr>
        <w:t xml:space="preserve">30 de </w:t>
      </w:r>
      <w:r w:rsidRPr="00D80B4F">
        <w:rPr>
          <w:rFonts w:ascii="Verdana" w:hAnsi="Verdana"/>
          <w:b/>
          <w:bCs/>
          <w:sz w:val="22"/>
          <w:szCs w:val="22"/>
        </w:rPr>
        <w:t>septiembre)</w:t>
      </w:r>
    </w:p>
    <w:p w14:paraId="70357FE4" w14:textId="40871EE1" w:rsidR="002A74E7" w:rsidRPr="00D80B4F" w:rsidRDefault="002A74E7" w:rsidP="00D80B4F">
      <w:pPr>
        <w:jc w:val="center"/>
        <w:rPr>
          <w:rFonts w:ascii="Verdana" w:hAnsi="Verdana"/>
          <w:b/>
          <w:bCs/>
          <w:sz w:val="22"/>
          <w:szCs w:val="22"/>
        </w:rPr>
      </w:pPr>
      <w:r w:rsidRPr="00D80B4F">
        <w:rPr>
          <w:rFonts w:ascii="Verdana" w:hAnsi="Verdana"/>
          <w:b/>
          <w:bCs/>
          <w:sz w:val="22"/>
          <w:szCs w:val="22"/>
        </w:rPr>
        <w:t>INSTITUTO COLOMBIANO DE BIENESTAR FAMILIAR – ICBF</w:t>
      </w:r>
    </w:p>
    <w:p w14:paraId="52A479B1" w14:textId="0BB895A6" w:rsidR="002A74E7" w:rsidRPr="002A74E7" w:rsidRDefault="002A74E7" w:rsidP="00D80B4F">
      <w:pPr>
        <w:jc w:val="center"/>
        <w:rPr>
          <w:rFonts w:ascii="Verdana" w:hAnsi="Verdana"/>
          <w:sz w:val="22"/>
          <w:szCs w:val="22"/>
        </w:rPr>
      </w:pPr>
      <w:r w:rsidRPr="002A74E7">
        <w:rPr>
          <w:rFonts w:ascii="Verdana" w:hAnsi="Verdana"/>
          <w:sz w:val="22"/>
          <w:szCs w:val="22"/>
        </w:rPr>
        <w:t>“Por medio de la cual se modifica y prorroga la planta transitoria de personal supernumerario para apoyar el proceso integral de recaudo en las Direcciones Regionales y Dirección General”</w:t>
      </w:r>
    </w:p>
    <w:p w14:paraId="67D03AFB" w14:textId="3C6A6B9D" w:rsidR="002A74E7" w:rsidRPr="00D80B4F" w:rsidRDefault="002A74E7" w:rsidP="00D80B4F">
      <w:pPr>
        <w:jc w:val="center"/>
        <w:rPr>
          <w:rFonts w:ascii="Verdana" w:hAnsi="Verdana"/>
          <w:b/>
          <w:bCs/>
          <w:sz w:val="22"/>
          <w:szCs w:val="22"/>
        </w:rPr>
      </w:pPr>
      <w:r w:rsidRPr="00D80B4F">
        <w:rPr>
          <w:rFonts w:ascii="Verdana" w:hAnsi="Verdana"/>
          <w:b/>
          <w:bCs/>
          <w:sz w:val="22"/>
          <w:szCs w:val="22"/>
        </w:rPr>
        <w:t>LA SUBDIRECTORA GENERAL ENCARGADA DE LAS FUNCIONES DE DIRECTOR GENERAL DEL INSTITUTO COLOMBIANO DE BIENESTAR FAMILIAR - CECILIA DE LA FUENTE DE LLERAS</w:t>
      </w:r>
    </w:p>
    <w:p w14:paraId="013C303D" w14:textId="05CBB2D3" w:rsidR="002A74E7" w:rsidRPr="002A74E7" w:rsidRDefault="002A74E7" w:rsidP="00D80B4F">
      <w:pPr>
        <w:jc w:val="center"/>
        <w:rPr>
          <w:rFonts w:ascii="Verdana" w:hAnsi="Verdana"/>
          <w:sz w:val="22"/>
          <w:szCs w:val="22"/>
        </w:rPr>
      </w:pPr>
      <w:r w:rsidRPr="002A74E7">
        <w:rPr>
          <w:rFonts w:ascii="Verdana" w:hAnsi="Verdana"/>
          <w:sz w:val="22"/>
          <w:szCs w:val="22"/>
        </w:rPr>
        <w:t>En ejercicio de las facultades legales y estatutarias, en especial las previstas en el artículo 83 del Decreto 1042 de 1978 y en el artículo 78 de la Ley 489 de 1998, y</w:t>
      </w:r>
    </w:p>
    <w:p w14:paraId="6745AEAC" w14:textId="5AD76A11" w:rsidR="002A74E7" w:rsidRPr="00BA3FA3" w:rsidRDefault="002A74E7" w:rsidP="00D80B4F">
      <w:pPr>
        <w:jc w:val="center"/>
        <w:rPr>
          <w:rFonts w:ascii="Verdana" w:hAnsi="Verdana"/>
          <w:b/>
          <w:bCs/>
          <w:sz w:val="22"/>
          <w:szCs w:val="22"/>
        </w:rPr>
      </w:pPr>
      <w:r w:rsidRPr="00BA3FA3">
        <w:rPr>
          <w:rFonts w:ascii="Verdana" w:hAnsi="Verdana"/>
          <w:b/>
          <w:bCs/>
          <w:sz w:val="22"/>
          <w:szCs w:val="22"/>
        </w:rPr>
        <w:t>CONSIDERANDO:</w:t>
      </w:r>
    </w:p>
    <w:p w14:paraId="774AE083" w14:textId="77777777" w:rsidR="002A74E7" w:rsidRPr="00BA3FA3" w:rsidRDefault="002A74E7" w:rsidP="00BA3FA3">
      <w:pPr>
        <w:pStyle w:val="Prrafodelista"/>
        <w:numPr>
          <w:ilvl w:val="0"/>
          <w:numId w:val="1"/>
        </w:numPr>
        <w:jc w:val="both"/>
        <w:rPr>
          <w:rFonts w:ascii="Verdana" w:hAnsi="Verdana"/>
          <w:sz w:val="22"/>
          <w:szCs w:val="22"/>
        </w:rPr>
      </w:pPr>
      <w:r w:rsidRPr="00BA3FA3">
        <w:rPr>
          <w:rFonts w:ascii="Verdana" w:hAnsi="Verdana"/>
          <w:sz w:val="22"/>
          <w:szCs w:val="22"/>
        </w:rPr>
        <w:t xml:space="preserve">Que mediante Resolución No. 3721 del 20 de diciembre de 2007, prorrogada y modificada por diversas Resoluciones expedidas por este Despacho, siendo la última la Resolución 4979 del 27 de junio de 2013, se ha delimitado la planta transitoria de personal supernumerario para apoyar los procesos de fiscalización, </w:t>
      </w:r>
      <w:proofErr w:type="spellStart"/>
      <w:r w:rsidRPr="00BA3FA3">
        <w:rPr>
          <w:rFonts w:ascii="Verdana" w:hAnsi="Verdana"/>
          <w:sz w:val="22"/>
          <w:szCs w:val="22"/>
        </w:rPr>
        <w:t>prejurídico</w:t>
      </w:r>
      <w:proofErr w:type="spellEnd"/>
      <w:r w:rsidRPr="00BA3FA3">
        <w:rPr>
          <w:rFonts w:ascii="Verdana" w:hAnsi="Verdana"/>
          <w:sz w:val="22"/>
          <w:szCs w:val="22"/>
        </w:rPr>
        <w:t xml:space="preserve"> y cobro coactivo en el ICBF, hasta el treinta (30) de septiembre de 2013, estableciendo los siguientes cargos equivalentes:</w:t>
      </w:r>
    </w:p>
    <w:tbl>
      <w:tblPr>
        <w:tblStyle w:val="Tablaconcuadrcula"/>
        <w:tblW w:w="4950" w:type="pct"/>
        <w:tblLook w:val="04A0" w:firstRow="1" w:lastRow="0" w:firstColumn="1" w:lastColumn="0" w:noHBand="0" w:noVBand="1"/>
      </w:tblPr>
      <w:tblGrid>
        <w:gridCol w:w="3704"/>
        <w:gridCol w:w="787"/>
        <w:gridCol w:w="1033"/>
        <w:gridCol w:w="1170"/>
        <w:gridCol w:w="2046"/>
      </w:tblGrid>
      <w:tr w:rsidR="00D80B4F" w:rsidRPr="00BA3FA3" w14:paraId="6DAEC835" w14:textId="77777777" w:rsidTr="00BA3FA3">
        <w:tc>
          <w:tcPr>
            <w:tcW w:w="2150" w:type="pct"/>
            <w:hideMark/>
          </w:tcPr>
          <w:p w14:paraId="73B52216" w14:textId="77777777" w:rsidR="00BA3FA3" w:rsidRPr="00257FBF" w:rsidRDefault="00BA3FA3" w:rsidP="00257FBF">
            <w:pPr>
              <w:ind w:left="360"/>
              <w:rPr>
                <w:rFonts w:ascii="Verdana" w:hAnsi="Verdana"/>
                <w:sz w:val="22"/>
                <w:szCs w:val="22"/>
              </w:rPr>
            </w:pPr>
            <w:r w:rsidRPr="00257FBF">
              <w:rPr>
                <w:rFonts w:ascii="Verdana" w:hAnsi="Verdana"/>
                <w:sz w:val="22"/>
                <w:szCs w:val="22"/>
              </w:rPr>
              <w:t>CARGOS EQUIVALENTES</w:t>
            </w:r>
          </w:p>
        </w:tc>
        <w:tc>
          <w:tcPr>
            <w:tcW w:w="450" w:type="pct"/>
            <w:hideMark/>
          </w:tcPr>
          <w:p w14:paraId="06E9939E" w14:textId="77777777" w:rsidR="00BA3FA3" w:rsidRPr="00257FBF" w:rsidRDefault="00BA3FA3" w:rsidP="00257FBF">
            <w:pPr>
              <w:rPr>
                <w:rFonts w:ascii="Verdana" w:hAnsi="Verdana"/>
                <w:sz w:val="22"/>
                <w:szCs w:val="22"/>
              </w:rPr>
            </w:pPr>
            <w:r w:rsidRPr="00257FBF">
              <w:rPr>
                <w:rFonts w:ascii="Verdana" w:hAnsi="Verdana"/>
                <w:sz w:val="22"/>
                <w:szCs w:val="22"/>
              </w:rPr>
              <w:t>CÓD.</w:t>
            </w:r>
          </w:p>
        </w:tc>
        <w:tc>
          <w:tcPr>
            <w:tcW w:w="550" w:type="pct"/>
            <w:hideMark/>
          </w:tcPr>
          <w:p w14:paraId="49D0BDFC" w14:textId="77777777" w:rsidR="00BA3FA3" w:rsidRPr="00257FBF" w:rsidRDefault="00BA3FA3" w:rsidP="00257FBF">
            <w:pPr>
              <w:rPr>
                <w:rFonts w:ascii="Verdana" w:hAnsi="Verdana"/>
                <w:sz w:val="22"/>
                <w:szCs w:val="22"/>
              </w:rPr>
            </w:pPr>
            <w:r w:rsidRPr="00257FBF">
              <w:rPr>
                <w:rFonts w:ascii="Verdana" w:hAnsi="Verdana"/>
                <w:sz w:val="22"/>
                <w:szCs w:val="22"/>
              </w:rPr>
              <w:t>GRADO</w:t>
            </w:r>
          </w:p>
        </w:tc>
        <w:tc>
          <w:tcPr>
            <w:tcW w:w="700" w:type="pct"/>
            <w:hideMark/>
          </w:tcPr>
          <w:p w14:paraId="68153F1E" w14:textId="77777777" w:rsidR="00BA3FA3" w:rsidRPr="00257FBF" w:rsidRDefault="00BA3FA3" w:rsidP="00257FBF">
            <w:pPr>
              <w:rPr>
                <w:rFonts w:ascii="Verdana" w:hAnsi="Verdana"/>
                <w:sz w:val="22"/>
                <w:szCs w:val="22"/>
              </w:rPr>
            </w:pPr>
            <w:r w:rsidRPr="00257FBF">
              <w:rPr>
                <w:rFonts w:ascii="Verdana" w:hAnsi="Verdana"/>
                <w:sz w:val="22"/>
                <w:szCs w:val="22"/>
              </w:rPr>
              <w:t>TOTAL</w:t>
            </w:r>
            <w:r w:rsidRPr="00257FBF">
              <w:rPr>
                <w:rFonts w:ascii="Verdana" w:hAnsi="Verdana"/>
                <w:sz w:val="22"/>
                <w:szCs w:val="22"/>
              </w:rPr>
              <w:br/>
              <w:t>CARGOS</w:t>
            </w:r>
          </w:p>
        </w:tc>
        <w:tc>
          <w:tcPr>
            <w:tcW w:w="1200" w:type="pct"/>
            <w:hideMark/>
          </w:tcPr>
          <w:p w14:paraId="1223422F" w14:textId="77777777" w:rsidR="00BA3FA3" w:rsidRPr="00257FBF" w:rsidRDefault="00BA3FA3" w:rsidP="00257FBF">
            <w:pPr>
              <w:rPr>
                <w:rFonts w:ascii="Verdana" w:hAnsi="Verdana"/>
                <w:sz w:val="22"/>
                <w:szCs w:val="22"/>
              </w:rPr>
            </w:pPr>
            <w:r w:rsidRPr="00257FBF">
              <w:rPr>
                <w:rFonts w:ascii="Verdana" w:hAnsi="Verdana"/>
                <w:sz w:val="22"/>
                <w:szCs w:val="22"/>
              </w:rPr>
              <w:t>REMUNERACIÓN MENSUAL $</w:t>
            </w:r>
          </w:p>
        </w:tc>
      </w:tr>
      <w:tr w:rsidR="00D80B4F" w:rsidRPr="00BA3FA3" w14:paraId="74352972" w14:textId="77777777" w:rsidTr="00BA3FA3">
        <w:tc>
          <w:tcPr>
            <w:tcW w:w="2150" w:type="pct"/>
            <w:hideMark/>
          </w:tcPr>
          <w:p w14:paraId="65438FDD" w14:textId="77777777" w:rsidR="00BA3FA3" w:rsidRPr="00257FBF" w:rsidRDefault="00BA3FA3" w:rsidP="00257FBF">
            <w:pPr>
              <w:rPr>
                <w:rFonts w:ascii="Verdana" w:hAnsi="Verdana"/>
                <w:sz w:val="22"/>
                <w:szCs w:val="22"/>
              </w:rPr>
            </w:pPr>
            <w:r w:rsidRPr="00257FBF">
              <w:rPr>
                <w:rFonts w:ascii="Verdana" w:hAnsi="Verdana"/>
                <w:sz w:val="22"/>
                <w:szCs w:val="22"/>
              </w:rPr>
              <w:t>PROFESIONAL ESPECIALIZADO</w:t>
            </w:r>
          </w:p>
        </w:tc>
        <w:tc>
          <w:tcPr>
            <w:tcW w:w="450" w:type="pct"/>
            <w:hideMark/>
          </w:tcPr>
          <w:p w14:paraId="6BF2FFCD" w14:textId="77777777" w:rsidR="00BA3FA3" w:rsidRPr="00257FBF" w:rsidRDefault="00BA3FA3" w:rsidP="00257FBF">
            <w:pPr>
              <w:rPr>
                <w:rFonts w:ascii="Verdana" w:hAnsi="Verdana"/>
                <w:sz w:val="22"/>
                <w:szCs w:val="22"/>
              </w:rPr>
            </w:pPr>
            <w:r w:rsidRPr="00257FBF">
              <w:rPr>
                <w:rFonts w:ascii="Verdana" w:hAnsi="Verdana"/>
                <w:sz w:val="22"/>
                <w:szCs w:val="22"/>
              </w:rPr>
              <w:t>2028</w:t>
            </w:r>
          </w:p>
        </w:tc>
        <w:tc>
          <w:tcPr>
            <w:tcW w:w="550" w:type="pct"/>
            <w:hideMark/>
          </w:tcPr>
          <w:p w14:paraId="644C589A" w14:textId="77777777" w:rsidR="00BA3FA3" w:rsidRPr="00257FBF" w:rsidRDefault="00BA3FA3" w:rsidP="00257FBF">
            <w:pPr>
              <w:rPr>
                <w:rFonts w:ascii="Verdana" w:hAnsi="Verdana"/>
                <w:sz w:val="22"/>
                <w:szCs w:val="22"/>
              </w:rPr>
            </w:pPr>
            <w:r w:rsidRPr="00257FBF">
              <w:rPr>
                <w:rFonts w:ascii="Verdana" w:hAnsi="Verdana"/>
                <w:sz w:val="22"/>
                <w:szCs w:val="22"/>
              </w:rPr>
              <w:t>13</w:t>
            </w:r>
          </w:p>
        </w:tc>
        <w:tc>
          <w:tcPr>
            <w:tcW w:w="700" w:type="pct"/>
            <w:hideMark/>
          </w:tcPr>
          <w:p w14:paraId="5FEFF2F8" w14:textId="77777777" w:rsidR="00BA3FA3" w:rsidRPr="00257FBF" w:rsidRDefault="00BA3FA3" w:rsidP="00257FBF">
            <w:pPr>
              <w:rPr>
                <w:rFonts w:ascii="Verdana" w:hAnsi="Verdana"/>
                <w:sz w:val="22"/>
                <w:szCs w:val="22"/>
              </w:rPr>
            </w:pPr>
            <w:r w:rsidRPr="00257FBF">
              <w:rPr>
                <w:rFonts w:ascii="Verdana" w:hAnsi="Verdana"/>
                <w:sz w:val="22"/>
                <w:szCs w:val="22"/>
              </w:rPr>
              <w:t>6</w:t>
            </w:r>
          </w:p>
        </w:tc>
        <w:tc>
          <w:tcPr>
            <w:tcW w:w="1200" w:type="pct"/>
            <w:hideMark/>
          </w:tcPr>
          <w:p w14:paraId="13490AEF" w14:textId="3D180B12" w:rsidR="00BA3FA3" w:rsidRPr="00257FBF" w:rsidRDefault="00257FBF" w:rsidP="00257FBF">
            <w:pPr>
              <w:rPr>
                <w:rFonts w:ascii="Verdana" w:hAnsi="Verdana"/>
                <w:sz w:val="22"/>
                <w:szCs w:val="22"/>
              </w:rPr>
            </w:pPr>
            <w:r>
              <w:rPr>
                <w:rFonts w:ascii="Verdana" w:hAnsi="Verdana"/>
                <w:sz w:val="22"/>
                <w:szCs w:val="22"/>
              </w:rPr>
              <w:t>2.</w:t>
            </w:r>
            <w:r w:rsidR="00BA3FA3" w:rsidRPr="00257FBF">
              <w:rPr>
                <w:rFonts w:ascii="Verdana" w:hAnsi="Verdana"/>
                <w:sz w:val="22"/>
                <w:szCs w:val="22"/>
              </w:rPr>
              <w:t>494.331</w:t>
            </w:r>
          </w:p>
        </w:tc>
      </w:tr>
      <w:tr w:rsidR="00D80B4F" w:rsidRPr="00BA3FA3" w14:paraId="0417B00A" w14:textId="77777777" w:rsidTr="00BA3FA3">
        <w:tc>
          <w:tcPr>
            <w:tcW w:w="2150" w:type="pct"/>
            <w:hideMark/>
          </w:tcPr>
          <w:p w14:paraId="3683E437" w14:textId="77777777" w:rsidR="00BA3FA3" w:rsidRPr="00257FBF" w:rsidRDefault="00BA3FA3" w:rsidP="00257FBF">
            <w:pPr>
              <w:rPr>
                <w:rFonts w:ascii="Verdana" w:hAnsi="Verdana"/>
                <w:sz w:val="22"/>
                <w:szCs w:val="22"/>
              </w:rPr>
            </w:pPr>
            <w:r w:rsidRPr="00257FBF">
              <w:rPr>
                <w:rFonts w:ascii="Verdana" w:hAnsi="Verdana"/>
                <w:sz w:val="22"/>
                <w:szCs w:val="22"/>
              </w:rPr>
              <w:t>PROFESIONAL ESPECIALIZADO</w:t>
            </w:r>
          </w:p>
        </w:tc>
        <w:tc>
          <w:tcPr>
            <w:tcW w:w="450" w:type="pct"/>
            <w:hideMark/>
          </w:tcPr>
          <w:p w14:paraId="7CD6D7BC" w14:textId="77777777" w:rsidR="00BA3FA3" w:rsidRPr="00257FBF" w:rsidRDefault="00BA3FA3" w:rsidP="00257FBF">
            <w:pPr>
              <w:rPr>
                <w:rFonts w:ascii="Verdana" w:hAnsi="Verdana"/>
                <w:sz w:val="22"/>
                <w:szCs w:val="22"/>
              </w:rPr>
            </w:pPr>
            <w:r w:rsidRPr="00257FBF">
              <w:rPr>
                <w:rFonts w:ascii="Verdana" w:hAnsi="Verdana"/>
                <w:sz w:val="22"/>
                <w:szCs w:val="22"/>
              </w:rPr>
              <w:t>2028</w:t>
            </w:r>
          </w:p>
        </w:tc>
        <w:tc>
          <w:tcPr>
            <w:tcW w:w="550" w:type="pct"/>
            <w:hideMark/>
          </w:tcPr>
          <w:p w14:paraId="591F4B9E" w14:textId="77777777" w:rsidR="00BA3FA3" w:rsidRPr="00257FBF" w:rsidRDefault="00BA3FA3" w:rsidP="00257FBF">
            <w:pPr>
              <w:rPr>
                <w:rFonts w:ascii="Verdana" w:hAnsi="Verdana"/>
                <w:sz w:val="22"/>
                <w:szCs w:val="22"/>
              </w:rPr>
            </w:pPr>
            <w:r w:rsidRPr="00257FBF">
              <w:rPr>
                <w:rFonts w:ascii="Verdana" w:hAnsi="Verdana"/>
                <w:sz w:val="22"/>
                <w:szCs w:val="22"/>
              </w:rPr>
              <w:t>12</w:t>
            </w:r>
          </w:p>
        </w:tc>
        <w:tc>
          <w:tcPr>
            <w:tcW w:w="700" w:type="pct"/>
            <w:hideMark/>
          </w:tcPr>
          <w:p w14:paraId="20A4E436" w14:textId="77777777" w:rsidR="00BA3FA3" w:rsidRPr="00257FBF" w:rsidRDefault="00BA3FA3" w:rsidP="00257FBF">
            <w:pPr>
              <w:rPr>
                <w:rFonts w:ascii="Verdana" w:hAnsi="Verdana"/>
                <w:sz w:val="22"/>
                <w:szCs w:val="22"/>
              </w:rPr>
            </w:pPr>
            <w:r w:rsidRPr="00257FBF">
              <w:rPr>
                <w:rFonts w:ascii="Verdana" w:hAnsi="Verdana"/>
                <w:sz w:val="22"/>
                <w:szCs w:val="22"/>
              </w:rPr>
              <w:t>6</w:t>
            </w:r>
          </w:p>
        </w:tc>
        <w:tc>
          <w:tcPr>
            <w:tcW w:w="1200" w:type="pct"/>
            <w:hideMark/>
          </w:tcPr>
          <w:p w14:paraId="70D3B019" w14:textId="77777777" w:rsidR="00BA3FA3" w:rsidRPr="00257FBF" w:rsidRDefault="00BA3FA3" w:rsidP="00257FBF">
            <w:pPr>
              <w:rPr>
                <w:rFonts w:ascii="Verdana" w:hAnsi="Verdana"/>
                <w:sz w:val="22"/>
                <w:szCs w:val="22"/>
              </w:rPr>
            </w:pPr>
            <w:r w:rsidRPr="00257FBF">
              <w:rPr>
                <w:rFonts w:ascii="Verdana" w:hAnsi="Verdana"/>
                <w:sz w:val="22"/>
                <w:szCs w:val="22"/>
              </w:rPr>
              <w:t>2.302.196</w:t>
            </w:r>
          </w:p>
        </w:tc>
      </w:tr>
      <w:tr w:rsidR="00D80B4F" w:rsidRPr="00BA3FA3" w14:paraId="24B13AD4" w14:textId="77777777" w:rsidTr="00BA3FA3">
        <w:tc>
          <w:tcPr>
            <w:tcW w:w="2150" w:type="pct"/>
            <w:hideMark/>
          </w:tcPr>
          <w:p w14:paraId="1BC913FA" w14:textId="77777777" w:rsidR="00BA3FA3" w:rsidRPr="00257FBF" w:rsidRDefault="00BA3FA3" w:rsidP="00257FBF">
            <w:pPr>
              <w:rPr>
                <w:rFonts w:ascii="Verdana" w:hAnsi="Verdana"/>
                <w:sz w:val="22"/>
                <w:szCs w:val="22"/>
              </w:rPr>
            </w:pPr>
            <w:r w:rsidRPr="00257FBF">
              <w:rPr>
                <w:rFonts w:ascii="Verdana" w:hAnsi="Verdana"/>
                <w:sz w:val="22"/>
                <w:szCs w:val="22"/>
              </w:rPr>
              <w:t>PROFESIONAL UNIVERSITARIO</w:t>
            </w:r>
          </w:p>
        </w:tc>
        <w:tc>
          <w:tcPr>
            <w:tcW w:w="450" w:type="pct"/>
            <w:hideMark/>
          </w:tcPr>
          <w:p w14:paraId="0C1014F9" w14:textId="77777777" w:rsidR="00BA3FA3" w:rsidRPr="00257FBF" w:rsidRDefault="00BA3FA3" w:rsidP="00257FBF">
            <w:pPr>
              <w:rPr>
                <w:rFonts w:ascii="Verdana" w:hAnsi="Verdana"/>
                <w:sz w:val="22"/>
                <w:szCs w:val="22"/>
              </w:rPr>
            </w:pPr>
            <w:r w:rsidRPr="00257FBF">
              <w:rPr>
                <w:rFonts w:ascii="Verdana" w:hAnsi="Verdana"/>
                <w:sz w:val="22"/>
                <w:szCs w:val="22"/>
              </w:rPr>
              <w:t>2044</w:t>
            </w:r>
          </w:p>
        </w:tc>
        <w:tc>
          <w:tcPr>
            <w:tcW w:w="550" w:type="pct"/>
            <w:hideMark/>
          </w:tcPr>
          <w:p w14:paraId="60013BF1" w14:textId="77777777" w:rsidR="00BA3FA3" w:rsidRPr="00257FBF" w:rsidRDefault="00BA3FA3" w:rsidP="00257FBF">
            <w:pPr>
              <w:rPr>
                <w:rFonts w:ascii="Verdana" w:hAnsi="Verdana"/>
                <w:sz w:val="22"/>
                <w:szCs w:val="22"/>
              </w:rPr>
            </w:pPr>
            <w:r w:rsidRPr="00257FBF">
              <w:rPr>
                <w:rFonts w:ascii="Verdana" w:hAnsi="Verdana"/>
                <w:sz w:val="22"/>
                <w:szCs w:val="22"/>
              </w:rPr>
              <w:t>10</w:t>
            </w:r>
          </w:p>
        </w:tc>
        <w:tc>
          <w:tcPr>
            <w:tcW w:w="700" w:type="pct"/>
            <w:hideMark/>
          </w:tcPr>
          <w:p w14:paraId="2A658231" w14:textId="77777777" w:rsidR="00BA3FA3" w:rsidRPr="00D80B4F" w:rsidRDefault="00BA3FA3" w:rsidP="00D80B4F">
            <w:pPr>
              <w:rPr>
                <w:rFonts w:ascii="Verdana" w:hAnsi="Verdana"/>
                <w:sz w:val="22"/>
                <w:szCs w:val="22"/>
              </w:rPr>
            </w:pPr>
            <w:r w:rsidRPr="00D80B4F">
              <w:rPr>
                <w:rFonts w:ascii="Verdana" w:hAnsi="Verdana"/>
                <w:sz w:val="22"/>
                <w:szCs w:val="22"/>
              </w:rPr>
              <w:t>3</w:t>
            </w:r>
          </w:p>
        </w:tc>
        <w:tc>
          <w:tcPr>
            <w:tcW w:w="1200" w:type="pct"/>
            <w:hideMark/>
          </w:tcPr>
          <w:p w14:paraId="13404C06" w14:textId="77777777" w:rsidR="00BA3FA3" w:rsidRPr="00D80B4F" w:rsidRDefault="00BA3FA3" w:rsidP="00D80B4F">
            <w:pPr>
              <w:rPr>
                <w:rFonts w:ascii="Verdana" w:hAnsi="Verdana"/>
                <w:sz w:val="22"/>
                <w:szCs w:val="22"/>
              </w:rPr>
            </w:pPr>
            <w:r w:rsidRPr="00D80B4F">
              <w:rPr>
                <w:rFonts w:ascii="Verdana" w:hAnsi="Verdana"/>
                <w:sz w:val="22"/>
                <w:szCs w:val="22"/>
              </w:rPr>
              <w:t>2.082.275</w:t>
            </w:r>
          </w:p>
        </w:tc>
      </w:tr>
      <w:tr w:rsidR="00D80B4F" w:rsidRPr="00BA3FA3" w14:paraId="2D0EE88E" w14:textId="77777777" w:rsidTr="00BA3FA3">
        <w:tc>
          <w:tcPr>
            <w:tcW w:w="2150" w:type="pct"/>
            <w:hideMark/>
          </w:tcPr>
          <w:p w14:paraId="3E2A96C8" w14:textId="77777777" w:rsidR="00BA3FA3" w:rsidRPr="00257FBF" w:rsidRDefault="00BA3FA3" w:rsidP="00257FBF">
            <w:pPr>
              <w:rPr>
                <w:rFonts w:ascii="Verdana" w:hAnsi="Verdana"/>
                <w:sz w:val="22"/>
                <w:szCs w:val="22"/>
              </w:rPr>
            </w:pPr>
            <w:r w:rsidRPr="00257FBF">
              <w:rPr>
                <w:rFonts w:ascii="Verdana" w:hAnsi="Verdana"/>
                <w:sz w:val="22"/>
                <w:szCs w:val="22"/>
              </w:rPr>
              <w:t>PROFESIONAL UNIVERSITARIO</w:t>
            </w:r>
          </w:p>
        </w:tc>
        <w:tc>
          <w:tcPr>
            <w:tcW w:w="450" w:type="pct"/>
            <w:hideMark/>
          </w:tcPr>
          <w:p w14:paraId="02E7403D" w14:textId="77777777" w:rsidR="00BA3FA3" w:rsidRPr="00257FBF" w:rsidRDefault="00BA3FA3" w:rsidP="00257FBF">
            <w:pPr>
              <w:rPr>
                <w:rFonts w:ascii="Verdana" w:hAnsi="Verdana"/>
                <w:sz w:val="22"/>
                <w:szCs w:val="22"/>
              </w:rPr>
            </w:pPr>
            <w:r w:rsidRPr="00257FBF">
              <w:rPr>
                <w:rFonts w:ascii="Verdana" w:hAnsi="Verdana"/>
                <w:sz w:val="22"/>
                <w:szCs w:val="22"/>
              </w:rPr>
              <w:t>2044</w:t>
            </w:r>
          </w:p>
        </w:tc>
        <w:tc>
          <w:tcPr>
            <w:tcW w:w="550" w:type="pct"/>
            <w:hideMark/>
          </w:tcPr>
          <w:p w14:paraId="7C9825DE" w14:textId="77777777" w:rsidR="00BA3FA3" w:rsidRPr="00257FBF" w:rsidRDefault="00BA3FA3" w:rsidP="00257FBF">
            <w:pPr>
              <w:rPr>
                <w:rFonts w:ascii="Verdana" w:hAnsi="Verdana"/>
                <w:sz w:val="22"/>
                <w:szCs w:val="22"/>
              </w:rPr>
            </w:pPr>
            <w:r w:rsidRPr="00257FBF">
              <w:rPr>
                <w:rFonts w:ascii="Verdana" w:hAnsi="Verdana"/>
                <w:sz w:val="22"/>
                <w:szCs w:val="22"/>
              </w:rPr>
              <w:t>8</w:t>
            </w:r>
          </w:p>
        </w:tc>
        <w:tc>
          <w:tcPr>
            <w:tcW w:w="700" w:type="pct"/>
            <w:hideMark/>
          </w:tcPr>
          <w:p w14:paraId="73F1C150" w14:textId="77777777" w:rsidR="00BA3FA3" w:rsidRPr="00D80B4F" w:rsidRDefault="00BA3FA3" w:rsidP="00D80B4F">
            <w:pPr>
              <w:rPr>
                <w:rFonts w:ascii="Verdana" w:hAnsi="Verdana"/>
                <w:sz w:val="22"/>
                <w:szCs w:val="22"/>
              </w:rPr>
            </w:pPr>
            <w:r w:rsidRPr="00D80B4F">
              <w:rPr>
                <w:rFonts w:ascii="Verdana" w:hAnsi="Verdana"/>
                <w:sz w:val="22"/>
                <w:szCs w:val="22"/>
              </w:rPr>
              <w:t>4</w:t>
            </w:r>
          </w:p>
        </w:tc>
        <w:tc>
          <w:tcPr>
            <w:tcW w:w="1200" w:type="pct"/>
            <w:hideMark/>
          </w:tcPr>
          <w:p w14:paraId="1C922129" w14:textId="77777777" w:rsidR="00BA3FA3" w:rsidRPr="00D80B4F" w:rsidRDefault="00BA3FA3" w:rsidP="00D80B4F">
            <w:pPr>
              <w:rPr>
                <w:rFonts w:ascii="Verdana" w:hAnsi="Verdana"/>
                <w:sz w:val="22"/>
                <w:szCs w:val="22"/>
              </w:rPr>
            </w:pPr>
            <w:r w:rsidRPr="00D80B4F">
              <w:rPr>
                <w:rFonts w:ascii="Verdana" w:hAnsi="Verdana"/>
                <w:sz w:val="22"/>
                <w:szCs w:val="22"/>
              </w:rPr>
              <w:t>1.930.469</w:t>
            </w:r>
          </w:p>
        </w:tc>
      </w:tr>
      <w:tr w:rsidR="00D80B4F" w:rsidRPr="00BA3FA3" w14:paraId="42C115EF" w14:textId="77777777" w:rsidTr="00BA3FA3">
        <w:tc>
          <w:tcPr>
            <w:tcW w:w="2150" w:type="pct"/>
            <w:hideMark/>
          </w:tcPr>
          <w:p w14:paraId="2FFC4E14" w14:textId="77777777" w:rsidR="00BA3FA3" w:rsidRPr="00257FBF" w:rsidRDefault="00BA3FA3" w:rsidP="00257FBF">
            <w:pPr>
              <w:rPr>
                <w:rFonts w:ascii="Verdana" w:hAnsi="Verdana"/>
                <w:sz w:val="22"/>
                <w:szCs w:val="22"/>
              </w:rPr>
            </w:pPr>
            <w:r w:rsidRPr="00257FBF">
              <w:rPr>
                <w:rFonts w:ascii="Verdana" w:hAnsi="Verdana"/>
                <w:sz w:val="22"/>
                <w:szCs w:val="22"/>
              </w:rPr>
              <w:t>PROFESIONAL UNIVERSITARIO</w:t>
            </w:r>
          </w:p>
        </w:tc>
        <w:tc>
          <w:tcPr>
            <w:tcW w:w="450" w:type="pct"/>
            <w:hideMark/>
          </w:tcPr>
          <w:p w14:paraId="7D4C1B78" w14:textId="77777777" w:rsidR="00BA3FA3" w:rsidRPr="00257FBF" w:rsidRDefault="00BA3FA3" w:rsidP="00257FBF">
            <w:pPr>
              <w:rPr>
                <w:rFonts w:ascii="Verdana" w:hAnsi="Verdana"/>
                <w:sz w:val="22"/>
                <w:szCs w:val="22"/>
              </w:rPr>
            </w:pPr>
            <w:r w:rsidRPr="00257FBF">
              <w:rPr>
                <w:rFonts w:ascii="Verdana" w:hAnsi="Verdana"/>
                <w:sz w:val="22"/>
                <w:szCs w:val="22"/>
              </w:rPr>
              <w:t>2044</w:t>
            </w:r>
          </w:p>
        </w:tc>
        <w:tc>
          <w:tcPr>
            <w:tcW w:w="550" w:type="pct"/>
            <w:hideMark/>
          </w:tcPr>
          <w:p w14:paraId="6BC6D25D" w14:textId="77777777" w:rsidR="00BA3FA3" w:rsidRPr="00257FBF" w:rsidRDefault="00BA3FA3" w:rsidP="00257FBF">
            <w:pPr>
              <w:rPr>
                <w:rFonts w:ascii="Verdana" w:hAnsi="Verdana"/>
                <w:sz w:val="22"/>
                <w:szCs w:val="22"/>
              </w:rPr>
            </w:pPr>
            <w:r w:rsidRPr="00257FBF">
              <w:rPr>
                <w:rFonts w:ascii="Verdana" w:hAnsi="Verdana"/>
                <w:sz w:val="22"/>
                <w:szCs w:val="22"/>
              </w:rPr>
              <w:t>6</w:t>
            </w:r>
          </w:p>
        </w:tc>
        <w:tc>
          <w:tcPr>
            <w:tcW w:w="700" w:type="pct"/>
            <w:hideMark/>
          </w:tcPr>
          <w:p w14:paraId="458118B8" w14:textId="77777777" w:rsidR="00BA3FA3" w:rsidRPr="00D80B4F" w:rsidRDefault="00BA3FA3" w:rsidP="00D80B4F">
            <w:pPr>
              <w:rPr>
                <w:rFonts w:ascii="Verdana" w:hAnsi="Verdana"/>
                <w:sz w:val="22"/>
                <w:szCs w:val="22"/>
              </w:rPr>
            </w:pPr>
            <w:r w:rsidRPr="00D80B4F">
              <w:rPr>
                <w:rFonts w:ascii="Verdana" w:hAnsi="Verdana"/>
                <w:sz w:val="22"/>
                <w:szCs w:val="22"/>
              </w:rPr>
              <w:t>5</w:t>
            </w:r>
          </w:p>
        </w:tc>
        <w:tc>
          <w:tcPr>
            <w:tcW w:w="1200" w:type="pct"/>
            <w:hideMark/>
          </w:tcPr>
          <w:p w14:paraId="049E2A15" w14:textId="77777777" w:rsidR="00BA3FA3" w:rsidRPr="00D80B4F" w:rsidRDefault="00BA3FA3" w:rsidP="00D80B4F">
            <w:pPr>
              <w:rPr>
                <w:rFonts w:ascii="Verdana" w:hAnsi="Verdana"/>
                <w:sz w:val="22"/>
                <w:szCs w:val="22"/>
              </w:rPr>
            </w:pPr>
            <w:r w:rsidRPr="00D80B4F">
              <w:rPr>
                <w:rFonts w:ascii="Verdana" w:hAnsi="Verdana"/>
                <w:sz w:val="22"/>
                <w:szCs w:val="22"/>
              </w:rPr>
              <w:t>1.752.286</w:t>
            </w:r>
          </w:p>
        </w:tc>
      </w:tr>
      <w:tr w:rsidR="00D80B4F" w:rsidRPr="00BA3FA3" w14:paraId="0323D33B" w14:textId="77777777" w:rsidTr="00BA3FA3">
        <w:tc>
          <w:tcPr>
            <w:tcW w:w="2150" w:type="pct"/>
            <w:hideMark/>
          </w:tcPr>
          <w:p w14:paraId="04735568" w14:textId="77777777" w:rsidR="00BA3FA3" w:rsidRPr="00257FBF" w:rsidRDefault="00BA3FA3" w:rsidP="00257FBF">
            <w:pPr>
              <w:rPr>
                <w:rFonts w:ascii="Verdana" w:hAnsi="Verdana"/>
                <w:sz w:val="22"/>
                <w:szCs w:val="22"/>
              </w:rPr>
            </w:pPr>
            <w:r w:rsidRPr="00257FBF">
              <w:rPr>
                <w:rFonts w:ascii="Verdana" w:hAnsi="Verdana"/>
                <w:sz w:val="22"/>
                <w:szCs w:val="22"/>
              </w:rPr>
              <w:t>PROFESIONAL UNIVERSITARIO</w:t>
            </w:r>
          </w:p>
        </w:tc>
        <w:tc>
          <w:tcPr>
            <w:tcW w:w="450" w:type="pct"/>
            <w:hideMark/>
          </w:tcPr>
          <w:p w14:paraId="57A0399E" w14:textId="77777777" w:rsidR="00BA3FA3" w:rsidRPr="00257FBF" w:rsidRDefault="00BA3FA3" w:rsidP="00257FBF">
            <w:pPr>
              <w:rPr>
                <w:rFonts w:ascii="Verdana" w:hAnsi="Verdana"/>
                <w:sz w:val="22"/>
                <w:szCs w:val="22"/>
              </w:rPr>
            </w:pPr>
            <w:r w:rsidRPr="00257FBF">
              <w:rPr>
                <w:rFonts w:ascii="Verdana" w:hAnsi="Verdana"/>
                <w:sz w:val="22"/>
                <w:szCs w:val="22"/>
              </w:rPr>
              <w:t>2044</w:t>
            </w:r>
          </w:p>
        </w:tc>
        <w:tc>
          <w:tcPr>
            <w:tcW w:w="550" w:type="pct"/>
            <w:hideMark/>
          </w:tcPr>
          <w:p w14:paraId="38CF3D23" w14:textId="77777777" w:rsidR="00BA3FA3" w:rsidRPr="00257FBF" w:rsidRDefault="00BA3FA3" w:rsidP="00257FBF">
            <w:pPr>
              <w:rPr>
                <w:rFonts w:ascii="Verdana" w:hAnsi="Verdana"/>
                <w:sz w:val="22"/>
                <w:szCs w:val="22"/>
              </w:rPr>
            </w:pPr>
            <w:r w:rsidRPr="00257FBF">
              <w:rPr>
                <w:rFonts w:ascii="Verdana" w:hAnsi="Verdana"/>
                <w:sz w:val="22"/>
                <w:szCs w:val="22"/>
              </w:rPr>
              <w:t>5</w:t>
            </w:r>
          </w:p>
        </w:tc>
        <w:tc>
          <w:tcPr>
            <w:tcW w:w="700" w:type="pct"/>
            <w:hideMark/>
          </w:tcPr>
          <w:p w14:paraId="01694049" w14:textId="77777777" w:rsidR="00BA3FA3" w:rsidRPr="00D80B4F" w:rsidRDefault="00BA3FA3" w:rsidP="00D80B4F">
            <w:pPr>
              <w:rPr>
                <w:rFonts w:ascii="Verdana" w:hAnsi="Verdana"/>
                <w:sz w:val="22"/>
                <w:szCs w:val="22"/>
              </w:rPr>
            </w:pPr>
            <w:r w:rsidRPr="00D80B4F">
              <w:rPr>
                <w:rFonts w:ascii="Verdana" w:hAnsi="Verdana"/>
                <w:sz w:val="22"/>
                <w:szCs w:val="22"/>
              </w:rPr>
              <w:t>168</w:t>
            </w:r>
          </w:p>
        </w:tc>
        <w:tc>
          <w:tcPr>
            <w:tcW w:w="1200" w:type="pct"/>
            <w:hideMark/>
          </w:tcPr>
          <w:p w14:paraId="3DD3D875" w14:textId="77777777" w:rsidR="00BA3FA3" w:rsidRPr="00D80B4F" w:rsidRDefault="00BA3FA3" w:rsidP="00D80B4F">
            <w:pPr>
              <w:rPr>
                <w:rFonts w:ascii="Verdana" w:hAnsi="Verdana"/>
                <w:sz w:val="22"/>
                <w:szCs w:val="22"/>
              </w:rPr>
            </w:pPr>
            <w:r w:rsidRPr="00D80B4F">
              <w:rPr>
                <w:rFonts w:ascii="Verdana" w:hAnsi="Verdana"/>
                <w:sz w:val="22"/>
                <w:szCs w:val="22"/>
              </w:rPr>
              <w:t>1.693.321</w:t>
            </w:r>
          </w:p>
        </w:tc>
      </w:tr>
      <w:tr w:rsidR="00D80B4F" w:rsidRPr="00BA3FA3" w14:paraId="26A820FE" w14:textId="77777777" w:rsidTr="00BA3FA3">
        <w:tc>
          <w:tcPr>
            <w:tcW w:w="2150" w:type="pct"/>
            <w:hideMark/>
          </w:tcPr>
          <w:p w14:paraId="106B2B65" w14:textId="77777777" w:rsidR="00BA3FA3" w:rsidRPr="00257FBF" w:rsidRDefault="00BA3FA3" w:rsidP="00257FBF">
            <w:pPr>
              <w:rPr>
                <w:rFonts w:ascii="Verdana" w:hAnsi="Verdana"/>
                <w:sz w:val="22"/>
                <w:szCs w:val="22"/>
              </w:rPr>
            </w:pPr>
            <w:r w:rsidRPr="00257FBF">
              <w:rPr>
                <w:rFonts w:ascii="Verdana" w:hAnsi="Verdana"/>
                <w:sz w:val="22"/>
                <w:szCs w:val="22"/>
              </w:rPr>
              <w:t>TÉCNICO ADMINISTRATIVO</w:t>
            </w:r>
          </w:p>
        </w:tc>
        <w:tc>
          <w:tcPr>
            <w:tcW w:w="450" w:type="pct"/>
            <w:hideMark/>
          </w:tcPr>
          <w:p w14:paraId="7A6C7491" w14:textId="77777777" w:rsidR="00BA3FA3" w:rsidRPr="00257FBF" w:rsidRDefault="00BA3FA3" w:rsidP="00257FBF">
            <w:pPr>
              <w:rPr>
                <w:rFonts w:ascii="Verdana" w:hAnsi="Verdana"/>
                <w:sz w:val="22"/>
                <w:szCs w:val="22"/>
              </w:rPr>
            </w:pPr>
            <w:r w:rsidRPr="00257FBF">
              <w:rPr>
                <w:rFonts w:ascii="Verdana" w:hAnsi="Verdana"/>
                <w:sz w:val="22"/>
                <w:szCs w:val="22"/>
              </w:rPr>
              <w:t>3124</w:t>
            </w:r>
          </w:p>
        </w:tc>
        <w:tc>
          <w:tcPr>
            <w:tcW w:w="550" w:type="pct"/>
            <w:hideMark/>
          </w:tcPr>
          <w:p w14:paraId="2DC0DC55" w14:textId="77777777" w:rsidR="00BA3FA3" w:rsidRPr="00257FBF" w:rsidRDefault="00BA3FA3" w:rsidP="00257FBF">
            <w:pPr>
              <w:rPr>
                <w:rFonts w:ascii="Verdana" w:hAnsi="Verdana"/>
                <w:sz w:val="22"/>
                <w:szCs w:val="22"/>
              </w:rPr>
            </w:pPr>
            <w:r w:rsidRPr="00257FBF">
              <w:rPr>
                <w:rFonts w:ascii="Verdana" w:hAnsi="Verdana"/>
                <w:sz w:val="22"/>
                <w:szCs w:val="22"/>
              </w:rPr>
              <w:t>17</w:t>
            </w:r>
          </w:p>
        </w:tc>
        <w:tc>
          <w:tcPr>
            <w:tcW w:w="700" w:type="pct"/>
            <w:hideMark/>
          </w:tcPr>
          <w:p w14:paraId="5AD173E1" w14:textId="77777777" w:rsidR="00BA3FA3" w:rsidRPr="00257FBF" w:rsidRDefault="00BA3FA3" w:rsidP="00257FBF">
            <w:pPr>
              <w:rPr>
                <w:rFonts w:ascii="Verdana" w:hAnsi="Verdana"/>
                <w:sz w:val="22"/>
                <w:szCs w:val="22"/>
              </w:rPr>
            </w:pPr>
            <w:r w:rsidRPr="00257FBF">
              <w:rPr>
                <w:rFonts w:ascii="Verdana" w:hAnsi="Verdana"/>
                <w:sz w:val="22"/>
                <w:szCs w:val="22"/>
              </w:rPr>
              <w:t>1</w:t>
            </w:r>
          </w:p>
        </w:tc>
        <w:tc>
          <w:tcPr>
            <w:tcW w:w="1200" w:type="pct"/>
            <w:hideMark/>
          </w:tcPr>
          <w:p w14:paraId="30577820" w14:textId="77777777" w:rsidR="00BA3FA3" w:rsidRPr="00D80B4F" w:rsidRDefault="00BA3FA3" w:rsidP="00D80B4F">
            <w:pPr>
              <w:rPr>
                <w:rFonts w:ascii="Verdana" w:hAnsi="Verdana"/>
                <w:sz w:val="22"/>
                <w:szCs w:val="22"/>
              </w:rPr>
            </w:pPr>
            <w:r w:rsidRPr="00D80B4F">
              <w:rPr>
                <w:rFonts w:ascii="Verdana" w:hAnsi="Verdana"/>
                <w:sz w:val="22"/>
                <w:szCs w:val="22"/>
              </w:rPr>
              <w:t>1.838.799</w:t>
            </w:r>
          </w:p>
        </w:tc>
      </w:tr>
      <w:tr w:rsidR="00D80B4F" w:rsidRPr="00BA3FA3" w14:paraId="34377E2D" w14:textId="77777777" w:rsidTr="00BA3FA3">
        <w:tc>
          <w:tcPr>
            <w:tcW w:w="2150" w:type="pct"/>
            <w:hideMark/>
          </w:tcPr>
          <w:p w14:paraId="1B06810C" w14:textId="77777777" w:rsidR="00BA3FA3" w:rsidRPr="00257FBF" w:rsidRDefault="00BA3FA3" w:rsidP="00257FBF">
            <w:pPr>
              <w:rPr>
                <w:rFonts w:ascii="Verdana" w:hAnsi="Verdana"/>
                <w:sz w:val="22"/>
                <w:szCs w:val="22"/>
              </w:rPr>
            </w:pPr>
            <w:r w:rsidRPr="00257FBF">
              <w:rPr>
                <w:rFonts w:ascii="Verdana" w:hAnsi="Verdana"/>
                <w:sz w:val="22"/>
                <w:szCs w:val="22"/>
              </w:rPr>
              <w:t>TÉCNICO ADMINISTRATIVO</w:t>
            </w:r>
          </w:p>
        </w:tc>
        <w:tc>
          <w:tcPr>
            <w:tcW w:w="450" w:type="pct"/>
            <w:hideMark/>
          </w:tcPr>
          <w:p w14:paraId="63917BDB" w14:textId="77777777" w:rsidR="00BA3FA3" w:rsidRPr="00257FBF" w:rsidRDefault="00BA3FA3" w:rsidP="00257FBF">
            <w:pPr>
              <w:rPr>
                <w:rFonts w:ascii="Verdana" w:hAnsi="Verdana"/>
                <w:sz w:val="22"/>
                <w:szCs w:val="22"/>
              </w:rPr>
            </w:pPr>
            <w:r w:rsidRPr="00257FBF">
              <w:rPr>
                <w:rFonts w:ascii="Verdana" w:hAnsi="Verdana"/>
                <w:sz w:val="22"/>
                <w:szCs w:val="22"/>
              </w:rPr>
              <w:t>3124</w:t>
            </w:r>
          </w:p>
        </w:tc>
        <w:tc>
          <w:tcPr>
            <w:tcW w:w="550" w:type="pct"/>
            <w:hideMark/>
          </w:tcPr>
          <w:p w14:paraId="5F4959DF" w14:textId="77777777" w:rsidR="00BA3FA3" w:rsidRPr="00257FBF" w:rsidRDefault="00BA3FA3" w:rsidP="00257FBF">
            <w:pPr>
              <w:rPr>
                <w:rFonts w:ascii="Verdana" w:hAnsi="Verdana"/>
                <w:sz w:val="22"/>
                <w:szCs w:val="22"/>
              </w:rPr>
            </w:pPr>
            <w:r w:rsidRPr="00257FBF">
              <w:rPr>
                <w:rFonts w:ascii="Verdana" w:hAnsi="Verdana"/>
                <w:sz w:val="22"/>
                <w:szCs w:val="22"/>
              </w:rPr>
              <w:t>16</w:t>
            </w:r>
          </w:p>
        </w:tc>
        <w:tc>
          <w:tcPr>
            <w:tcW w:w="700" w:type="pct"/>
            <w:hideMark/>
          </w:tcPr>
          <w:p w14:paraId="1C09ADA2" w14:textId="77777777" w:rsidR="00BA3FA3" w:rsidRPr="00257FBF" w:rsidRDefault="00BA3FA3" w:rsidP="00257FBF">
            <w:pPr>
              <w:rPr>
                <w:rFonts w:ascii="Verdana" w:hAnsi="Verdana"/>
                <w:sz w:val="22"/>
                <w:szCs w:val="22"/>
              </w:rPr>
            </w:pPr>
            <w:r w:rsidRPr="00257FBF">
              <w:rPr>
                <w:rFonts w:ascii="Verdana" w:hAnsi="Verdana"/>
                <w:sz w:val="22"/>
                <w:szCs w:val="22"/>
              </w:rPr>
              <w:t>2</w:t>
            </w:r>
          </w:p>
        </w:tc>
        <w:tc>
          <w:tcPr>
            <w:tcW w:w="1200" w:type="pct"/>
            <w:hideMark/>
          </w:tcPr>
          <w:p w14:paraId="3A56EFBA" w14:textId="77777777" w:rsidR="00BA3FA3" w:rsidRPr="00D80B4F" w:rsidRDefault="00BA3FA3" w:rsidP="00D80B4F">
            <w:pPr>
              <w:rPr>
                <w:rFonts w:ascii="Verdana" w:hAnsi="Verdana"/>
                <w:sz w:val="22"/>
                <w:szCs w:val="22"/>
              </w:rPr>
            </w:pPr>
            <w:r w:rsidRPr="00D80B4F">
              <w:rPr>
                <w:rFonts w:ascii="Verdana" w:hAnsi="Verdana"/>
                <w:sz w:val="22"/>
                <w:szCs w:val="22"/>
              </w:rPr>
              <w:t>1.717.662</w:t>
            </w:r>
          </w:p>
        </w:tc>
      </w:tr>
      <w:tr w:rsidR="00D80B4F" w:rsidRPr="00BA3FA3" w14:paraId="2C7E5106" w14:textId="77777777" w:rsidTr="00BA3FA3">
        <w:tc>
          <w:tcPr>
            <w:tcW w:w="2150" w:type="pct"/>
            <w:hideMark/>
          </w:tcPr>
          <w:p w14:paraId="4FF04263" w14:textId="77777777" w:rsidR="00BA3FA3" w:rsidRPr="00257FBF" w:rsidRDefault="00BA3FA3" w:rsidP="00257FBF">
            <w:pPr>
              <w:rPr>
                <w:rFonts w:ascii="Verdana" w:hAnsi="Verdana"/>
                <w:sz w:val="22"/>
                <w:szCs w:val="22"/>
              </w:rPr>
            </w:pPr>
            <w:r w:rsidRPr="00257FBF">
              <w:rPr>
                <w:rFonts w:ascii="Verdana" w:hAnsi="Verdana"/>
                <w:sz w:val="22"/>
                <w:szCs w:val="22"/>
              </w:rPr>
              <w:t>TÉCNICO ADMINISTRATIVO</w:t>
            </w:r>
          </w:p>
        </w:tc>
        <w:tc>
          <w:tcPr>
            <w:tcW w:w="450" w:type="pct"/>
            <w:hideMark/>
          </w:tcPr>
          <w:p w14:paraId="4F2FB917" w14:textId="77777777" w:rsidR="00BA3FA3" w:rsidRPr="00257FBF" w:rsidRDefault="00BA3FA3" w:rsidP="00257FBF">
            <w:pPr>
              <w:rPr>
                <w:rFonts w:ascii="Verdana" w:hAnsi="Verdana"/>
                <w:sz w:val="22"/>
                <w:szCs w:val="22"/>
              </w:rPr>
            </w:pPr>
            <w:r w:rsidRPr="00257FBF">
              <w:rPr>
                <w:rFonts w:ascii="Verdana" w:hAnsi="Verdana"/>
                <w:sz w:val="22"/>
                <w:szCs w:val="22"/>
              </w:rPr>
              <w:t>3124</w:t>
            </w:r>
          </w:p>
        </w:tc>
        <w:tc>
          <w:tcPr>
            <w:tcW w:w="550" w:type="pct"/>
            <w:hideMark/>
          </w:tcPr>
          <w:p w14:paraId="74DC7B1F" w14:textId="77777777" w:rsidR="00BA3FA3" w:rsidRPr="00257FBF" w:rsidRDefault="00BA3FA3" w:rsidP="00257FBF">
            <w:pPr>
              <w:rPr>
                <w:rFonts w:ascii="Verdana" w:hAnsi="Verdana"/>
                <w:sz w:val="22"/>
                <w:szCs w:val="22"/>
              </w:rPr>
            </w:pPr>
            <w:r w:rsidRPr="00257FBF">
              <w:rPr>
                <w:rFonts w:ascii="Verdana" w:hAnsi="Verdana"/>
                <w:sz w:val="22"/>
                <w:szCs w:val="22"/>
              </w:rPr>
              <w:t>13</w:t>
            </w:r>
          </w:p>
        </w:tc>
        <w:tc>
          <w:tcPr>
            <w:tcW w:w="700" w:type="pct"/>
            <w:hideMark/>
          </w:tcPr>
          <w:p w14:paraId="496C5750" w14:textId="77777777" w:rsidR="00BA3FA3" w:rsidRPr="00257FBF" w:rsidRDefault="00BA3FA3" w:rsidP="00257FBF">
            <w:pPr>
              <w:rPr>
                <w:rFonts w:ascii="Verdana" w:hAnsi="Verdana"/>
                <w:sz w:val="22"/>
                <w:szCs w:val="22"/>
              </w:rPr>
            </w:pPr>
            <w:r w:rsidRPr="00257FBF">
              <w:rPr>
                <w:rFonts w:ascii="Verdana" w:hAnsi="Verdana"/>
                <w:sz w:val="22"/>
                <w:szCs w:val="22"/>
              </w:rPr>
              <w:t>17</w:t>
            </w:r>
          </w:p>
        </w:tc>
        <w:tc>
          <w:tcPr>
            <w:tcW w:w="1200" w:type="pct"/>
            <w:hideMark/>
          </w:tcPr>
          <w:p w14:paraId="5C5E6610" w14:textId="77777777" w:rsidR="00BA3FA3" w:rsidRPr="00D80B4F" w:rsidRDefault="00BA3FA3" w:rsidP="00D80B4F">
            <w:pPr>
              <w:rPr>
                <w:rFonts w:ascii="Verdana" w:hAnsi="Verdana"/>
                <w:sz w:val="22"/>
                <w:szCs w:val="22"/>
              </w:rPr>
            </w:pPr>
            <w:r w:rsidRPr="00D80B4F">
              <w:rPr>
                <w:rFonts w:ascii="Verdana" w:hAnsi="Verdana"/>
                <w:sz w:val="22"/>
                <w:szCs w:val="22"/>
              </w:rPr>
              <w:t>1.403.343</w:t>
            </w:r>
          </w:p>
        </w:tc>
      </w:tr>
      <w:tr w:rsidR="00D80B4F" w:rsidRPr="00BA3FA3" w14:paraId="31A91482" w14:textId="77777777" w:rsidTr="00BA3FA3">
        <w:tc>
          <w:tcPr>
            <w:tcW w:w="2150" w:type="pct"/>
            <w:hideMark/>
          </w:tcPr>
          <w:p w14:paraId="04F72B86" w14:textId="77777777" w:rsidR="00BA3FA3" w:rsidRPr="00257FBF" w:rsidRDefault="00BA3FA3" w:rsidP="00257FBF">
            <w:pPr>
              <w:rPr>
                <w:rFonts w:ascii="Verdana" w:hAnsi="Verdana"/>
                <w:sz w:val="22"/>
                <w:szCs w:val="22"/>
              </w:rPr>
            </w:pPr>
            <w:r w:rsidRPr="00257FBF">
              <w:rPr>
                <w:rFonts w:ascii="Verdana" w:hAnsi="Verdana"/>
                <w:sz w:val="22"/>
                <w:szCs w:val="22"/>
              </w:rPr>
              <w:lastRenderedPageBreak/>
              <w:t>TÉCNICO ADMINISTRATIVO</w:t>
            </w:r>
          </w:p>
        </w:tc>
        <w:tc>
          <w:tcPr>
            <w:tcW w:w="450" w:type="pct"/>
            <w:hideMark/>
          </w:tcPr>
          <w:p w14:paraId="194D6D14" w14:textId="77777777" w:rsidR="00BA3FA3" w:rsidRPr="00257FBF" w:rsidRDefault="00BA3FA3" w:rsidP="00257FBF">
            <w:pPr>
              <w:rPr>
                <w:rFonts w:ascii="Verdana" w:hAnsi="Verdana"/>
                <w:sz w:val="22"/>
                <w:szCs w:val="22"/>
              </w:rPr>
            </w:pPr>
            <w:r w:rsidRPr="00257FBF">
              <w:rPr>
                <w:rFonts w:ascii="Verdana" w:hAnsi="Verdana"/>
                <w:sz w:val="22"/>
                <w:szCs w:val="22"/>
              </w:rPr>
              <w:t>3124</w:t>
            </w:r>
          </w:p>
        </w:tc>
        <w:tc>
          <w:tcPr>
            <w:tcW w:w="550" w:type="pct"/>
            <w:hideMark/>
          </w:tcPr>
          <w:p w14:paraId="4A5E50FC" w14:textId="77777777" w:rsidR="00BA3FA3" w:rsidRPr="00257FBF" w:rsidRDefault="00BA3FA3" w:rsidP="00257FBF">
            <w:pPr>
              <w:rPr>
                <w:rFonts w:ascii="Verdana" w:hAnsi="Verdana"/>
                <w:sz w:val="22"/>
                <w:szCs w:val="22"/>
              </w:rPr>
            </w:pPr>
            <w:r w:rsidRPr="00257FBF">
              <w:rPr>
                <w:rFonts w:ascii="Verdana" w:hAnsi="Verdana"/>
                <w:sz w:val="22"/>
                <w:szCs w:val="22"/>
              </w:rPr>
              <w:t>12</w:t>
            </w:r>
          </w:p>
        </w:tc>
        <w:tc>
          <w:tcPr>
            <w:tcW w:w="700" w:type="pct"/>
            <w:hideMark/>
          </w:tcPr>
          <w:p w14:paraId="1F55C0A5" w14:textId="77777777" w:rsidR="00BA3FA3" w:rsidRPr="00257FBF" w:rsidRDefault="00BA3FA3" w:rsidP="00257FBF">
            <w:pPr>
              <w:rPr>
                <w:rFonts w:ascii="Verdana" w:hAnsi="Verdana"/>
                <w:sz w:val="22"/>
                <w:szCs w:val="22"/>
              </w:rPr>
            </w:pPr>
            <w:r w:rsidRPr="00257FBF">
              <w:rPr>
                <w:rFonts w:ascii="Verdana" w:hAnsi="Verdana"/>
                <w:sz w:val="22"/>
                <w:szCs w:val="22"/>
              </w:rPr>
              <w:t>4</w:t>
            </w:r>
          </w:p>
        </w:tc>
        <w:tc>
          <w:tcPr>
            <w:tcW w:w="1200" w:type="pct"/>
            <w:hideMark/>
          </w:tcPr>
          <w:p w14:paraId="37CC3F67" w14:textId="77777777" w:rsidR="00BA3FA3" w:rsidRPr="00D80B4F" w:rsidRDefault="00BA3FA3" w:rsidP="00D80B4F">
            <w:pPr>
              <w:rPr>
                <w:rFonts w:ascii="Verdana" w:hAnsi="Verdana"/>
                <w:sz w:val="22"/>
                <w:szCs w:val="22"/>
              </w:rPr>
            </w:pPr>
            <w:r w:rsidRPr="00D80B4F">
              <w:rPr>
                <w:rFonts w:ascii="Verdana" w:hAnsi="Verdana"/>
                <w:sz w:val="22"/>
                <w:szCs w:val="22"/>
              </w:rPr>
              <w:t>1.315.939</w:t>
            </w:r>
          </w:p>
        </w:tc>
      </w:tr>
      <w:tr w:rsidR="00D80B4F" w:rsidRPr="00BA3FA3" w14:paraId="152F537E" w14:textId="77777777" w:rsidTr="00BA3FA3">
        <w:tc>
          <w:tcPr>
            <w:tcW w:w="2150" w:type="pct"/>
            <w:hideMark/>
          </w:tcPr>
          <w:p w14:paraId="3E847AA5" w14:textId="77777777" w:rsidR="00BA3FA3" w:rsidRPr="00257FBF" w:rsidRDefault="00BA3FA3" w:rsidP="00257FBF">
            <w:pPr>
              <w:rPr>
                <w:rFonts w:ascii="Verdana" w:hAnsi="Verdana"/>
                <w:sz w:val="22"/>
                <w:szCs w:val="22"/>
              </w:rPr>
            </w:pPr>
            <w:r w:rsidRPr="00257FBF">
              <w:rPr>
                <w:rFonts w:ascii="Verdana" w:hAnsi="Verdana"/>
                <w:sz w:val="22"/>
                <w:szCs w:val="22"/>
              </w:rPr>
              <w:t>TÉCNICO ADMINISTRATIVO</w:t>
            </w:r>
          </w:p>
        </w:tc>
        <w:tc>
          <w:tcPr>
            <w:tcW w:w="450" w:type="pct"/>
            <w:hideMark/>
          </w:tcPr>
          <w:p w14:paraId="7B61E75A" w14:textId="77777777" w:rsidR="00BA3FA3" w:rsidRPr="00257FBF" w:rsidRDefault="00BA3FA3" w:rsidP="00257FBF">
            <w:pPr>
              <w:rPr>
                <w:rFonts w:ascii="Verdana" w:hAnsi="Verdana"/>
                <w:sz w:val="22"/>
                <w:szCs w:val="22"/>
              </w:rPr>
            </w:pPr>
            <w:r w:rsidRPr="00257FBF">
              <w:rPr>
                <w:rFonts w:ascii="Verdana" w:hAnsi="Verdana"/>
                <w:sz w:val="22"/>
                <w:szCs w:val="22"/>
              </w:rPr>
              <w:t>3124</w:t>
            </w:r>
          </w:p>
        </w:tc>
        <w:tc>
          <w:tcPr>
            <w:tcW w:w="550" w:type="pct"/>
            <w:hideMark/>
          </w:tcPr>
          <w:p w14:paraId="75F5589C" w14:textId="77777777" w:rsidR="00BA3FA3" w:rsidRPr="00257FBF" w:rsidRDefault="00BA3FA3" w:rsidP="00257FBF">
            <w:pPr>
              <w:rPr>
                <w:rFonts w:ascii="Verdana" w:hAnsi="Verdana"/>
                <w:sz w:val="22"/>
                <w:szCs w:val="22"/>
              </w:rPr>
            </w:pPr>
            <w:r w:rsidRPr="00257FBF">
              <w:rPr>
                <w:rFonts w:ascii="Verdana" w:hAnsi="Verdana"/>
                <w:sz w:val="22"/>
                <w:szCs w:val="22"/>
              </w:rPr>
              <w:t>6</w:t>
            </w:r>
          </w:p>
        </w:tc>
        <w:tc>
          <w:tcPr>
            <w:tcW w:w="700" w:type="pct"/>
            <w:hideMark/>
          </w:tcPr>
          <w:p w14:paraId="60554EAF" w14:textId="77777777" w:rsidR="00BA3FA3" w:rsidRPr="00257FBF" w:rsidRDefault="00BA3FA3" w:rsidP="00257FBF">
            <w:pPr>
              <w:rPr>
                <w:rFonts w:ascii="Verdana" w:hAnsi="Verdana"/>
                <w:sz w:val="22"/>
                <w:szCs w:val="22"/>
              </w:rPr>
            </w:pPr>
            <w:r w:rsidRPr="00257FBF">
              <w:rPr>
                <w:rFonts w:ascii="Verdana" w:hAnsi="Verdana"/>
                <w:sz w:val="22"/>
                <w:szCs w:val="22"/>
              </w:rPr>
              <w:t>44</w:t>
            </w:r>
          </w:p>
        </w:tc>
        <w:tc>
          <w:tcPr>
            <w:tcW w:w="1200" w:type="pct"/>
            <w:hideMark/>
          </w:tcPr>
          <w:p w14:paraId="43B86CB6" w14:textId="77777777" w:rsidR="00BA3FA3" w:rsidRPr="00257FBF" w:rsidRDefault="00BA3FA3" w:rsidP="00D80B4F">
            <w:pPr>
              <w:rPr>
                <w:rFonts w:ascii="Verdana" w:hAnsi="Verdana"/>
                <w:sz w:val="22"/>
                <w:szCs w:val="22"/>
              </w:rPr>
            </w:pPr>
            <w:r w:rsidRPr="00257FBF">
              <w:rPr>
                <w:rFonts w:ascii="Verdana" w:hAnsi="Verdana"/>
                <w:sz w:val="22"/>
                <w:szCs w:val="22"/>
              </w:rPr>
              <w:t>935.516</w:t>
            </w:r>
          </w:p>
        </w:tc>
      </w:tr>
      <w:tr w:rsidR="00D80B4F" w:rsidRPr="00BA3FA3" w14:paraId="664A41CA" w14:textId="77777777" w:rsidTr="00BA3FA3">
        <w:tc>
          <w:tcPr>
            <w:tcW w:w="2150" w:type="pct"/>
            <w:hideMark/>
          </w:tcPr>
          <w:p w14:paraId="53A2C64A" w14:textId="77777777" w:rsidR="00BA3FA3" w:rsidRPr="00257FBF" w:rsidRDefault="00BA3FA3" w:rsidP="00257FBF">
            <w:pPr>
              <w:rPr>
                <w:rFonts w:ascii="Verdana" w:hAnsi="Verdana"/>
                <w:sz w:val="22"/>
                <w:szCs w:val="22"/>
              </w:rPr>
            </w:pPr>
            <w:r w:rsidRPr="00257FBF">
              <w:rPr>
                <w:rFonts w:ascii="Verdana" w:hAnsi="Verdana"/>
                <w:sz w:val="22"/>
                <w:szCs w:val="22"/>
              </w:rPr>
              <w:t>AUXILIAR ADMINISTRATIVO</w:t>
            </w:r>
          </w:p>
        </w:tc>
        <w:tc>
          <w:tcPr>
            <w:tcW w:w="450" w:type="pct"/>
            <w:hideMark/>
          </w:tcPr>
          <w:p w14:paraId="269DE398" w14:textId="77777777" w:rsidR="00BA3FA3" w:rsidRPr="00257FBF" w:rsidRDefault="00BA3FA3" w:rsidP="00257FBF">
            <w:pPr>
              <w:rPr>
                <w:rFonts w:ascii="Verdana" w:hAnsi="Verdana"/>
                <w:sz w:val="22"/>
                <w:szCs w:val="22"/>
              </w:rPr>
            </w:pPr>
            <w:r w:rsidRPr="00257FBF">
              <w:rPr>
                <w:rFonts w:ascii="Verdana" w:hAnsi="Verdana"/>
                <w:sz w:val="22"/>
                <w:szCs w:val="22"/>
              </w:rPr>
              <w:t>4044</w:t>
            </w:r>
          </w:p>
        </w:tc>
        <w:tc>
          <w:tcPr>
            <w:tcW w:w="550" w:type="pct"/>
            <w:hideMark/>
          </w:tcPr>
          <w:p w14:paraId="1231087A" w14:textId="77777777" w:rsidR="00BA3FA3" w:rsidRPr="00257FBF" w:rsidRDefault="00BA3FA3" w:rsidP="00257FBF">
            <w:pPr>
              <w:rPr>
                <w:rFonts w:ascii="Verdana" w:hAnsi="Verdana"/>
                <w:sz w:val="22"/>
                <w:szCs w:val="22"/>
              </w:rPr>
            </w:pPr>
            <w:r w:rsidRPr="00257FBF">
              <w:rPr>
                <w:rFonts w:ascii="Verdana" w:hAnsi="Verdana"/>
                <w:sz w:val="22"/>
                <w:szCs w:val="22"/>
              </w:rPr>
              <w:t>10</w:t>
            </w:r>
          </w:p>
        </w:tc>
        <w:tc>
          <w:tcPr>
            <w:tcW w:w="700" w:type="pct"/>
            <w:hideMark/>
          </w:tcPr>
          <w:p w14:paraId="7E1EE404" w14:textId="77777777" w:rsidR="00BA3FA3" w:rsidRPr="00257FBF" w:rsidRDefault="00BA3FA3" w:rsidP="00257FBF">
            <w:pPr>
              <w:rPr>
                <w:rFonts w:ascii="Verdana" w:hAnsi="Verdana"/>
                <w:sz w:val="22"/>
                <w:szCs w:val="22"/>
              </w:rPr>
            </w:pPr>
            <w:r w:rsidRPr="00257FBF">
              <w:rPr>
                <w:rFonts w:ascii="Verdana" w:hAnsi="Verdana"/>
                <w:sz w:val="22"/>
                <w:szCs w:val="22"/>
              </w:rPr>
              <w:t>11</w:t>
            </w:r>
          </w:p>
        </w:tc>
        <w:tc>
          <w:tcPr>
            <w:tcW w:w="1200" w:type="pct"/>
            <w:hideMark/>
          </w:tcPr>
          <w:p w14:paraId="021E7A66" w14:textId="77777777" w:rsidR="00BA3FA3" w:rsidRPr="00D80B4F" w:rsidRDefault="00BA3FA3" w:rsidP="00D80B4F">
            <w:pPr>
              <w:rPr>
                <w:rFonts w:ascii="Verdana" w:hAnsi="Verdana"/>
                <w:sz w:val="22"/>
                <w:szCs w:val="22"/>
              </w:rPr>
            </w:pPr>
            <w:r w:rsidRPr="00D80B4F">
              <w:rPr>
                <w:rFonts w:ascii="Verdana" w:hAnsi="Verdana"/>
                <w:sz w:val="22"/>
                <w:szCs w:val="22"/>
              </w:rPr>
              <w:t>854.322</w:t>
            </w:r>
          </w:p>
        </w:tc>
      </w:tr>
      <w:tr w:rsidR="00D80B4F" w:rsidRPr="00BA3FA3" w14:paraId="6CA5DF8C" w14:textId="77777777" w:rsidTr="00BA3FA3">
        <w:tc>
          <w:tcPr>
            <w:tcW w:w="2150" w:type="pct"/>
            <w:hideMark/>
          </w:tcPr>
          <w:p w14:paraId="49CADF11" w14:textId="77777777" w:rsidR="00BA3FA3" w:rsidRPr="00257FBF" w:rsidRDefault="00BA3FA3" w:rsidP="00257FBF">
            <w:pPr>
              <w:rPr>
                <w:rFonts w:ascii="Verdana" w:hAnsi="Verdana"/>
                <w:sz w:val="22"/>
                <w:szCs w:val="22"/>
              </w:rPr>
            </w:pPr>
            <w:r w:rsidRPr="00257FBF">
              <w:rPr>
                <w:rFonts w:ascii="Verdana" w:hAnsi="Verdana"/>
                <w:sz w:val="22"/>
                <w:szCs w:val="22"/>
              </w:rPr>
              <w:t>AUXILIAR ADMINISTRATIVO</w:t>
            </w:r>
          </w:p>
        </w:tc>
        <w:tc>
          <w:tcPr>
            <w:tcW w:w="450" w:type="pct"/>
            <w:hideMark/>
          </w:tcPr>
          <w:p w14:paraId="06DC6340" w14:textId="77777777" w:rsidR="00BA3FA3" w:rsidRPr="00257FBF" w:rsidRDefault="00BA3FA3" w:rsidP="00257FBF">
            <w:pPr>
              <w:rPr>
                <w:rFonts w:ascii="Verdana" w:hAnsi="Verdana"/>
                <w:sz w:val="22"/>
                <w:szCs w:val="22"/>
              </w:rPr>
            </w:pPr>
            <w:r w:rsidRPr="00257FBF">
              <w:rPr>
                <w:rFonts w:ascii="Verdana" w:hAnsi="Verdana"/>
                <w:sz w:val="22"/>
                <w:szCs w:val="22"/>
              </w:rPr>
              <w:t>4044</w:t>
            </w:r>
          </w:p>
        </w:tc>
        <w:tc>
          <w:tcPr>
            <w:tcW w:w="550" w:type="pct"/>
            <w:hideMark/>
          </w:tcPr>
          <w:p w14:paraId="4FD83A15" w14:textId="77777777" w:rsidR="00BA3FA3" w:rsidRPr="00257FBF" w:rsidRDefault="00BA3FA3" w:rsidP="00257FBF">
            <w:pPr>
              <w:rPr>
                <w:rFonts w:ascii="Verdana" w:hAnsi="Verdana"/>
                <w:sz w:val="22"/>
                <w:szCs w:val="22"/>
              </w:rPr>
            </w:pPr>
            <w:r w:rsidRPr="00257FBF">
              <w:rPr>
                <w:rFonts w:ascii="Verdana" w:hAnsi="Verdana"/>
                <w:sz w:val="22"/>
                <w:szCs w:val="22"/>
              </w:rPr>
              <w:t>6</w:t>
            </w:r>
          </w:p>
        </w:tc>
        <w:tc>
          <w:tcPr>
            <w:tcW w:w="700" w:type="pct"/>
            <w:hideMark/>
          </w:tcPr>
          <w:p w14:paraId="35391B6F" w14:textId="77777777" w:rsidR="00BA3FA3" w:rsidRPr="00257FBF" w:rsidRDefault="00BA3FA3" w:rsidP="00257FBF">
            <w:pPr>
              <w:rPr>
                <w:rFonts w:ascii="Verdana" w:hAnsi="Verdana"/>
                <w:sz w:val="22"/>
                <w:szCs w:val="22"/>
              </w:rPr>
            </w:pPr>
            <w:r w:rsidRPr="00257FBF">
              <w:rPr>
                <w:rFonts w:ascii="Verdana" w:hAnsi="Verdana"/>
                <w:sz w:val="22"/>
                <w:szCs w:val="22"/>
              </w:rPr>
              <w:t>48</w:t>
            </w:r>
          </w:p>
        </w:tc>
        <w:tc>
          <w:tcPr>
            <w:tcW w:w="1200" w:type="pct"/>
            <w:hideMark/>
          </w:tcPr>
          <w:p w14:paraId="6ADE4910" w14:textId="77777777" w:rsidR="00BA3FA3" w:rsidRPr="00D80B4F" w:rsidRDefault="00BA3FA3" w:rsidP="00D80B4F">
            <w:pPr>
              <w:rPr>
                <w:rFonts w:ascii="Verdana" w:hAnsi="Verdana"/>
                <w:sz w:val="22"/>
                <w:szCs w:val="22"/>
              </w:rPr>
            </w:pPr>
            <w:r w:rsidRPr="00D80B4F">
              <w:rPr>
                <w:rFonts w:ascii="Verdana" w:hAnsi="Verdana"/>
                <w:sz w:val="22"/>
                <w:szCs w:val="22"/>
              </w:rPr>
              <w:t>630.060</w:t>
            </w:r>
          </w:p>
        </w:tc>
      </w:tr>
      <w:tr w:rsidR="00BA3FA3" w:rsidRPr="00BA3FA3" w14:paraId="56961BCD" w14:textId="77777777" w:rsidTr="00BA3FA3">
        <w:tc>
          <w:tcPr>
            <w:tcW w:w="2150" w:type="pct"/>
            <w:hideMark/>
          </w:tcPr>
          <w:p w14:paraId="327DFE10" w14:textId="77777777" w:rsidR="00BA3FA3" w:rsidRPr="00257FBF" w:rsidRDefault="00BA3FA3" w:rsidP="00257FBF">
            <w:pPr>
              <w:rPr>
                <w:rFonts w:ascii="Verdana" w:hAnsi="Verdana"/>
                <w:sz w:val="22"/>
                <w:szCs w:val="22"/>
              </w:rPr>
            </w:pPr>
            <w:proofErr w:type="gramStart"/>
            <w:r w:rsidRPr="00257FBF">
              <w:rPr>
                <w:rFonts w:ascii="Verdana" w:hAnsi="Verdana"/>
                <w:sz w:val="22"/>
                <w:szCs w:val="22"/>
              </w:rPr>
              <w:t>TOTAL</w:t>
            </w:r>
            <w:proofErr w:type="gramEnd"/>
            <w:r w:rsidRPr="00257FBF">
              <w:rPr>
                <w:rFonts w:ascii="Verdana" w:hAnsi="Verdana"/>
                <w:sz w:val="22"/>
                <w:szCs w:val="22"/>
              </w:rPr>
              <w:t xml:space="preserve"> CARGOS EQUIVALENTES</w:t>
            </w:r>
          </w:p>
        </w:tc>
        <w:tc>
          <w:tcPr>
            <w:tcW w:w="950" w:type="pct"/>
            <w:gridSpan w:val="2"/>
            <w:hideMark/>
          </w:tcPr>
          <w:p w14:paraId="26887D90" w14:textId="04F345B8" w:rsidR="00BA3FA3" w:rsidRPr="00BA3FA3" w:rsidRDefault="00BA3FA3" w:rsidP="00BA3FA3">
            <w:pPr>
              <w:pStyle w:val="Prrafodelista"/>
              <w:rPr>
                <w:rFonts w:ascii="Verdana" w:hAnsi="Verdana"/>
                <w:sz w:val="22"/>
                <w:szCs w:val="22"/>
              </w:rPr>
            </w:pPr>
          </w:p>
        </w:tc>
        <w:tc>
          <w:tcPr>
            <w:tcW w:w="1900" w:type="pct"/>
            <w:gridSpan w:val="2"/>
            <w:hideMark/>
          </w:tcPr>
          <w:p w14:paraId="5D45B74E" w14:textId="77777777" w:rsidR="00BA3FA3" w:rsidRPr="00D80B4F" w:rsidRDefault="00BA3FA3" w:rsidP="00D80B4F">
            <w:pPr>
              <w:rPr>
                <w:rFonts w:ascii="Verdana" w:hAnsi="Verdana"/>
                <w:sz w:val="22"/>
                <w:szCs w:val="22"/>
              </w:rPr>
            </w:pPr>
            <w:r w:rsidRPr="00D80B4F">
              <w:rPr>
                <w:rFonts w:ascii="Verdana" w:hAnsi="Verdana"/>
                <w:sz w:val="22"/>
                <w:szCs w:val="22"/>
              </w:rPr>
              <w:t>319</w:t>
            </w:r>
          </w:p>
        </w:tc>
      </w:tr>
    </w:tbl>
    <w:p w14:paraId="0E93EE3D" w14:textId="77777777" w:rsidR="002A74E7" w:rsidRPr="002A74E7" w:rsidRDefault="002A74E7" w:rsidP="00BA3FA3">
      <w:pPr>
        <w:rPr>
          <w:rFonts w:ascii="Verdana" w:hAnsi="Verdana"/>
          <w:sz w:val="22"/>
          <w:szCs w:val="22"/>
        </w:rPr>
      </w:pPr>
    </w:p>
    <w:p w14:paraId="29C87120" w14:textId="45E3F510" w:rsidR="002A74E7" w:rsidRPr="00BA3FA3" w:rsidRDefault="002A74E7" w:rsidP="00BA3FA3">
      <w:pPr>
        <w:pStyle w:val="Prrafodelista"/>
        <w:numPr>
          <w:ilvl w:val="0"/>
          <w:numId w:val="1"/>
        </w:numPr>
        <w:jc w:val="both"/>
        <w:rPr>
          <w:rFonts w:ascii="Verdana" w:hAnsi="Verdana"/>
          <w:sz w:val="22"/>
          <w:szCs w:val="22"/>
        </w:rPr>
      </w:pPr>
      <w:r w:rsidRPr="00BA3FA3">
        <w:rPr>
          <w:rFonts w:ascii="Verdana" w:hAnsi="Verdana"/>
          <w:sz w:val="22"/>
          <w:szCs w:val="22"/>
        </w:rPr>
        <w:t>Que la Dirección Financiera solicita sea prorrogada por el término de tres (3) meses la delimitación de la planta transitoria de personal supernumerarios por el subproyecto asistencia técnica para la promoción del recaudo de que trata la Resolución No. 3721 del 20 de diciembre de 2007, exponiendo los argumentos que se mencionan en los siguientes considerandos.</w:t>
      </w:r>
    </w:p>
    <w:p w14:paraId="22782E98" w14:textId="7F540A89" w:rsidR="002A74E7" w:rsidRPr="00BA3FA3" w:rsidRDefault="002A74E7" w:rsidP="00BA3FA3">
      <w:pPr>
        <w:pStyle w:val="Prrafodelista"/>
        <w:jc w:val="both"/>
        <w:rPr>
          <w:rFonts w:ascii="Verdana" w:hAnsi="Verdana"/>
          <w:sz w:val="22"/>
          <w:szCs w:val="22"/>
        </w:rPr>
      </w:pPr>
      <w:r w:rsidRPr="00BA3FA3">
        <w:rPr>
          <w:rFonts w:ascii="Verdana" w:hAnsi="Verdana"/>
          <w:sz w:val="22"/>
          <w:szCs w:val="22"/>
        </w:rPr>
        <w:t>“….</w:t>
      </w:r>
    </w:p>
    <w:p w14:paraId="58C93F34" w14:textId="1564E29B" w:rsidR="002A74E7" w:rsidRPr="00BA3FA3" w:rsidRDefault="002A74E7" w:rsidP="00BA3FA3">
      <w:pPr>
        <w:pStyle w:val="Prrafodelista"/>
        <w:numPr>
          <w:ilvl w:val="0"/>
          <w:numId w:val="2"/>
        </w:numPr>
        <w:jc w:val="both"/>
        <w:rPr>
          <w:rFonts w:ascii="Verdana" w:hAnsi="Verdana"/>
          <w:sz w:val="22"/>
          <w:szCs w:val="22"/>
        </w:rPr>
      </w:pPr>
      <w:r w:rsidRPr="00BA3FA3">
        <w:rPr>
          <w:rFonts w:ascii="Verdana" w:hAnsi="Verdana"/>
          <w:sz w:val="22"/>
          <w:szCs w:val="22"/>
        </w:rPr>
        <w:t>La Unidad de Gestión Pensional y Parafiscal ha dado respuesta parcial, en relación con aspectos no reglamentados de la Ley 1607 de 2012, necesarios para implementar el nuevo modelo operativo del área de recaudo, sin embargo expidió la resolución 444 de 2013, “...Por la cual se establecen los estándares de cobro que deben implementar las Administradoras del Sistema de la Protección Social..." y con ella la imposición de nuevos requerimientos de información como son entre otros la ubicación del domicilio de todos los aportantes, el reporte consolidado y desagregado de la cartera presunta, el aviso de incumplimiento en el pago corriente, la documentación formalización y socialización de los criterios definidos para las acciones de recuperación de cartera, la modificación de lineamientos entre otros, lo cual demanda realizar actividades operativas a nivel nacional.</w:t>
      </w:r>
    </w:p>
    <w:p w14:paraId="4EF2C6AC" w14:textId="2DBA2F18" w:rsidR="002A74E7" w:rsidRPr="00BA3FA3" w:rsidRDefault="002A74E7" w:rsidP="00BA3FA3">
      <w:pPr>
        <w:pStyle w:val="Prrafodelista"/>
        <w:numPr>
          <w:ilvl w:val="0"/>
          <w:numId w:val="2"/>
        </w:numPr>
        <w:jc w:val="both"/>
        <w:rPr>
          <w:rFonts w:ascii="Verdana" w:hAnsi="Verdana"/>
          <w:sz w:val="22"/>
          <w:szCs w:val="22"/>
        </w:rPr>
      </w:pPr>
      <w:r w:rsidRPr="00BA3FA3">
        <w:rPr>
          <w:rFonts w:ascii="Verdana" w:hAnsi="Verdana"/>
          <w:sz w:val="22"/>
          <w:szCs w:val="22"/>
        </w:rPr>
        <w:t>En concordancia con lo anterior la Unidad de Gestión Pensional y Parafiscal y de acuerdo al estudio que viene adelantado la Subdirección de Mejoramiento Organizacional, en relación con las cargas de trabajo y el personal requerido, evidenció en su informe preliminar, que aún no es posible concluir el mismo, dado que actualmente la Unidad de Gestión Pensional y Parafiscal, continua realizando nuevos requerimientos de información y consolidando mediante guías, los procedimientos que deben realizar las Administradoras del Sistema de Seguridad Social, razón por la cual se recomendó por parte de la Subdirección de Mejoramiento Organizacional, continuar con la planta de personal que actualmente ejerce sus funciones, en las áreas de Recaudo y de Jurisdicción Coactiva de cada una de las 33 direcciones regionales del ICBF y los Grupos de la Dirección Financiera de la Dirección General, que intervienen de manera transversal en el proceso, (ver anexo 1)</w:t>
      </w:r>
    </w:p>
    <w:p w14:paraId="2570A60D" w14:textId="6C02ACD3" w:rsidR="002A74E7" w:rsidRPr="00BA3FA3" w:rsidRDefault="002A74E7" w:rsidP="00BA3FA3">
      <w:pPr>
        <w:pStyle w:val="Prrafodelista"/>
        <w:numPr>
          <w:ilvl w:val="0"/>
          <w:numId w:val="2"/>
        </w:numPr>
        <w:jc w:val="both"/>
        <w:rPr>
          <w:rFonts w:ascii="Verdana" w:hAnsi="Verdana"/>
          <w:sz w:val="22"/>
          <w:szCs w:val="22"/>
        </w:rPr>
      </w:pPr>
      <w:r w:rsidRPr="00BA3FA3">
        <w:rPr>
          <w:rFonts w:ascii="Verdana" w:hAnsi="Verdana"/>
          <w:sz w:val="22"/>
          <w:szCs w:val="22"/>
        </w:rPr>
        <w:t xml:space="preserve">En este mismo sentido, una vez realizada las consultas necesarias a la Oficina de Asesoría Jurídica y la Dirección de Gestión Humana, se </w:t>
      </w:r>
      <w:r w:rsidRPr="00BA3FA3">
        <w:rPr>
          <w:rFonts w:ascii="Verdana" w:hAnsi="Verdana"/>
          <w:sz w:val="22"/>
          <w:szCs w:val="22"/>
        </w:rPr>
        <w:lastRenderedPageBreak/>
        <w:t>determinó de manera expresa, que la modalidad de vinculación de los trabajadores que realizan e intervienen de manera transversal en el proceso de recaudo, fiscalización, cobro de la cartera y cobro administrativo coactivo, corresponden a la modalidad de Supernumerarios, (ver anexo 2).</w:t>
      </w:r>
    </w:p>
    <w:p w14:paraId="0AAB64EC" w14:textId="68E9F51C" w:rsidR="002A74E7" w:rsidRPr="00BA3FA3" w:rsidRDefault="002A74E7" w:rsidP="00BA3FA3">
      <w:pPr>
        <w:pStyle w:val="Prrafodelista"/>
        <w:numPr>
          <w:ilvl w:val="0"/>
          <w:numId w:val="2"/>
        </w:numPr>
        <w:jc w:val="both"/>
        <w:rPr>
          <w:rFonts w:ascii="Verdana" w:hAnsi="Verdana"/>
          <w:sz w:val="22"/>
          <w:szCs w:val="22"/>
        </w:rPr>
      </w:pPr>
      <w:r w:rsidRPr="00BA3FA3">
        <w:rPr>
          <w:rFonts w:ascii="Verdana" w:hAnsi="Verdana"/>
          <w:sz w:val="22"/>
          <w:szCs w:val="22"/>
        </w:rPr>
        <w:t xml:space="preserve">Conforme al lineamiento impartido por el Comité de Seguimiento al Proceso de Fiscalización y seguimiento a la Cartera celebrado el 8 de mayo de 2013 y memorando interno expedido por la Dirección General, el día 21 de mayo de 2013, se dio la instrucción a las 33 Direcciones Regionales que manejan la operación de Recaudo, suspender la generación de nuevos requerimientos a los aportantes, dado que actualmente solo le corresponde por competencia los morosos a partir de la expedición de la Ley 1607 de 2012. No </w:t>
      </w:r>
      <w:proofErr w:type="gramStart"/>
      <w:r w:rsidRPr="00BA3FA3">
        <w:rPr>
          <w:rFonts w:ascii="Verdana" w:hAnsi="Verdana"/>
          <w:sz w:val="22"/>
          <w:szCs w:val="22"/>
        </w:rPr>
        <w:t>obstante</w:t>
      </w:r>
      <w:proofErr w:type="gramEnd"/>
      <w:r w:rsidRPr="00BA3FA3">
        <w:rPr>
          <w:rFonts w:ascii="Verdana" w:hAnsi="Verdana"/>
          <w:sz w:val="22"/>
          <w:szCs w:val="22"/>
        </w:rPr>
        <w:t xml:space="preserve"> lo anterior una vez verificado a fecha 30 de agosto de 2013, el inventario de dichos procesos y los que aun por razones de competencia corresponden al ICBF, se hace necesario contar con la misma planta de personal para atender las obligaciones actuales.</w:t>
      </w:r>
    </w:p>
    <w:p w14:paraId="2D4C5656" w14:textId="77777777" w:rsidR="00BA3FA3" w:rsidRDefault="002A74E7" w:rsidP="00BA3FA3">
      <w:pPr>
        <w:pStyle w:val="Prrafodelista"/>
        <w:numPr>
          <w:ilvl w:val="0"/>
          <w:numId w:val="2"/>
        </w:numPr>
        <w:jc w:val="both"/>
        <w:rPr>
          <w:rFonts w:ascii="Verdana" w:hAnsi="Verdana"/>
          <w:sz w:val="22"/>
          <w:szCs w:val="22"/>
        </w:rPr>
      </w:pPr>
      <w:r w:rsidRPr="00BA3FA3">
        <w:rPr>
          <w:rFonts w:ascii="Verdana" w:hAnsi="Verdana"/>
          <w:sz w:val="22"/>
          <w:szCs w:val="22"/>
        </w:rPr>
        <w:t>Actualmente, pese a las nuevas competencias establecidas en la Ley 1607 de 2012 y el Decreto 862 de 2013, el ICBF atiende y tramita mediante procesos de Fiscalización requerimientos enviados por la Unidad de Gestión Pensional y Parafiscal, relacionados con los empleadores, que han incumplido los requisitos legales previstos en la Ley 1429 y 1430 de 2010, acciones persuasivas que fueron transmitidas previa la expedición de la Reforma Tributaria, devoluciones de mayor valor y expedición de Paz y Salvos.</w:t>
      </w:r>
    </w:p>
    <w:p w14:paraId="0DB589D3" w14:textId="1D67AC5E" w:rsidR="002A74E7" w:rsidRPr="00BA3FA3" w:rsidRDefault="002A74E7" w:rsidP="00BA3FA3">
      <w:pPr>
        <w:pStyle w:val="Prrafodelista"/>
        <w:jc w:val="both"/>
        <w:rPr>
          <w:rFonts w:ascii="Verdana" w:hAnsi="Verdana"/>
          <w:sz w:val="22"/>
          <w:szCs w:val="22"/>
        </w:rPr>
      </w:pPr>
      <w:r w:rsidRPr="00BA3FA3">
        <w:rPr>
          <w:rFonts w:ascii="Verdana" w:hAnsi="Verdana"/>
          <w:sz w:val="22"/>
          <w:szCs w:val="22"/>
        </w:rPr>
        <w:t>Así mismo, se debe realizar el cierre de operación, frente a los procesos de fiscalización que aún se encuentran en discusión en Sede Administrativa, o que a la fecha no han realizado el correspondiente pago o normalización de los aportes ante el ICBF.</w:t>
      </w:r>
    </w:p>
    <w:p w14:paraId="0E757C22" w14:textId="14EE04CC" w:rsidR="002A74E7" w:rsidRPr="00BA3FA3" w:rsidRDefault="002A74E7" w:rsidP="00BA3FA3">
      <w:pPr>
        <w:pStyle w:val="Prrafodelista"/>
        <w:jc w:val="both"/>
        <w:rPr>
          <w:rFonts w:ascii="Verdana" w:hAnsi="Verdana"/>
          <w:sz w:val="22"/>
          <w:szCs w:val="22"/>
        </w:rPr>
      </w:pPr>
      <w:r w:rsidRPr="00BA3FA3">
        <w:rPr>
          <w:rFonts w:ascii="Verdana" w:hAnsi="Verdana"/>
          <w:sz w:val="22"/>
          <w:szCs w:val="22"/>
        </w:rPr>
        <w:t>Se debe continuar con el proceso de recaudo, registro ejecución y control del parafiscal y el impuesto CREE, al igual que con las actividades de consolidación y reporte de la operación a las distintas entidades que por imperio de la Ley ejercen supervisión y actividades de control sobre los procesos de Recaudo y manejo de la Cartera.</w:t>
      </w:r>
    </w:p>
    <w:p w14:paraId="3044C98B" w14:textId="4BF9509B" w:rsidR="002A74E7" w:rsidRPr="00BA3FA3" w:rsidRDefault="002A74E7" w:rsidP="00BA3FA3">
      <w:pPr>
        <w:pStyle w:val="Prrafodelista"/>
        <w:numPr>
          <w:ilvl w:val="0"/>
          <w:numId w:val="2"/>
        </w:numPr>
        <w:jc w:val="both"/>
        <w:rPr>
          <w:rFonts w:ascii="Verdana" w:hAnsi="Verdana"/>
          <w:sz w:val="22"/>
          <w:szCs w:val="22"/>
        </w:rPr>
      </w:pPr>
      <w:r w:rsidRPr="00BA3FA3">
        <w:rPr>
          <w:rFonts w:ascii="Verdana" w:hAnsi="Verdana"/>
          <w:sz w:val="22"/>
          <w:szCs w:val="22"/>
        </w:rPr>
        <w:t>Actualmente no se cuenta con planta específica, para el proceso de recaudo, fiscalización y cobro de la cartera, en cada uno de los Grupos de Recaudo y Cobro Administrativo Coactivo que integran el ICBF para realizar las actividades previstas y exigidas por la Ley.</w:t>
      </w:r>
    </w:p>
    <w:p w14:paraId="1715CF85" w14:textId="76D304EF" w:rsidR="002A74E7" w:rsidRPr="00BA3FA3" w:rsidRDefault="002A74E7" w:rsidP="00BA3FA3">
      <w:pPr>
        <w:pStyle w:val="Prrafodelista"/>
        <w:numPr>
          <w:ilvl w:val="0"/>
          <w:numId w:val="2"/>
        </w:numPr>
        <w:jc w:val="both"/>
        <w:rPr>
          <w:rFonts w:ascii="Verdana" w:hAnsi="Verdana"/>
          <w:sz w:val="22"/>
          <w:szCs w:val="22"/>
        </w:rPr>
      </w:pPr>
      <w:r w:rsidRPr="00BA3FA3">
        <w:rPr>
          <w:rFonts w:ascii="Verdana" w:hAnsi="Verdana"/>
          <w:sz w:val="22"/>
          <w:szCs w:val="22"/>
        </w:rPr>
        <w:t xml:space="preserve">Cada Dirección Regional, con base en la evaluación de las actividades que en este momento realizan, en concordancia con las obligaciones impuestas en la Reforma Tributaria, las que por competencia fueron ratificadas al ICBF, la continuidad de los procesos actuales, según lineamientos del Comité de Fiscalización (...) hasta tanto se redefina el </w:t>
      </w:r>
      <w:r w:rsidRPr="00BA3FA3">
        <w:rPr>
          <w:rFonts w:ascii="Verdana" w:hAnsi="Verdana"/>
          <w:sz w:val="22"/>
          <w:szCs w:val="22"/>
        </w:rPr>
        <w:lastRenderedPageBreak/>
        <w:t>volumen de la operación, las actividades de cierre y dado que no está concluido el estudio de cargas se procedió a evaluar el personal requerido y la justificación de cada cargo, los cuales hacen parte integral del presente documento.</w:t>
      </w:r>
    </w:p>
    <w:p w14:paraId="7800EB5F" w14:textId="79421F4A" w:rsidR="002A74E7" w:rsidRPr="00BA3FA3" w:rsidRDefault="002A74E7" w:rsidP="00BA3FA3">
      <w:pPr>
        <w:pStyle w:val="Prrafodelista"/>
        <w:numPr>
          <w:ilvl w:val="0"/>
          <w:numId w:val="2"/>
        </w:numPr>
        <w:jc w:val="both"/>
        <w:rPr>
          <w:rFonts w:ascii="Verdana" w:hAnsi="Verdana"/>
          <w:sz w:val="22"/>
          <w:szCs w:val="22"/>
        </w:rPr>
      </w:pPr>
      <w:r w:rsidRPr="00BA3FA3">
        <w:rPr>
          <w:rFonts w:ascii="Verdana" w:hAnsi="Verdana"/>
          <w:sz w:val="22"/>
          <w:szCs w:val="22"/>
        </w:rPr>
        <w:t>Mediante memorando recibido del Jefe de la Oficina Jurídica, con número radicado 12013- 010400-NAC de fecha 16 de agosto de 2013, se presenta justificación, del personal requerido para el ejercicio propio de las funciones de Recaudo y Cobro Administrativo consagradas en la Ley y en el mismo se concluye los siguiente: "...esta oficina considera que la vinculación del personal que se requiere para el proceso integral que hoy en día se encuentra a cargo del ICBF debe ceñirse a las políticas institucionales previstas para ello y las cuales han sido definidas conforme a la ley; lo que conlleva a que la vinculación continúe haciéndose a través de personal supernumerario dada la naturaleza de los aportes parafiscales..."</w:t>
      </w:r>
    </w:p>
    <w:p w14:paraId="3BAADBF4" w14:textId="2BE6E4BB" w:rsidR="002A74E7" w:rsidRPr="00BA3FA3" w:rsidRDefault="002A74E7" w:rsidP="00BA3FA3">
      <w:pPr>
        <w:pStyle w:val="Prrafodelista"/>
        <w:numPr>
          <w:ilvl w:val="0"/>
          <w:numId w:val="2"/>
        </w:numPr>
        <w:jc w:val="both"/>
        <w:rPr>
          <w:rFonts w:ascii="Verdana" w:hAnsi="Verdana"/>
          <w:sz w:val="22"/>
          <w:szCs w:val="22"/>
        </w:rPr>
      </w:pPr>
      <w:r w:rsidRPr="00BA3FA3">
        <w:rPr>
          <w:rFonts w:ascii="Verdana" w:hAnsi="Verdana"/>
          <w:sz w:val="22"/>
          <w:szCs w:val="22"/>
        </w:rPr>
        <w:t>Los requerimientos de información por parte de la Unidad de Gestión Pensional y Parafiscal, fueron informados y sustentados ante los miembros del Comité de Seguimiento a la Fiscalización Cobro y Administración de la Cartera, celebrado el pasado 16 de septiembre de 2013, quien con base en lo reportado y la recomendación de la Subdirección de Mejoramiento Organizacional, decidió prorrogar la vinculación de los servidores públicos vinculados como supernumerarios hasta el próximo 30 de diciembre de 2013 y que en el mes de noviembre se realice el estudio definitivo que permita establecer la cantidad de personal y niveles requeridos para la operación del ICBF."</w:t>
      </w:r>
    </w:p>
    <w:p w14:paraId="31EBE925" w14:textId="304EC8F3" w:rsidR="002A74E7" w:rsidRPr="00BA3FA3" w:rsidRDefault="002A74E7" w:rsidP="00BA3FA3">
      <w:pPr>
        <w:pStyle w:val="Prrafodelista"/>
        <w:numPr>
          <w:ilvl w:val="0"/>
          <w:numId w:val="1"/>
        </w:numPr>
        <w:jc w:val="both"/>
        <w:rPr>
          <w:rFonts w:ascii="Verdana" w:hAnsi="Verdana"/>
          <w:sz w:val="22"/>
          <w:szCs w:val="22"/>
        </w:rPr>
      </w:pPr>
      <w:r w:rsidRPr="00BA3FA3">
        <w:rPr>
          <w:rFonts w:ascii="Verdana" w:hAnsi="Verdana"/>
          <w:sz w:val="22"/>
          <w:szCs w:val="22"/>
        </w:rPr>
        <w:t>Que para el pago de sueldos, emolumentos laborales, prestaciones sociales y transferencias que se generen por la vinculación del personal supernumerario de que trata la presente Resolución, mediante Resolución 10061 del 31 de diciembre de 2012, por la que se distribuyó y asignó el presupuesto de ingresos y gastos del ICBF a las Direcciones Regionales y la Dirección General para la vigencia de 2013, se asignaron los recursos suficientes al subproyecto C310-300-2-0-104 “Gastos de Personal Supernumerario”</w:t>
      </w:r>
    </w:p>
    <w:p w14:paraId="5CB343FA" w14:textId="38378CDF" w:rsidR="002A74E7" w:rsidRPr="00BA3FA3" w:rsidRDefault="002A74E7" w:rsidP="00BA3FA3">
      <w:pPr>
        <w:pStyle w:val="Prrafodelista"/>
        <w:numPr>
          <w:ilvl w:val="0"/>
          <w:numId w:val="1"/>
        </w:numPr>
        <w:jc w:val="both"/>
        <w:rPr>
          <w:rFonts w:ascii="Verdana" w:hAnsi="Verdana"/>
          <w:sz w:val="22"/>
          <w:szCs w:val="22"/>
        </w:rPr>
      </w:pPr>
      <w:r w:rsidRPr="00BA3FA3">
        <w:rPr>
          <w:rFonts w:ascii="Verdana" w:hAnsi="Verdana"/>
          <w:sz w:val="22"/>
          <w:szCs w:val="22"/>
        </w:rPr>
        <w:t>En mérito de lo expuesto,</w:t>
      </w:r>
    </w:p>
    <w:p w14:paraId="16694331" w14:textId="7D92BD01" w:rsidR="002A74E7" w:rsidRPr="00AD3CA1" w:rsidRDefault="002A74E7" w:rsidP="00BA3FA3">
      <w:pPr>
        <w:jc w:val="center"/>
        <w:rPr>
          <w:rFonts w:ascii="Verdana" w:hAnsi="Verdana"/>
          <w:b/>
          <w:bCs/>
          <w:sz w:val="22"/>
          <w:szCs w:val="22"/>
        </w:rPr>
      </w:pPr>
      <w:r w:rsidRPr="00AD3CA1">
        <w:rPr>
          <w:rFonts w:ascii="Verdana" w:hAnsi="Verdana"/>
          <w:b/>
          <w:bCs/>
          <w:sz w:val="22"/>
          <w:szCs w:val="22"/>
        </w:rPr>
        <w:t>RESUELVE:</w:t>
      </w:r>
    </w:p>
    <w:p w14:paraId="5F437DA0" w14:textId="4D8506C7" w:rsidR="002A74E7" w:rsidRPr="002A74E7" w:rsidRDefault="002A74E7" w:rsidP="002A74E7">
      <w:pPr>
        <w:rPr>
          <w:rFonts w:ascii="Verdana" w:hAnsi="Verdana"/>
          <w:sz w:val="22"/>
          <w:szCs w:val="22"/>
        </w:rPr>
      </w:pPr>
      <w:r w:rsidRPr="00AD3CA1">
        <w:rPr>
          <w:rFonts w:ascii="Verdana" w:hAnsi="Verdana"/>
          <w:b/>
          <w:bCs/>
          <w:sz w:val="22"/>
          <w:szCs w:val="22"/>
        </w:rPr>
        <w:t xml:space="preserve">ARTÍCULO </w:t>
      </w:r>
      <w:r w:rsidR="00AD3CA1" w:rsidRPr="00AD3CA1">
        <w:rPr>
          <w:rFonts w:ascii="Verdana" w:hAnsi="Verdana"/>
          <w:b/>
          <w:bCs/>
          <w:sz w:val="22"/>
          <w:szCs w:val="22"/>
        </w:rPr>
        <w:t>1o</w:t>
      </w:r>
      <w:r w:rsidRPr="00AD3CA1">
        <w:rPr>
          <w:rFonts w:ascii="Verdana" w:hAnsi="Verdana"/>
          <w:b/>
          <w:bCs/>
          <w:sz w:val="22"/>
          <w:szCs w:val="22"/>
        </w:rPr>
        <w:t>.</w:t>
      </w:r>
      <w:r w:rsidRPr="002A74E7">
        <w:rPr>
          <w:rFonts w:ascii="Verdana" w:hAnsi="Verdana"/>
          <w:sz w:val="22"/>
          <w:szCs w:val="22"/>
        </w:rPr>
        <w:t xml:space="preserve"> Modificar y prorrogar hasta el treinta y uno (31) de diciembre de dos mil trece (2013), la planta transitoria de personal supernumerario por el subproyecto asistencia técnica para la promoción del recaudo de que trata la Resolución No. 3721 del 20 de diciembre de 2007, sus prórrogas y modificatorias, la cual de quedará conformada así:</w:t>
      </w:r>
    </w:p>
    <w:tbl>
      <w:tblPr>
        <w:tblStyle w:val="Tablaconcuadrcula"/>
        <w:tblW w:w="5000" w:type="pct"/>
        <w:tblLook w:val="04A0" w:firstRow="1" w:lastRow="0" w:firstColumn="1" w:lastColumn="0" w:noHBand="0" w:noVBand="1"/>
      </w:tblPr>
      <w:tblGrid>
        <w:gridCol w:w="3703"/>
        <w:gridCol w:w="878"/>
        <w:gridCol w:w="1033"/>
        <w:gridCol w:w="1168"/>
        <w:gridCol w:w="2046"/>
      </w:tblGrid>
      <w:tr w:rsidR="00AD3CA1" w:rsidRPr="00AD3CA1" w14:paraId="692D7167" w14:textId="77777777" w:rsidTr="00AD3CA1">
        <w:tc>
          <w:tcPr>
            <w:tcW w:w="2150" w:type="pct"/>
            <w:hideMark/>
          </w:tcPr>
          <w:p w14:paraId="12234F1D" w14:textId="77777777" w:rsidR="00AD3CA1" w:rsidRPr="00AD3CA1" w:rsidRDefault="00AD3CA1" w:rsidP="00AD3CA1">
            <w:pPr>
              <w:spacing w:after="160"/>
              <w:rPr>
                <w:rFonts w:ascii="Verdana" w:hAnsi="Verdana"/>
                <w:sz w:val="22"/>
                <w:szCs w:val="22"/>
              </w:rPr>
            </w:pPr>
            <w:r w:rsidRPr="00AD3CA1">
              <w:rPr>
                <w:rFonts w:ascii="Verdana" w:hAnsi="Verdana"/>
                <w:sz w:val="22"/>
                <w:szCs w:val="22"/>
              </w:rPr>
              <w:lastRenderedPageBreak/>
              <w:t>CARGOS EQUIVALENTES</w:t>
            </w:r>
          </w:p>
        </w:tc>
        <w:tc>
          <w:tcPr>
            <w:tcW w:w="550" w:type="pct"/>
            <w:hideMark/>
          </w:tcPr>
          <w:p w14:paraId="6F9EC527" w14:textId="77777777" w:rsidR="00AD3CA1" w:rsidRPr="00AD3CA1" w:rsidRDefault="00AD3CA1" w:rsidP="00AD3CA1">
            <w:pPr>
              <w:spacing w:after="160"/>
              <w:rPr>
                <w:rFonts w:ascii="Verdana" w:hAnsi="Verdana"/>
                <w:sz w:val="22"/>
                <w:szCs w:val="22"/>
              </w:rPr>
            </w:pPr>
            <w:r w:rsidRPr="00AD3CA1">
              <w:rPr>
                <w:rFonts w:ascii="Verdana" w:hAnsi="Verdana"/>
                <w:sz w:val="22"/>
                <w:szCs w:val="22"/>
              </w:rPr>
              <w:t>CÓD.</w:t>
            </w:r>
          </w:p>
        </w:tc>
        <w:tc>
          <w:tcPr>
            <w:tcW w:w="550" w:type="pct"/>
            <w:hideMark/>
          </w:tcPr>
          <w:p w14:paraId="38FE5D28" w14:textId="77777777" w:rsidR="00AD3CA1" w:rsidRPr="00AD3CA1" w:rsidRDefault="00AD3CA1" w:rsidP="00AD3CA1">
            <w:pPr>
              <w:spacing w:after="160"/>
              <w:rPr>
                <w:rFonts w:ascii="Verdana" w:hAnsi="Verdana"/>
                <w:sz w:val="22"/>
                <w:szCs w:val="22"/>
              </w:rPr>
            </w:pPr>
            <w:r w:rsidRPr="00AD3CA1">
              <w:rPr>
                <w:rFonts w:ascii="Verdana" w:hAnsi="Verdana"/>
                <w:sz w:val="22"/>
                <w:szCs w:val="22"/>
              </w:rPr>
              <w:t>GRADO</w:t>
            </w:r>
          </w:p>
        </w:tc>
        <w:tc>
          <w:tcPr>
            <w:tcW w:w="600" w:type="pct"/>
            <w:hideMark/>
          </w:tcPr>
          <w:p w14:paraId="1148A844" w14:textId="77777777" w:rsidR="00AD3CA1" w:rsidRPr="00AD3CA1" w:rsidRDefault="00AD3CA1" w:rsidP="00AD3CA1">
            <w:pPr>
              <w:spacing w:after="160"/>
              <w:rPr>
                <w:rFonts w:ascii="Verdana" w:hAnsi="Verdana"/>
                <w:sz w:val="22"/>
                <w:szCs w:val="22"/>
              </w:rPr>
            </w:pPr>
            <w:r w:rsidRPr="00AD3CA1">
              <w:rPr>
                <w:rFonts w:ascii="Verdana" w:hAnsi="Verdana"/>
                <w:sz w:val="22"/>
                <w:szCs w:val="22"/>
              </w:rPr>
              <w:t>TOTAL</w:t>
            </w:r>
            <w:r w:rsidRPr="00AD3CA1">
              <w:rPr>
                <w:rFonts w:ascii="Verdana" w:hAnsi="Verdana"/>
                <w:sz w:val="22"/>
                <w:szCs w:val="22"/>
              </w:rPr>
              <w:br/>
              <w:t>CARGOS</w:t>
            </w:r>
          </w:p>
        </w:tc>
        <w:tc>
          <w:tcPr>
            <w:tcW w:w="1150" w:type="pct"/>
            <w:hideMark/>
          </w:tcPr>
          <w:p w14:paraId="2B6BFF4A" w14:textId="77777777" w:rsidR="00AD3CA1" w:rsidRPr="00AD3CA1" w:rsidRDefault="00AD3CA1" w:rsidP="00AD3CA1">
            <w:pPr>
              <w:spacing w:after="160"/>
              <w:rPr>
                <w:rFonts w:ascii="Verdana" w:hAnsi="Verdana"/>
                <w:sz w:val="22"/>
                <w:szCs w:val="22"/>
              </w:rPr>
            </w:pPr>
            <w:r w:rsidRPr="00AD3CA1">
              <w:rPr>
                <w:rFonts w:ascii="Verdana" w:hAnsi="Verdana"/>
                <w:sz w:val="22"/>
                <w:szCs w:val="22"/>
              </w:rPr>
              <w:t>REMUNERACION</w:t>
            </w:r>
            <w:r w:rsidRPr="00AD3CA1">
              <w:rPr>
                <w:rFonts w:ascii="Verdana" w:hAnsi="Verdana"/>
                <w:sz w:val="22"/>
                <w:szCs w:val="22"/>
              </w:rPr>
              <w:br/>
              <w:t>MENSUAL $</w:t>
            </w:r>
          </w:p>
        </w:tc>
      </w:tr>
      <w:tr w:rsidR="00AD3CA1" w:rsidRPr="00AD3CA1" w14:paraId="7149FE91" w14:textId="77777777" w:rsidTr="00AD3CA1">
        <w:tc>
          <w:tcPr>
            <w:tcW w:w="2150" w:type="pct"/>
            <w:hideMark/>
          </w:tcPr>
          <w:p w14:paraId="0F646D1D" w14:textId="77777777" w:rsidR="00AD3CA1" w:rsidRPr="00AD3CA1" w:rsidRDefault="00AD3CA1" w:rsidP="00AD3CA1">
            <w:pPr>
              <w:spacing w:after="160"/>
              <w:rPr>
                <w:rFonts w:ascii="Verdana" w:hAnsi="Verdana"/>
                <w:sz w:val="22"/>
                <w:szCs w:val="22"/>
              </w:rPr>
            </w:pPr>
            <w:r w:rsidRPr="00AD3CA1">
              <w:rPr>
                <w:rFonts w:ascii="Verdana" w:hAnsi="Verdana"/>
                <w:sz w:val="22"/>
                <w:szCs w:val="22"/>
              </w:rPr>
              <w:t>PROFESIONAL ESPECIALIZADO</w:t>
            </w:r>
          </w:p>
        </w:tc>
        <w:tc>
          <w:tcPr>
            <w:tcW w:w="550" w:type="pct"/>
            <w:hideMark/>
          </w:tcPr>
          <w:p w14:paraId="1ABAAC35" w14:textId="77777777" w:rsidR="00AD3CA1" w:rsidRPr="00AD3CA1" w:rsidRDefault="00AD3CA1" w:rsidP="00AD3CA1">
            <w:pPr>
              <w:spacing w:after="160"/>
              <w:rPr>
                <w:rFonts w:ascii="Verdana" w:hAnsi="Verdana"/>
                <w:sz w:val="22"/>
                <w:szCs w:val="22"/>
              </w:rPr>
            </w:pPr>
            <w:r w:rsidRPr="00AD3CA1">
              <w:rPr>
                <w:rFonts w:ascii="Verdana" w:hAnsi="Verdana"/>
                <w:sz w:val="22"/>
                <w:szCs w:val="22"/>
              </w:rPr>
              <w:t>2028</w:t>
            </w:r>
          </w:p>
        </w:tc>
        <w:tc>
          <w:tcPr>
            <w:tcW w:w="550" w:type="pct"/>
            <w:hideMark/>
          </w:tcPr>
          <w:p w14:paraId="066D295A" w14:textId="77777777" w:rsidR="00AD3CA1" w:rsidRPr="00AD3CA1" w:rsidRDefault="00AD3CA1" w:rsidP="00AD3CA1">
            <w:pPr>
              <w:spacing w:after="160"/>
              <w:rPr>
                <w:rFonts w:ascii="Verdana" w:hAnsi="Verdana"/>
                <w:sz w:val="22"/>
                <w:szCs w:val="22"/>
              </w:rPr>
            </w:pPr>
            <w:r w:rsidRPr="00AD3CA1">
              <w:rPr>
                <w:rFonts w:ascii="Verdana" w:hAnsi="Verdana"/>
                <w:sz w:val="22"/>
                <w:szCs w:val="22"/>
              </w:rPr>
              <w:t>13</w:t>
            </w:r>
          </w:p>
        </w:tc>
        <w:tc>
          <w:tcPr>
            <w:tcW w:w="600" w:type="pct"/>
            <w:hideMark/>
          </w:tcPr>
          <w:p w14:paraId="24D808BC" w14:textId="77777777" w:rsidR="00AD3CA1" w:rsidRPr="00AD3CA1" w:rsidRDefault="00AD3CA1" w:rsidP="00AD3CA1">
            <w:pPr>
              <w:spacing w:after="160"/>
              <w:rPr>
                <w:rFonts w:ascii="Verdana" w:hAnsi="Verdana"/>
                <w:sz w:val="22"/>
                <w:szCs w:val="22"/>
              </w:rPr>
            </w:pPr>
            <w:r w:rsidRPr="00AD3CA1">
              <w:rPr>
                <w:rFonts w:ascii="Verdana" w:hAnsi="Verdana"/>
                <w:sz w:val="22"/>
                <w:szCs w:val="22"/>
              </w:rPr>
              <w:t>8</w:t>
            </w:r>
          </w:p>
        </w:tc>
        <w:tc>
          <w:tcPr>
            <w:tcW w:w="1150" w:type="pct"/>
            <w:hideMark/>
          </w:tcPr>
          <w:p w14:paraId="0ED3E021" w14:textId="77777777" w:rsidR="00AD3CA1" w:rsidRPr="00AD3CA1" w:rsidRDefault="00AD3CA1" w:rsidP="00AD3CA1">
            <w:pPr>
              <w:spacing w:after="160"/>
              <w:rPr>
                <w:rFonts w:ascii="Verdana" w:hAnsi="Verdana"/>
                <w:sz w:val="22"/>
                <w:szCs w:val="22"/>
              </w:rPr>
            </w:pPr>
            <w:r w:rsidRPr="00AD3CA1">
              <w:rPr>
                <w:rFonts w:ascii="Verdana" w:hAnsi="Verdana"/>
                <w:sz w:val="22"/>
                <w:szCs w:val="22"/>
              </w:rPr>
              <w:t>2.580.136</w:t>
            </w:r>
          </w:p>
        </w:tc>
      </w:tr>
      <w:tr w:rsidR="00AD3CA1" w:rsidRPr="00AD3CA1" w14:paraId="5D1DE165" w14:textId="77777777" w:rsidTr="00AD3CA1">
        <w:tc>
          <w:tcPr>
            <w:tcW w:w="2150" w:type="pct"/>
            <w:hideMark/>
          </w:tcPr>
          <w:p w14:paraId="3EB803CD" w14:textId="77777777" w:rsidR="00AD3CA1" w:rsidRPr="00AD3CA1" w:rsidRDefault="00AD3CA1" w:rsidP="00AD3CA1">
            <w:pPr>
              <w:spacing w:after="160"/>
              <w:rPr>
                <w:rFonts w:ascii="Verdana" w:hAnsi="Verdana"/>
                <w:sz w:val="22"/>
                <w:szCs w:val="22"/>
              </w:rPr>
            </w:pPr>
            <w:r w:rsidRPr="00AD3CA1">
              <w:rPr>
                <w:rFonts w:ascii="Verdana" w:hAnsi="Verdana"/>
                <w:sz w:val="22"/>
                <w:szCs w:val="22"/>
              </w:rPr>
              <w:t>PROFESIONAL ESPECIALIZADO</w:t>
            </w:r>
          </w:p>
        </w:tc>
        <w:tc>
          <w:tcPr>
            <w:tcW w:w="550" w:type="pct"/>
            <w:hideMark/>
          </w:tcPr>
          <w:p w14:paraId="3476A484" w14:textId="77777777" w:rsidR="00AD3CA1" w:rsidRPr="00AD3CA1" w:rsidRDefault="00AD3CA1" w:rsidP="00AD3CA1">
            <w:pPr>
              <w:spacing w:after="160"/>
              <w:rPr>
                <w:rFonts w:ascii="Verdana" w:hAnsi="Verdana"/>
                <w:sz w:val="22"/>
                <w:szCs w:val="22"/>
              </w:rPr>
            </w:pPr>
            <w:r w:rsidRPr="00AD3CA1">
              <w:rPr>
                <w:rFonts w:ascii="Verdana" w:hAnsi="Verdana"/>
                <w:sz w:val="22"/>
                <w:szCs w:val="22"/>
              </w:rPr>
              <w:t>2028</w:t>
            </w:r>
          </w:p>
        </w:tc>
        <w:tc>
          <w:tcPr>
            <w:tcW w:w="550" w:type="pct"/>
            <w:hideMark/>
          </w:tcPr>
          <w:p w14:paraId="46923C03" w14:textId="77777777" w:rsidR="00AD3CA1" w:rsidRPr="00AD3CA1" w:rsidRDefault="00AD3CA1" w:rsidP="00AD3CA1">
            <w:pPr>
              <w:spacing w:after="160"/>
              <w:rPr>
                <w:rFonts w:ascii="Verdana" w:hAnsi="Verdana"/>
                <w:sz w:val="22"/>
                <w:szCs w:val="22"/>
              </w:rPr>
            </w:pPr>
            <w:r w:rsidRPr="00AD3CA1">
              <w:rPr>
                <w:rFonts w:ascii="Verdana" w:hAnsi="Verdana"/>
                <w:sz w:val="22"/>
                <w:szCs w:val="22"/>
              </w:rPr>
              <w:t>12</w:t>
            </w:r>
          </w:p>
        </w:tc>
        <w:tc>
          <w:tcPr>
            <w:tcW w:w="600" w:type="pct"/>
            <w:hideMark/>
          </w:tcPr>
          <w:p w14:paraId="731513AE" w14:textId="77777777" w:rsidR="00AD3CA1" w:rsidRPr="00AD3CA1" w:rsidRDefault="00AD3CA1" w:rsidP="00AD3CA1">
            <w:pPr>
              <w:spacing w:after="160"/>
              <w:rPr>
                <w:rFonts w:ascii="Verdana" w:hAnsi="Verdana"/>
                <w:sz w:val="22"/>
                <w:szCs w:val="22"/>
              </w:rPr>
            </w:pPr>
            <w:r w:rsidRPr="00AD3CA1">
              <w:rPr>
                <w:rFonts w:ascii="Verdana" w:hAnsi="Verdana"/>
                <w:sz w:val="22"/>
                <w:szCs w:val="22"/>
              </w:rPr>
              <w:t>6</w:t>
            </w:r>
          </w:p>
        </w:tc>
        <w:tc>
          <w:tcPr>
            <w:tcW w:w="1150" w:type="pct"/>
            <w:hideMark/>
          </w:tcPr>
          <w:p w14:paraId="0AA0FD30" w14:textId="77777777" w:rsidR="00AD3CA1" w:rsidRPr="00AD3CA1" w:rsidRDefault="00AD3CA1" w:rsidP="00AD3CA1">
            <w:pPr>
              <w:spacing w:after="160"/>
              <w:rPr>
                <w:rFonts w:ascii="Verdana" w:hAnsi="Verdana"/>
                <w:sz w:val="22"/>
                <w:szCs w:val="22"/>
              </w:rPr>
            </w:pPr>
            <w:r w:rsidRPr="00AD3CA1">
              <w:rPr>
                <w:rFonts w:ascii="Verdana" w:hAnsi="Verdana"/>
                <w:sz w:val="22"/>
                <w:szCs w:val="22"/>
              </w:rPr>
              <w:t>2.381.392</w:t>
            </w:r>
          </w:p>
        </w:tc>
      </w:tr>
      <w:tr w:rsidR="00AD3CA1" w:rsidRPr="00AD3CA1" w14:paraId="6EB24C20" w14:textId="77777777" w:rsidTr="00AD3CA1">
        <w:tc>
          <w:tcPr>
            <w:tcW w:w="2150" w:type="pct"/>
            <w:hideMark/>
          </w:tcPr>
          <w:p w14:paraId="5E5CBA0E" w14:textId="77777777" w:rsidR="00AD3CA1" w:rsidRPr="00AD3CA1" w:rsidRDefault="00AD3CA1" w:rsidP="00AD3CA1">
            <w:pPr>
              <w:spacing w:after="160"/>
              <w:rPr>
                <w:rFonts w:ascii="Verdana" w:hAnsi="Verdana"/>
                <w:sz w:val="22"/>
                <w:szCs w:val="22"/>
              </w:rPr>
            </w:pPr>
            <w:r w:rsidRPr="00AD3CA1">
              <w:rPr>
                <w:rFonts w:ascii="Verdana" w:hAnsi="Verdana"/>
                <w:sz w:val="22"/>
                <w:szCs w:val="22"/>
              </w:rPr>
              <w:t>PROFESIONAL UNIVERSITARIO</w:t>
            </w:r>
          </w:p>
        </w:tc>
        <w:tc>
          <w:tcPr>
            <w:tcW w:w="550" w:type="pct"/>
            <w:hideMark/>
          </w:tcPr>
          <w:p w14:paraId="265A872D" w14:textId="77777777" w:rsidR="00AD3CA1" w:rsidRPr="00AD3CA1" w:rsidRDefault="00AD3CA1" w:rsidP="00AD3CA1">
            <w:pPr>
              <w:spacing w:after="160"/>
              <w:rPr>
                <w:rFonts w:ascii="Verdana" w:hAnsi="Verdana"/>
                <w:sz w:val="22"/>
                <w:szCs w:val="22"/>
              </w:rPr>
            </w:pPr>
            <w:r w:rsidRPr="00AD3CA1">
              <w:rPr>
                <w:rFonts w:ascii="Verdana" w:hAnsi="Verdana"/>
                <w:sz w:val="22"/>
                <w:szCs w:val="22"/>
              </w:rPr>
              <w:t>2044</w:t>
            </w:r>
          </w:p>
        </w:tc>
        <w:tc>
          <w:tcPr>
            <w:tcW w:w="550" w:type="pct"/>
            <w:hideMark/>
          </w:tcPr>
          <w:p w14:paraId="7A0085E3" w14:textId="77777777" w:rsidR="00AD3CA1" w:rsidRPr="00AD3CA1" w:rsidRDefault="00AD3CA1" w:rsidP="00AD3CA1">
            <w:pPr>
              <w:spacing w:after="160"/>
              <w:rPr>
                <w:rFonts w:ascii="Verdana" w:hAnsi="Verdana"/>
                <w:sz w:val="22"/>
                <w:szCs w:val="22"/>
              </w:rPr>
            </w:pPr>
            <w:r w:rsidRPr="00AD3CA1">
              <w:rPr>
                <w:rFonts w:ascii="Verdana" w:hAnsi="Verdana"/>
                <w:sz w:val="22"/>
                <w:szCs w:val="22"/>
              </w:rPr>
              <w:t>10</w:t>
            </w:r>
          </w:p>
        </w:tc>
        <w:tc>
          <w:tcPr>
            <w:tcW w:w="600" w:type="pct"/>
            <w:hideMark/>
          </w:tcPr>
          <w:p w14:paraId="011D4CAE" w14:textId="77777777" w:rsidR="00AD3CA1" w:rsidRPr="00AD3CA1" w:rsidRDefault="00AD3CA1" w:rsidP="00AD3CA1">
            <w:pPr>
              <w:spacing w:after="160"/>
              <w:rPr>
                <w:rFonts w:ascii="Verdana" w:hAnsi="Verdana"/>
                <w:sz w:val="22"/>
                <w:szCs w:val="22"/>
              </w:rPr>
            </w:pPr>
            <w:r w:rsidRPr="00AD3CA1">
              <w:rPr>
                <w:rFonts w:ascii="Verdana" w:hAnsi="Verdana"/>
                <w:sz w:val="22"/>
                <w:szCs w:val="22"/>
              </w:rPr>
              <w:t>3</w:t>
            </w:r>
          </w:p>
        </w:tc>
        <w:tc>
          <w:tcPr>
            <w:tcW w:w="1150" w:type="pct"/>
            <w:hideMark/>
          </w:tcPr>
          <w:p w14:paraId="5C136263" w14:textId="77777777" w:rsidR="00AD3CA1" w:rsidRPr="00AD3CA1" w:rsidRDefault="00AD3CA1" w:rsidP="00AD3CA1">
            <w:pPr>
              <w:spacing w:after="160"/>
              <w:rPr>
                <w:rFonts w:ascii="Verdana" w:hAnsi="Verdana"/>
                <w:sz w:val="22"/>
                <w:szCs w:val="22"/>
              </w:rPr>
            </w:pPr>
            <w:r w:rsidRPr="00AD3CA1">
              <w:rPr>
                <w:rFonts w:ascii="Verdana" w:hAnsi="Verdana"/>
                <w:sz w:val="22"/>
                <w:szCs w:val="22"/>
              </w:rPr>
              <w:t>2.153.906</w:t>
            </w:r>
          </w:p>
        </w:tc>
      </w:tr>
      <w:tr w:rsidR="00AD3CA1" w:rsidRPr="00AD3CA1" w14:paraId="111C8D94" w14:textId="77777777" w:rsidTr="00AD3CA1">
        <w:tc>
          <w:tcPr>
            <w:tcW w:w="2150" w:type="pct"/>
            <w:hideMark/>
          </w:tcPr>
          <w:p w14:paraId="491F5CF6" w14:textId="77777777" w:rsidR="00AD3CA1" w:rsidRPr="00AD3CA1" w:rsidRDefault="00AD3CA1" w:rsidP="00AD3CA1">
            <w:pPr>
              <w:spacing w:after="160"/>
              <w:rPr>
                <w:rFonts w:ascii="Verdana" w:hAnsi="Verdana"/>
                <w:sz w:val="22"/>
                <w:szCs w:val="22"/>
              </w:rPr>
            </w:pPr>
            <w:r w:rsidRPr="00AD3CA1">
              <w:rPr>
                <w:rFonts w:ascii="Verdana" w:hAnsi="Verdana"/>
                <w:sz w:val="22"/>
                <w:szCs w:val="22"/>
              </w:rPr>
              <w:t>PROFESIONAL UNIVERSITARIO</w:t>
            </w:r>
          </w:p>
        </w:tc>
        <w:tc>
          <w:tcPr>
            <w:tcW w:w="550" w:type="pct"/>
            <w:hideMark/>
          </w:tcPr>
          <w:p w14:paraId="533E3497" w14:textId="77777777" w:rsidR="00AD3CA1" w:rsidRPr="00AD3CA1" w:rsidRDefault="00AD3CA1" w:rsidP="00AD3CA1">
            <w:pPr>
              <w:spacing w:after="160"/>
              <w:rPr>
                <w:rFonts w:ascii="Verdana" w:hAnsi="Verdana"/>
                <w:sz w:val="22"/>
                <w:szCs w:val="22"/>
              </w:rPr>
            </w:pPr>
            <w:r w:rsidRPr="00AD3CA1">
              <w:rPr>
                <w:rFonts w:ascii="Verdana" w:hAnsi="Verdana"/>
                <w:sz w:val="22"/>
                <w:szCs w:val="22"/>
              </w:rPr>
              <w:t>2044</w:t>
            </w:r>
          </w:p>
        </w:tc>
        <w:tc>
          <w:tcPr>
            <w:tcW w:w="550" w:type="pct"/>
            <w:hideMark/>
          </w:tcPr>
          <w:p w14:paraId="14745BED" w14:textId="77777777" w:rsidR="00AD3CA1" w:rsidRPr="00AD3CA1" w:rsidRDefault="00AD3CA1" w:rsidP="00AD3CA1">
            <w:pPr>
              <w:spacing w:after="160"/>
              <w:rPr>
                <w:rFonts w:ascii="Verdana" w:hAnsi="Verdana"/>
                <w:sz w:val="22"/>
                <w:szCs w:val="22"/>
              </w:rPr>
            </w:pPr>
            <w:r w:rsidRPr="00AD3CA1">
              <w:rPr>
                <w:rFonts w:ascii="Verdana" w:hAnsi="Verdana"/>
                <w:sz w:val="22"/>
                <w:szCs w:val="22"/>
              </w:rPr>
              <w:t>8</w:t>
            </w:r>
          </w:p>
        </w:tc>
        <w:tc>
          <w:tcPr>
            <w:tcW w:w="600" w:type="pct"/>
            <w:hideMark/>
          </w:tcPr>
          <w:p w14:paraId="4EF7491F" w14:textId="77777777" w:rsidR="00AD3CA1" w:rsidRPr="00AD3CA1" w:rsidRDefault="00AD3CA1" w:rsidP="00AD3CA1">
            <w:pPr>
              <w:spacing w:after="160"/>
              <w:rPr>
                <w:rFonts w:ascii="Verdana" w:hAnsi="Verdana"/>
                <w:sz w:val="22"/>
                <w:szCs w:val="22"/>
              </w:rPr>
            </w:pPr>
            <w:r w:rsidRPr="00AD3CA1">
              <w:rPr>
                <w:rFonts w:ascii="Verdana" w:hAnsi="Verdana"/>
                <w:sz w:val="22"/>
                <w:szCs w:val="22"/>
              </w:rPr>
              <w:t>8</w:t>
            </w:r>
          </w:p>
        </w:tc>
        <w:tc>
          <w:tcPr>
            <w:tcW w:w="1150" w:type="pct"/>
            <w:hideMark/>
          </w:tcPr>
          <w:p w14:paraId="7FBD02AC" w14:textId="77777777" w:rsidR="00AD3CA1" w:rsidRPr="00AD3CA1" w:rsidRDefault="00AD3CA1" w:rsidP="00AD3CA1">
            <w:pPr>
              <w:spacing w:after="160"/>
              <w:rPr>
                <w:rFonts w:ascii="Verdana" w:hAnsi="Verdana"/>
                <w:sz w:val="22"/>
                <w:szCs w:val="22"/>
              </w:rPr>
            </w:pPr>
            <w:r w:rsidRPr="00AD3CA1">
              <w:rPr>
                <w:rFonts w:ascii="Verdana" w:hAnsi="Verdana"/>
                <w:sz w:val="22"/>
                <w:szCs w:val="22"/>
              </w:rPr>
              <w:t>1.996.878</w:t>
            </w:r>
          </w:p>
        </w:tc>
      </w:tr>
      <w:tr w:rsidR="00AD3CA1" w:rsidRPr="00AD3CA1" w14:paraId="15F1F6FC" w14:textId="77777777" w:rsidTr="00AD3CA1">
        <w:tc>
          <w:tcPr>
            <w:tcW w:w="2150" w:type="pct"/>
            <w:hideMark/>
          </w:tcPr>
          <w:p w14:paraId="0F701B72" w14:textId="77777777" w:rsidR="00AD3CA1" w:rsidRPr="00AD3CA1" w:rsidRDefault="00AD3CA1" w:rsidP="00AD3CA1">
            <w:pPr>
              <w:spacing w:after="160"/>
              <w:rPr>
                <w:rFonts w:ascii="Verdana" w:hAnsi="Verdana"/>
                <w:sz w:val="22"/>
                <w:szCs w:val="22"/>
              </w:rPr>
            </w:pPr>
            <w:r w:rsidRPr="00AD3CA1">
              <w:rPr>
                <w:rFonts w:ascii="Verdana" w:hAnsi="Verdana"/>
                <w:sz w:val="22"/>
                <w:szCs w:val="22"/>
              </w:rPr>
              <w:t>PROFESIONAL UNIVERSITARIO</w:t>
            </w:r>
          </w:p>
        </w:tc>
        <w:tc>
          <w:tcPr>
            <w:tcW w:w="550" w:type="pct"/>
            <w:hideMark/>
          </w:tcPr>
          <w:p w14:paraId="5AD98C20" w14:textId="77777777" w:rsidR="00AD3CA1" w:rsidRPr="00AD3CA1" w:rsidRDefault="00AD3CA1" w:rsidP="00AD3CA1">
            <w:pPr>
              <w:spacing w:after="160"/>
              <w:rPr>
                <w:rFonts w:ascii="Verdana" w:hAnsi="Verdana"/>
                <w:sz w:val="22"/>
                <w:szCs w:val="22"/>
              </w:rPr>
            </w:pPr>
            <w:r w:rsidRPr="00AD3CA1">
              <w:rPr>
                <w:rFonts w:ascii="Verdana" w:hAnsi="Verdana"/>
                <w:sz w:val="22"/>
                <w:szCs w:val="22"/>
              </w:rPr>
              <w:t>2044</w:t>
            </w:r>
          </w:p>
        </w:tc>
        <w:tc>
          <w:tcPr>
            <w:tcW w:w="550" w:type="pct"/>
            <w:hideMark/>
          </w:tcPr>
          <w:p w14:paraId="66E18BCD" w14:textId="77777777" w:rsidR="00AD3CA1" w:rsidRPr="00AD3CA1" w:rsidRDefault="00AD3CA1" w:rsidP="00AD3CA1">
            <w:pPr>
              <w:spacing w:after="160"/>
              <w:rPr>
                <w:rFonts w:ascii="Verdana" w:hAnsi="Verdana"/>
                <w:sz w:val="22"/>
                <w:szCs w:val="22"/>
              </w:rPr>
            </w:pPr>
            <w:r w:rsidRPr="00AD3CA1">
              <w:rPr>
                <w:rFonts w:ascii="Verdana" w:hAnsi="Verdana"/>
                <w:sz w:val="22"/>
                <w:szCs w:val="22"/>
              </w:rPr>
              <w:t>6</w:t>
            </w:r>
          </w:p>
        </w:tc>
        <w:tc>
          <w:tcPr>
            <w:tcW w:w="600" w:type="pct"/>
            <w:hideMark/>
          </w:tcPr>
          <w:p w14:paraId="75BD320D" w14:textId="77777777" w:rsidR="00AD3CA1" w:rsidRPr="00AD3CA1" w:rsidRDefault="00AD3CA1" w:rsidP="00AD3CA1">
            <w:pPr>
              <w:spacing w:after="160"/>
              <w:rPr>
                <w:rFonts w:ascii="Verdana" w:hAnsi="Verdana"/>
                <w:sz w:val="22"/>
                <w:szCs w:val="22"/>
              </w:rPr>
            </w:pPr>
            <w:r w:rsidRPr="00AD3CA1">
              <w:rPr>
                <w:rFonts w:ascii="Verdana" w:hAnsi="Verdana"/>
                <w:sz w:val="22"/>
                <w:szCs w:val="22"/>
              </w:rPr>
              <w:t>7</w:t>
            </w:r>
          </w:p>
        </w:tc>
        <w:tc>
          <w:tcPr>
            <w:tcW w:w="1150" w:type="pct"/>
            <w:hideMark/>
          </w:tcPr>
          <w:p w14:paraId="76362337" w14:textId="77777777" w:rsidR="00AD3CA1" w:rsidRPr="00AD3CA1" w:rsidRDefault="00AD3CA1" w:rsidP="00AD3CA1">
            <w:pPr>
              <w:spacing w:after="160"/>
              <w:rPr>
                <w:rFonts w:ascii="Verdana" w:hAnsi="Verdana"/>
                <w:sz w:val="22"/>
                <w:szCs w:val="22"/>
              </w:rPr>
            </w:pPr>
            <w:r w:rsidRPr="00AD3CA1">
              <w:rPr>
                <w:rFonts w:ascii="Verdana" w:hAnsi="Verdana"/>
                <w:sz w:val="22"/>
                <w:szCs w:val="22"/>
              </w:rPr>
              <w:t>1.812.565</w:t>
            </w:r>
          </w:p>
        </w:tc>
      </w:tr>
      <w:tr w:rsidR="00AD3CA1" w:rsidRPr="00AD3CA1" w14:paraId="160610DB" w14:textId="77777777" w:rsidTr="00AD3CA1">
        <w:tc>
          <w:tcPr>
            <w:tcW w:w="2150" w:type="pct"/>
            <w:hideMark/>
          </w:tcPr>
          <w:p w14:paraId="7E9CDAB7" w14:textId="77777777" w:rsidR="00AD3CA1" w:rsidRPr="00AD3CA1" w:rsidRDefault="00AD3CA1" w:rsidP="00AD3CA1">
            <w:pPr>
              <w:spacing w:after="160"/>
              <w:rPr>
                <w:rFonts w:ascii="Verdana" w:hAnsi="Verdana"/>
                <w:sz w:val="22"/>
                <w:szCs w:val="22"/>
              </w:rPr>
            </w:pPr>
            <w:r w:rsidRPr="00AD3CA1">
              <w:rPr>
                <w:rFonts w:ascii="Verdana" w:hAnsi="Verdana"/>
                <w:sz w:val="22"/>
                <w:szCs w:val="22"/>
              </w:rPr>
              <w:t>PROFESIONAL UNIVERSITARIO</w:t>
            </w:r>
          </w:p>
        </w:tc>
        <w:tc>
          <w:tcPr>
            <w:tcW w:w="550" w:type="pct"/>
            <w:hideMark/>
          </w:tcPr>
          <w:p w14:paraId="627F8F05" w14:textId="77777777" w:rsidR="00AD3CA1" w:rsidRPr="00AD3CA1" w:rsidRDefault="00AD3CA1" w:rsidP="00AD3CA1">
            <w:pPr>
              <w:spacing w:after="160"/>
              <w:rPr>
                <w:rFonts w:ascii="Verdana" w:hAnsi="Verdana"/>
                <w:sz w:val="22"/>
                <w:szCs w:val="22"/>
              </w:rPr>
            </w:pPr>
            <w:r w:rsidRPr="00AD3CA1">
              <w:rPr>
                <w:rFonts w:ascii="Verdana" w:hAnsi="Verdana"/>
                <w:sz w:val="22"/>
                <w:szCs w:val="22"/>
              </w:rPr>
              <w:t>2044</w:t>
            </w:r>
          </w:p>
        </w:tc>
        <w:tc>
          <w:tcPr>
            <w:tcW w:w="550" w:type="pct"/>
            <w:hideMark/>
          </w:tcPr>
          <w:p w14:paraId="529EAC6D" w14:textId="77777777" w:rsidR="00AD3CA1" w:rsidRPr="00AD3CA1" w:rsidRDefault="00AD3CA1" w:rsidP="00AD3CA1">
            <w:pPr>
              <w:spacing w:after="160"/>
              <w:rPr>
                <w:rFonts w:ascii="Verdana" w:hAnsi="Verdana"/>
                <w:sz w:val="22"/>
                <w:szCs w:val="22"/>
              </w:rPr>
            </w:pPr>
            <w:r w:rsidRPr="00AD3CA1">
              <w:rPr>
                <w:rFonts w:ascii="Verdana" w:hAnsi="Verdana"/>
                <w:sz w:val="22"/>
                <w:szCs w:val="22"/>
              </w:rPr>
              <w:t>5</w:t>
            </w:r>
          </w:p>
        </w:tc>
        <w:tc>
          <w:tcPr>
            <w:tcW w:w="600" w:type="pct"/>
            <w:hideMark/>
          </w:tcPr>
          <w:p w14:paraId="2C49A3DF" w14:textId="77777777" w:rsidR="00AD3CA1" w:rsidRPr="00AD3CA1" w:rsidRDefault="00AD3CA1" w:rsidP="00AD3CA1">
            <w:pPr>
              <w:spacing w:after="160"/>
              <w:rPr>
                <w:rFonts w:ascii="Verdana" w:hAnsi="Verdana"/>
                <w:sz w:val="22"/>
                <w:szCs w:val="22"/>
              </w:rPr>
            </w:pPr>
            <w:r w:rsidRPr="00AD3CA1">
              <w:rPr>
                <w:rFonts w:ascii="Verdana" w:hAnsi="Verdana"/>
                <w:sz w:val="22"/>
                <w:szCs w:val="22"/>
              </w:rPr>
              <w:t>117</w:t>
            </w:r>
          </w:p>
        </w:tc>
        <w:tc>
          <w:tcPr>
            <w:tcW w:w="1150" w:type="pct"/>
            <w:hideMark/>
          </w:tcPr>
          <w:p w14:paraId="2020666C" w14:textId="77777777" w:rsidR="00AD3CA1" w:rsidRPr="00AD3CA1" w:rsidRDefault="00AD3CA1" w:rsidP="00AD3CA1">
            <w:pPr>
              <w:spacing w:after="160"/>
              <w:rPr>
                <w:rFonts w:ascii="Verdana" w:hAnsi="Verdana"/>
                <w:sz w:val="22"/>
                <w:szCs w:val="22"/>
              </w:rPr>
            </w:pPr>
            <w:r w:rsidRPr="00AD3CA1">
              <w:rPr>
                <w:rFonts w:ascii="Verdana" w:hAnsi="Verdana"/>
                <w:sz w:val="22"/>
                <w:szCs w:val="22"/>
              </w:rPr>
              <w:t>1.751.572</w:t>
            </w:r>
          </w:p>
        </w:tc>
      </w:tr>
      <w:tr w:rsidR="00AD3CA1" w:rsidRPr="00AD3CA1" w14:paraId="3CC068B7" w14:textId="77777777" w:rsidTr="00AD3CA1">
        <w:tc>
          <w:tcPr>
            <w:tcW w:w="2150" w:type="pct"/>
            <w:hideMark/>
          </w:tcPr>
          <w:p w14:paraId="01C17050" w14:textId="77777777" w:rsidR="00AD3CA1" w:rsidRPr="00AD3CA1" w:rsidRDefault="00AD3CA1" w:rsidP="00AD3CA1">
            <w:pPr>
              <w:spacing w:after="160"/>
              <w:rPr>
                <w:rFonts w:ascii="Verdana" w:hAnsi="Verdana"/>
                <w:sz w:val="22"/>
                <w:szCs w:val="22"/>
              </w:rPr>
            </w:pPr>
            <w:r w:rsidRPr="00AD3CA1">
              <w:rPr>
                <w:rFonts w:ascii="Verdana" w:hAnsi="Verdana"/>
                <w:sz w:val="22"/>
                <w:szCs w:val="22"/>
              </w:rPr>
              <w:t>TÉCNICO ADMINISTRATIVO</w:t>
            </w:r>
          </w:p>
        </w:tc>
        <w:tc>
          <w:tcPr>
            <w:tcW w:w="550" w:type="pct"/>
            <w:hideMark/>
          </w:tcPr>
          <w:p w14:paraId="74FE5CDD" w14:textId="77777777" w:rsidR="00AD3CA1" w:rsidRPr="00AD3CA1" w:rsidRDefault="00AD3CA1" w:rsidP="00AD3CA1">
            <w:pPr>
              <w:spacing w:after="160"/>
              <w:rPr>
                <w:rFonts w:ascii="Verdana" w:hAnsi="Verdana"/>
                <w:sz w:val="22"/>
                <w:szCs w:val="22"/>
              </w:rPr>
            </w:pPr>
            <w:r w:rsidRPr="00AD3CA1">
              <w:rPr>
                <w:rFonts w:ascii="Verdana" w:hAnsi="Verdana"/>
                <w:sz w:val="22"/>
                <w:szCs w:val="22"/>
              </w:rPr>
              <w:t>3124</w:t>
            </w:r>
          </w:p>
        </w:tc>
        <w:tc>
          <w:tcPr>
            <w:tcW w:w="550" w:type="pct"/>
            <w:hideMark/>
          </w:tcPr>
          <w:p w14:paraId="5D3D8624" w14:textId="77777777" w:rsidR="00AD3CA1" w:rsidRPr="00AD3CA1" w:rsidRDefault="00AD3CA1" w:rsidP="00AD3CA1">
            <w:pPr>
              <w:spacing w:after="160"/>
              <w:rPr>
                <w:rFonts w:ascii="Verdana" w:hAnsi="Verdana"/>
                <w:sz w:val="22"/>
                <w:szCs w:val="22"/>
              </w:rPr>
            </w:pPr>
            <w:r w:rsidRPr="00AD3CA1">
              <w:rPr>
                <w:rFonts w:ascii="Verdana" w:hAnsi="Verdana"/>
                <w:sz w:val="22"/>
                <w:szCs w:val="22"/>
              </w:rPr>
              <w:t>17</w:t>
            </w:r>
          </w:p>
        </w:tc>
        <w:tc>
          <w:tcPr>
            <w:tcW w:w="600" w:type="pct"/>
            <w:hideMark/>
          </w:tcPr>
          <w:p w14:paraId="1C500D97" w14:textId="77777777" w:rsidR="00AD3CA1" w:rsidRPr="00AD3CA1" w:rsidRDefault="00AD3CA1" w:rsidP="00AD3CA1">
            <w:pPr>
              <w:spacing w:after="160"/>
              <w:rPr>
                <w:rFonts w:ascii="Verdana" w:hAnsi="Verdana"/>
                <w:sz w:val="22"/>
                <w:szCs w:val="22"/>
              </w:rPr>
            </w:pPr>
            <w:r w:rsidRPr="00AD3CA1">
              <w:rPr>
                <w:rFonts w:ascii="Verdana" w:hAnsi="Verdana"/>
                <w:sz w:val="22"/>
                <w:szCs w:val="22"/>
              </w:rPr>
              <w:t>1</w:t>
            </w:r>
          </w:p>
        </w:tc>
        <w:tc>
          <w:tcPr>
            <w:tcW w:w="1150" w:type="pct"/>
            <w:hideMark/>
          </w:tcPr>
          <w:p w14:paraId="46260CA8" w14:textId="77777777" w:rsidR="00AD3CA1" w:rsidRPr="00AD3CA1" w:rsidRDefault="00AD3CA1" w:rsidP="00AD3CA1">
            <w:pPr>
              <w:spacing w:after="160"/>
              <w:rPr>
                <w:rFonts w:ascii="Verdana" w:hAnsi="Verdana"/>
                <w:sz w:val="22"/>
                <w:szCs w:val="22"/>
              </w:rPr>
            </w:pPr>
            <w:r w:rsidRPr="00AD3CA1">
              <w:rPr>
                <w:rFonts w:ascii="Verdana" w:hAnsi="Verdana"/>
                <w:sz w:val="22"/>
                <w:szCs w:val="22"/>
              </w:rPr>
              <w:t>1.902.054</w:t>
            </w:r>
          </w:p>
        </w:tc>
      </w:tr>
      <w:tr w:rsidR="00AD3CA1" w:rsidRPr="00AD3CA1" w14:paraId="7D1F6C11" w14:textId="77777777" w:rsidTr="00AD3CA1">
        <w:tc>
          <w:tcPr>
            <w:tcW w:w="2150" w:type="pct"/>
            <w:hideMark/>
          </w:tcPr>
          <w:p w14:paraId="3C7E0C99" w14:textId="77777777" w:rsidR="00AD3CA1" w:rsidRPr="00AD3CA1" w:rsidRDefault="00AD3CA1" w:rsidP="00AD3CA1">
            <w:pPr>
              <w:spacing w:after="160"/>
              <w:rPr>
                <w:rFonts w:ascii="Verdana" w:hAnsi="Verdana"/>
                <w:sz w:val="22"/>
                <w:szCs w:val="22"/>
              </w:rPr>
            </w:pPr>
            <w:r w:rsidRPr="00AD3CA1">
              <w:rPr>
                <w:rFonts w:ascii="Verdana" w:hAnsi="Verdana"/>
                <w:sz w:val="22"/>
                <w:szCs w:val="22"/>
              </w:rPr>
              <w:t>TÉCNICO ADMINISTRATIVO</w:t>
            </w:r>
          </w:p>
        </w:tc>
        <w:tc>
          <w:tcPr>
            <w:tcW w:w="550" w:type="pct"/>
            <w:hideMark/>
          </w:tcPr>
          <w:p w14:paraId="4AB6146F" w14:textId="77777777" w:rsidR="00AD3CA1" w:rsidRPr="00AD3CA1" w:rsidRDefault="00AD3CA1" w:rsidP="00AD3CA1">
            <w:pPr>
              <w:spacing w:after="160"/>
              <w:rPr>
                <w:rFonts w:ascii="Verdana" w:hAnsi="Verdana"/>
                <w:sz w:val="22"/>
                <w:szCs w:val="22"/>
              </w:rPr>
            </w:pPr>
            <w:r w:rsidRPr="00AD3CA1">
              <w:rPr>
                <w:rFonts w:ascii="Verdana" w:hAnsi="Verdana"/>
                <w:sz w:val="22"/>
                <w:szCs w:val="22"/>
              </w:rPr>
              <w:t>3124</w:t>
            </w:r>
          </w:p>
        </w:tc>
        <w:tc>
          <w:tcPr>
            <w:tcW w:w="550" w:type="pct"/>
            <w:hideMark/>
          </w:tcPr>
          <w:p w14:paraId="463AD1C5" w14:textId="77777777" w:rsidR="00AD3CA1" w:rsidRPr="00AD3CA1" w:rsidRDefault="00AD3CA1" w:rsidP="00AD3CA1">
            <w:pPr>
              <w:spacing w:after="160"/>
              <w:rPr>
                <w:rFonts w:ascii="Verdana" w:hAnsi="Verdana"/>
                <w:sz w:val="22"/>
                <w:szCs w:val="22"/>
              </w:rPr>
            </w:pPr>
            <w:r w:rsidRPr="00AD3CA1">
              <w:rPr>
                <w:rFonts w:ascii="Verdana" w:hAnsi="Verdana"/>
                <w:sz w:val="22"/>
                <w:szCs w:val="22"/>
              </w:rPr>
              <w:t>16</w:t>
            </w:r>
          </w:p>
        </w:tc>
        <w:tc>
          <w:tcPr>
            <w:tcW w:w="600" w:type="pct"/>
            <w:hideMark/>
          </w:tcPr>
          <w:p w14:paraId="598E5E89" w14:textId="77777777" w:rsidR="00AD3CA1" w:rsidRPr="00AD3CA1" w:rsidRDefault="00AD3CA1" w:rsidP="00AD3CA1">
            <w:pPr>
              <w:spacing w:after="160"/>
              <w:rPr>
                <w:rFonts w:ascii="Verdana" w:hAnsi="Verdana"/>
                <w:sz w:val="22"/>
                <w:szCs w:val="22"/>
              </w:rPr>
            </w:pPr>
            <w:r w:rsidRPr="00AD3CA1">
              <w:rPr>
                <w:rFonts w:ascii="Verdana" w:hAnsi="Verdana"/>
                <w:sz w:val="22"/>
                <w:szCs w:val="22"/>
              </w:rPr>
              <w:t>1</w:t>
            </w:r>
          </w:p>
        </w:tc>
        <w:tc>
          <w:tcPr>
            <w:tcW w:w="1150" w:type="pct"/>
            <w:hideMark/>
          </w:tcPr>
          <w:p w14:paraId="45CDA428" w14:textId="77777777" w:rsidR="00AD3CA1" w:rsidRPr="00AD3CA1" w:rsidRDefault="00AD3CA1" w:rsidP="00AD3CA1">
            <w:pPr>
              <w:spacing w:after="160"/>
              <w:rPr>
                <w:rFonts w:ascii="Verdana" w:hAnsi="Verdana"/>
                <w:sz w:val="22"/>
                <w:szCs w:val="22"/>
              </w:rPr>
            </w:pPr>
            <w:r w:rsidRPr="00AD3CA1">
              <w:rPr>
                <w:rFonts w:ascii="Verdana" w:hAnsi="Verdana"/>
                <w:sz w:val="22"/>
                <w:szCs w:val="22"/>
              </w:rPr>
              <w:t>1.776.750</w:t>
            </w:r>
          </w:p>
        </w:tc>
      </w:tr>
      <w:tr w:rsidR="00AD3CA1" w:rsidRPr="00AD3CA1" w14:paraId="0E3B7BA5" w14:textId="77777777" w:rsidTr="00AD3CA1">
        <w:tc>
          <w:tcPr>
            <w:tcW w:w="2150" w:type="pct"/>
            <w:hideMark/>
          </w:tcPr>
          <w:p w14:paraId="3981CAB4" w14:textId="77777777" w:rsidR="00AD3CA1" w:rsidRPr="00AD3CA1" w:rsidRDefault="00AD3CA1" w:rsidP="00AD3CA1">
            <w:pPr>
              <w:spacing w:after="160"/>
              <w:rPr>
                <w:rFonts w:ascii="Verdana" w:hAnsi="Verdana"/>
                <w:sz w:val="22"/>
                <w:szCs w:val="22"/>
              </w:rPr>
            </w:pPr>
            <w:r w:rsidRPr="00AD3CA1">
              <w:rPr>
                <w:rFonts w:ascii="Verdana" w:hAnsi="Verdana"/>
                <w:sz w:val="22"/>
                <w:szCs w:val="22"/>
              </w:rPr>
              <w:t>TÉCNICO ADMINISTRATIVO</w:t>
            </w:r>
          </w:p>
        </w:tc>
        <w:tc>
          <w:tcPr>
            <w:tcW w:w="550" w:type="pct"/>
            <w:hideMark/>
          </w:tcPr>
          <w:p w14:paraId="434A1F0D" w14:textId="77777777" w:rsidR="00AD3CA1" w:rsidRPr="00AD3CA1" w:rsidRDefault="00AD3CA1" w:rsidP="00AD3CA1">
            <w:pPr>
              <w:spacing w:after="160"/>
              <w:rPr>
                <w:rFonts w:ascii="Verdana" w:hAnsi="Verdana"/>
                <w:sz w:val="22"/>
                <w:szCs w:val="22"/>
              </w:rPr>
            </w:pPr>
            <w:r w:rsidRPr="00AD3CA1">
              <w:rPr>
                <w:rFonts w:ascii="Verdana" w:hAnsi="Verdana"/>
                <w:sz w:val="22"/>
                <w:szCs w:val="22"/>
              </w:rPr>
              <w:t>3124</w:t>
            </w:r>
          </w:p>
        </w:tc>
        <w:tc>
          <w:tcPr>
            <w:tcW w:w="550" w:type="pct"/>
            <w:hideMark/>
          </w:tcPr>
          <w:p w14:paraId="0D961064" w14:textId="77777777" w:rsidR="00AD3CA1" w:rsidRPr="00AD3CA1" w:rsidRDefault="00AD3CA1" w:rsidP="00AD3CA1">
            <w:pPr>
              <w:spacing w:after="160"/>
              <w:rPr>
                <w:rFonts w:ascii="Verdana" w:hAnsi="Verdana"/>
                <w:sz w:val="22"/>
                <w:szCs w:val="22"/>
              </w:rPr>
            </w:pPr>
            <w:r w:rsidRPr="00AD3CA1">
              <w:rPr>
                <w:rFonts w:ascii="Verdana" w:hAnsi="Verdana"/>
                <w:sz w:val="22"/>
                <w:szCs w:val="22"/>
              </w:rPr>
              <w:t>13</w:t>
            </w:r>
          </w:p>
        </w:tc>
        <w:tc>
          <w:tcPr>
            <w:tcW w:w="600" w:type="pct"/>
            <w:hideMark/>
          </w:tcPr>
          <w:p w14:paraId="50FF7790" w14:textId="77777777" w:rsidR="00AD3CA1" w:rsidRPr="00AD3CA1" w:rsidRDefault="00AD3CA1" w:rsidP="00AD3CA1">
            <w:pPr>
              <w:spacing w:after="160"/>
              <w:rPr>
                <w:rFonts w:ascii="Verdana" w:hAnsi="Verdana"/>
                <w:sz w:val="22"/>
                <w:szCs w:val="22"/>
              </w:rPr>
            </w:pPr>
            <w:r w:rsidRPr="00AD3CA1">
              <w:rPr>
                <w:rFonts w:ascii="Verdana" w:hAnsi="Verdana"/>
                <w:sz w:val="22"/>
                <w:szCs w:val="22"/>
              </w:rPr>
              <w:t>15</w:t>
            </w:r>
          </w:p>
        </w:tc>
        <w:tc>
          <w:tcPr>
            <w:tcW w:w="1150" w:type="pct"/>
            <w:hideMark/>
          </w:tcPr>
          <w:p w14:paraId="739AA1BB" w14:textId="77777777" w:rsidR="00AD3CA1" w:rsidRPr="00AD3CA1" w:rsidRDefault="00AD3CA1" w:rsidP="00AD3CA1">
            <w:pPr>
              <w:spacing w:after="160"/>
              <w:rPr>
                <w:rFonts w:ascii="Verdana" w:hAnsi="Verdana"/>
                <w:sz w:val="22"/>
                <w:szCs w:val="22"/>
              </w:rPr>
            </w:pPr>
            <w:r w:rsidRPr="00AD3CA1">
              <w:rPr>
                <w:rFonts w:ascii="Verdana" w:hAnsi="Verdana"/>
                <w:sz w:val="22"/>
                <w:szCs w:val="22"/>
              </w:rPr>
              <w:t>1.451.618</w:t>
            </w:r>
          </w:p>
        </w:tc>
      </w:tr>
      <w:tr w:rsidR="00AD3CA1" w:rsidRPr="00AD3CA1" w14:paraId="23A97A20" w14:textId="77777777" w:rsidTr="00AD3CA1">
        <w:tc>
          <w:tcPr>
            <w:tcW w:w="2150" w:type="pct"/>
            <w:hideMark/>
          </w:tcPr>
          <w:p w14:paraId="1B033466" w14:textId="77777777" w:rsidR="00AD3CA1" w:rsidRPr="00AD3CA1" w:rsidRDefault="00AD3CA1" w:rsidP="00AD3CA1">
            <w:pPr>
              <w:spacing w:after="160"/>
              <w:rPr>
                <w:rFonts w:ascii="Verdana" w:hAnsi="Verdana"/>
                <w:sz w:val="22"/>
                <w:szCs w:val="22"/>
              </w:rPr>
            </w:pPr>
            <w:r w:rsidRPr="00AD3CA1">
              <w:rPr>
                <w:rFonts w:ascii="Verdana" w:hAnsi="Verdana"/>
                <w:sz w:val="22"/>
                <w:szCs w:val="22"/>
              </w:rPr>
              <w:t>TÉCNICO ADMINISTRATIVO</w:t>
            </w:r>
          </w:p>
        </w:tc>
        <w:tc>
          <w:tcPr>
            <w:tcW w:w="550" w:type="pct"/>
            <w:hideMark/>
          </w:tcPr>
          <w:p w14:paraId="64FDDD28" w14:textId="77777777" w:rsidR="00AD3CA1" w:rsidRPr="00AD3CA1" w:rsidRDefault="00AD3CA1" w:rsidP="00AD3CA1">
            <w:pPr>
              <w:spacing w:after="160"/>
              <w:rPr>
                <w:rFonts w:ascii="Verdana" w:hAnsi="Verdana"/>
                <w:sz w:val="22"/>
                <w:szCs w:val="22"/>
              </w:rPr>
            </w:pPr>
            <w:r w:rsidRPr="00AD3CA1">
              <w:rPr>
                <w:rFonts w:ascii="Verdana" w:hAnsi="Verdana"/>
                <w:sz w:val="22"/>
                <w:szCs w:val="22"/>
              </w:rPr>
              <w:t>3124</w:t>
            </w:r>
          </w:p>
        </w:tc>
        <w:tc>
          <w:tcPr>
            <w:tcW w:w="550" w:type="pct"/>
            <w:hideMark/>
          </w:tcPr>
          <w:p w14:paraId="7A1A38E5" w14:textId="77777777" w:rsidR="00AD3CA1" w:rsidRPr="00AD3CA1" w:rsidRDefault="00AD3CA1" w:rsidP="00AD3CA1">
            <w:pPr>
              <w:spacing w:after="160"/>
              <w:rPr>
                <w:rFonts w:ascii="Verdana" w:hAnsi="Verdana"/>
                <w:sz w:val="22"/>
                <w:szCs w:val="22"/>
              </w:rPr>
            </w:pPr>
            <w:r w:rsidRPr="00AD3CA1">
              <w:rPr>
                <w:rFonts w:ascii="Verdana" w:hAnsi="Verdana"/>
                <w:sz w:val="22"/>
                <w:szCs w:val="22"/>
              </w:rPr>
              <w:t>12</w:t>
            </w:r>
          </w:p>
        </w:tc>
        <w:tc>
          <w:tcPr>
            <w:tcW w:w="600" w:type="pct"/>
            <w:hideMark/>
          </w:tcPr>
          <w:p w14:paraId="5B05A293" w14:textId="77777777" w:rsidR="00AD3CA1" w:rsidRPr="00AD3CA1" w:rsidRDefault="00AD3CA1" w:rsidP="00AD3CA1">
            <w:pPr>
              <w:spacing w:after="160"/>
              <w:rPr>
                <w:rFonts w:ascii="Verdana" w:hAnsi="Verdana"/>
                <w:sz w:val="22"/>
                <w:szCs w:val="22"/>
              </w:rPr>
            </w:pPr>
            <w:r w:rsidRPr="00AD3CA1">
              <w:rPr>
                <w:rFonts w:ascii="Verdana" w:hAnsi="Verdana"/>
                <w:sz w:val="22"/>
                <w:szCs w:val="22"/>
              </w:rPr>
              <w:t>3</w:t>
            </w:r>
          </w:p>
        </w:tc>
        <w:tc>
          <w:tcPr>
            <w:tcW w:w="1150" w:type="pct"/>
            <w:hideMark/>
          </w:tcPr>
          <w:p w14:paraId="023AC523" w14:textId="77777777" w:rsidR="00AD3CA1" w:rsidRPr="00AD3CA1" w:rsidRDefault="00AD3CA1" w:rsidP="00AD3CA1">
            <w:pPr>
              <w:spacing w:after="160"/>
              <w:rPr>
                <w:rFonts w:ascii="Verdana" w:hAnsi="Verdana"/>
                <w:sz w:val="22"/>
                <w:szCs w:val="22"/>
              </w:rPr>
            </w:pPr>
            <w:r w:rsidRPr="00AD3CA1">
              <w:rPr>
                <w:rFonts w:ascii="Verdana" w:hAnsi="Verdana"/>
                <w:sz w:val="22"/>
                <w:szCs w:val="22"/>
              </w:rPr>
              <w:t>1.361.208</w:t>
            </w:r>
          </w:p>
        </w:tc>
      </w:tr>
      <w:tr w:rsidR="00AD3CA1" w:rsidRPr="00AD3CA1" w14:paraId="5C811B9F" w14:textId="77777777" w:rsidTr="00AD3CA1">
        <w:tc>
          <w:tcPr>
            <w:tcW w:w="2150" w:type="pct"/>
            <w:hideMark/>
          </w:tcPr>
          <w:p w14:paraId="37BEF020" w14:textId="77777777" w:rsidR="00AD3CA1" w:rsidRPr="00AD3CA1" w:rsidRDefault="00AD3CA1" w:rsidP="00AD3CA1">
            <w:pPr>
              <w:spacing w:after="160"/>
              <w:rPr>
                <w:rFonts w:ascii="Verdana" w:hAnsi="Verdana"/>
                <w:sz w:val="22"/>
                <w:szCs w:val="22"/>
              </w:rPr>
            </w:pPr>
            <w:r w:rsidRPr="00AD3CA1">
              <w:rPr>
                <w:rFonts w:ascii="Verdana" w:hAnsi="Verdana"/>
                <w:sz w:val="22"/>
                <w:szCs w:val="22"/>
              </w:rPr>
              <w:t>TÉCNICO ADMINISTRATIVO</w:t>
            </w:r>
          </w:p>
        </w:tc>
        <w:tc>
          <w:tcPr>
            <w:tcW w:w="550" w:type="pct"/>
            <w:hideMark/>
          </w:tcPr>
          <w:p w14:paraId="330EC595" w14:textId="77777777" w:rsidR="00AD3CA1" w:rsidRPr="00AD3CA1" w:rsidRDefault="00AD3CA1" w:rsidP="00AD3CA1">
            <w:pPr>
              <w:spacing w:after="160"/>
              <w:rPr>
                <w:rFonts w:ascii="Verdana" w:hAnsi="Verdana"/>
                <w:sz w:val="22"/>
                <w:szCs w:val="22"/>
              </w:rPr>
            </w:pPr>
            <w:r w:rsidRPr="00AD3CA1">
              <w:rPr>
                <w:rFonts w:ascii="Verdana" w:hAnsi="Verdana"/>
                <w:sz w:val="22"/>
                <w:szCs w:val="22"/>
              </w:rPr>
              <w:t>3124</w:t>
            </w:r>
          </w:p>
        </w:tc>
        <w:tc>
          <w:tcPr>
            <w:tcW w:w="550" w:type="pct"/>
            <w:hideMark/>
          </w:tcPr>
          <w:p w14:paraId="58BEA351" w14:textId="77777777" w:rsidR="00AD3CA1" w:rsidRPr="00AD3CA1" w:rsidRDefault="00AD3CA1" w:rsidP="00AD3CA1">
            <w:pPr>
              <w:spacing w:after="160"/>
              <w:rPr>
                <w:rFonts w:ascii="Verdana" w:hAnsi="Verdana"/>
                <w:sz w:val="22"/>
                <w:szCs w:val="22"/>
              </w:rPr>
            </w:pPr>
            <w:r w:rsidRPr="00AD3CA1">
              <w:rPr>
                <w:rFonts w:ascii="Verdana" w:hAnsi="Verdana"/>
                <w:sz w:val="22"/>
                <w:szCs w:val="22"/>
              </w:rPr>
              <w:t>6</w:t>
            </w:r>
          </w:p>
        </w:tc>
        <w:tc>
          <w:tcPr>
            <w:tcW w:w="600" w:type="pct"/>
            <w:hideMark/>
          </w:tcPr>
          <w:p w14:paraId="248C517D" w14:textId="77777777" w:rsidR="00AD3CA1" w:rsidRPr="00AD3CA1" w:rsidRDefault="00AD3CA1" w:rsidP="00AD3CA1">
            <w:pPr>
              <w:spacing w:after="160"/>
              <w:rPr>
                <w:rFonts w:ascii="Verdana" w:hAnsi="Verdana"/>
                <w:sz w:val="22"/>
                <w:szCs w:val="22"/>
              </w:rPr>
            </w:pPr>
            <w:r w:rsidRPr="00AD3CA1">
              <w:rPr>
                <w:rFonts w:ascii="Verdana" w:hAnsi="Verdana"/>
                <w:sz w:val="22"/>
                <w:szCs w:val="22"/>
              </w:rPr>
              <w:t>38</w:t>
            </w:r>
          </w:p>
        </w:tc>
        <w:tc>
          <w:tcPr>
            <w:tcW w:w="1150" w:type="pct"/>
            <w:hideMark/>
          </w:tcPr>
          <w:p w14:paraId="361EF3F0" w14:textId="77777777" w:rsidR="00AD3CA1" w:rsidRPr="00AD3CA1" w:rsidRDefault="00AD3CA1" w:rsidP="00AD3CA1">
            <w:pPr>
              <w:spacing w:after="160"/>
              <w:rPr>
                <w:rFonts w:ascii="Verdana" w:hAnsi="Verdana"/>
                <w:sz w:val="22"/>
                <w:szCs w:val="22"/>
              </w:rPr>
            </w:pPr>
            <w:r w:rsidRPr="00AD3CA1">
              <w:rPr>
                <w:rFonts w:ascii="Verdana" w:hAnsi="Verdana"/>
                <w:sz w:val="22"/>
                <w:szCs w:val="22"/>
              </w:rPr>
              <w:t>967.698</w:t>
            </w:r>
          </w:p>
        </w:tc>
      </w:tr>
      <w:tr w:rsidR="00AD3CA1" w:rsidRPr="00AD3CA1" w14:paraId="3B7B1858" w14:textId="77777777" w:rsidTr="00AD3CA1">
        <w:tc>
          <w:tcPr>
            <w:tcW w:w="2150" w:type="pct"/>
            <w:hideMark/>
          </w:tcPr>
          <w:p w14:paraId="600D9001" w14:textId="77777777" w:rsidR="00AD3CA1" w:rsidRPr="00AD3CA1" w:rsidRDefault="00AD3CA1" w:rsidP="00AD3CA1">
            <w:pPr>
              <w:spacing w:after="160"/>
              <w:rPr>
                <w:rFonts w:ascii="Verdana" w:hAnsi="Verdana"/>
                <w:sz w:val="22"/>
                <w:szCs w:val="22"/>
              </w:rPr>
            </w:pPr>
            <w:r w:rsidRPr="00AD3CA1">
              <w:rPr>
                <w:rFonts w:ascii="Verdana" w:hAnsi="Verdana"/>
                <w:sz w:val="22"/>
                <w:szCs w:val="22"/>
              </w:rPr>
              <w:t>AUXILIAR ADMINISTRATIVO</w:t>
            </w:r>
          </w:p>
        </w:tc>
        <w:tc>
          <w:tcPr>
            <w:tcW w:w="550" w:type="pct"/>
            <w:hideMark/>
          </w:tcPr>
          <w:p w14:paraId="035A7020" w14:textId="77777777" w:rsidR="00AD3CA1" w:rsidRPr="00AD3CA1" w:rsidRDefault="00AD3CA1" w:rsidP="00AD3CA1">
            <w:pPr>
              <w:spacing w:after="160"/>
              <w:rPr>
                <w:rFonts w:ascii="Verdana" w:hAnsi="Verdana"/>
                <w:sz w:val="22"/>
                <w:szCs w:val="22"/>
              </w:rPr>
            </w:pPr>
            <w:r w:rsidRPr="00AD3CA1">
              <w:rPr>
                <w:rFonts w:ascii="Verdana" w:hAnsi="Verdana"/>
                <w:sz w:val="22"/>
                <w:szCs w:val="22"/>
              </w:rPr>
              <w:t>4044</w:t>
            </w:r>
          </w:p>
        </w:tc>
        <w:tc>
          <w:tcPr>
            <w:tcW w:w="550" w:type="pct"/>
            <w:hideMark/>
          </w:tcPr>
          <w:p w14:paraId="3F8C3578" w14:textId="77777777" w:rsidR="00AD3CA1" w:rsidRPr="00AD3CA1" w:rsidRDefault="00AD3CA1" w:rsidP="00AD3CA1">
            <w:pPr>
              <w:spacing w:after="160"/>
              <w:rPr>
                <w:rFonts w:ascii="Verdana" w:hAnsi="Verdana"/>
                <w:sz w:val="22"/>
                <w:szCs w:val="22"/>
              </w:rPr>
            </w:pPr>
            <w:r w:rsidRPr="00AD3CA1">
              <w:rPr>
                <w:rFonts w:ascii="Verdana" w:hAnsi="Verdana"/>
                <w:sz w:val="22"/>
                <w:szCs w:val="22"/>
              </w:rPr>
              <w:t>10</w:t>
            </w:r>
          </w:p>
        </w:tc>
        <w:tc>
          <w:tcPr>
            <w:tcW w:w="600" w:type="pct"/>
            <w:hideMark/>
          </w:tcPr>
          <w:p w14:paraId="00EC1F21" w14:textId="77777777" w:rsidR="00AD3CA1" w:rsidRPr="00AD3CA1" w:rsidRDefault="00AD3CA1" w:rsidP="00AD3CA1">
            <w:pPr>
              <w:spacing w:after="160"/>
              <w:rPr>
                <w:rFonts w:ascii="Verdana" w:hAnsi="Verdana"/>
                <w:sz w:val="22"/>
                <w:szCs w:val="22"/>
              </w:rPr>
            </w:pPr>
            <w:r w:rsidRPr="00AD3CA1">
              <w:rPr>
                <w:rFonts w:ascii="Verdana" w:hAnsi="Verdana"/>
                <w:sz w:val="22"/>
                <w:szCs w:val="22"/>
              </w:rPr>
              <w:t>8</w:t>
            </w:r>
          </w:p>
        </w:tc>
        <w:tc>
          <w:tcPr>
            <w:tcW w:w="1150" w:type="pct"/>
            <w:hideMark/>
          </w:tcPr>
          <w:p w14:paraId="7D72E2FE" w14:textId="77777777" w:rsidR="00AD3CA1" w:rsidRPr="00AD3CA1" w:rsidRDefault="00AD3CA1" w:rsidP="00AD3CA1">
            <w:pPr>
              <w:spacing w:after="160"/>
              <w:rPr>
                <w:rFonts w:ascii="Verdana" w:hAnsi="Verdana"/>
                <w:sz w:val="22"/>
                <w:szCs w:val="22"/>
              </w:rPr>
            </w:pPr>
            <w:r w:rsidRPr="00AD3CA1">
              <w:rPr>
                <w:rFonts w:ascii="Verdana" w:hAnsi="Verdana"/>
                <w:sz w:val="22"/>
                <w:szCs w:val="22"/>
              </w:rPr>
              <w:t>883.711</w:t>
            </w:r>
          </w:p>
        </w:tc>
      </w:tr>
      <w:tr w:rsidR="00AD3CA1" w:rsidRPr="00AD3CA1" w14:paraId="59A4CBC2" w14:textId="77777777" w:rsidTr="00AD3CA1">
        <w:tc>
          <w:tcPr>
            <w:tcW w:w="2150" w:type="pct"/>
            <w:hideMark/>
          </w:tcPr>
          <w:p w14:paraId="7C61C6E6" w14:textId="77777777" w:rsidR="00AD3CA1" w:rsidRPr="00AD3CA1" w:rsidRDefault="00AD3CA1" w:rsidP="00AD3CA1">
            <w:pPr>
              <w:spacing w:after="160"/>
              <w:rPr>
                <w:rFonts w:ascii="Verdana" w:hAnsi="Verdana"/>
                <w:sz w:val="22"/>
                <w:szCs w:val="22"/>
              </w:rPr>
            </w:pPr>
            <w:r w:rsidRPr="00AD3CA1">
              <w:rPr>
                <w:rFonts w:ascii="Verdana" w:hAnsi="Verdana"/>
                <w:sz w:val="22"/>
                <w:szCs w:val="22"/>
              </w:rPr>
              <w:t>AUXILIAR ADMINISTRATIVO</w:t>
            </w:r>
          </w:p>
        </w:tc>
        <w:tc>
          <w:tcPr>
            <w:tcW w:w="550" w:type="pct"/>
            <w:hideMark/>
          </w:tcPr>
          <w:p w14:paraId="4E186B14" w14:textId="77777777" w:rsidR="00AD3CA1" w:rsidRPr="00AD3CA1" w:rsidRDefault="00AD3CA1" w:rsidP="00AD3CA1">
            <w:pPr>
              <w:spacing w:after="160"/>
              <w:rPr>
                <w:rFonts w:ascii="Verdana" w:hAnsi="Verdana"/>
                <w:sz w:val="22"/>
                <w:szCs w:val="22"/>
              </w:rPr>
            </w:pPr>
            <w:r w:rsidRPr="00AD3CA1">
              <w:rPr>
                <w:rFonts w:ascii="Verdana" w:hAnsi="Verdana"/>
                <w:sz w:val="22"/>
                <w:szCs w:val="22"/>
              </w:rPr>
              <w:t>4044</w:t>
            </w:r>
          </w:p>
        </w:tc>
        <w:tc>
          <w:tcPr>
            <w:tcW w:w="550" w:type="pct"/>
            <w:hideMark/>
          </w:tcPr>
          <w:p w14:paraId="19D0AC1E" w14:textId="77777777" w:rsidR="00AD3CA1" w:rsidRPr="00AD3CA1" w:rsidRDefault="00AD3CA1" w:rsidP="00AD3CA1">
            <w:pPr>
              <w:spacing w:after="160"/>
              <w:rPr>
                <w:rFonts w:ascii="Verdana" w:hAnsi="Verdana"/>
                <w:sz w:val="22"/>
                <w:szCs w:val="22"/>
              </w:rPr>
            </w:pPr>
            <w:r w:rsidRPr="00AD3CA1">
              <w:rPr>
                <w:rFonts w:ascii="Verdana" w:hAnsi="Verdana"/>
                <w:sz w:val="22"/>
                <w:szCs w:val="22"/>
              </w:rPr>
              <w:t>6</w:t>
            </w:r>
          </w:p>
        </w:tc>
        <w:tc>
          <w:tcPr>
            <w:tcW w:w="600" w:type="pct"/>
            <w:hideMark/>
          </w:tcPr>
          <w:p w14:paraId="7567CA2B" w14:textId="77777777" w:rsidR="00AD3CA1" w:rsidRPr="00AD3CA1" w:rsidRDefault="00AD3CA1" w:rsidP="00AD3CA1">
            <w:pPr>
              <w:spacing w:after="160"/>
              <w:rPr>
                <w:rFonts w:ascii="Verdana" w:hAnsi="Verdana"/>
                <w:sz w:val="22"/>
                <w:szCs w:val="22"/>
              </w:rPr>
            </w:pPr>
            <w:r w:rsidRPr="00AD3CA1">
              <w:rPr>
                <w:rFonts w:ascii="Verdana" w:hAnsi="Verdana"/>
                <w:sz w:val="22"/>
                <w:szCs w:val="22"/>
              </w:rPr>
              <w:t>22</w:t>
            </w:r>
          </w:p>
        </w:tc>
        <w:tc>
          <w:tcPr>
            <w:tcW w:w="1150" w:type="pct"/>
            <w:hideMark/>
          </w:tcPr>
          <w:p w14:paraId="29C3DA92" w14:textId="77777777" w:rsidR="00AD3CA1" w:rsidRPr="00AD3CA1" w:rsidRDefault="00AD3CA1" w:rsidP="00AD3CA1">
            <w:pPr>
              <w:spacing w:after="160"/>
              <w:rPr>
                <w:rFonts w:ascii="Verdana" w:hAnsi="Verdana"/>
                <w:sz w:val="22"/>
                <w:szCs w:val="22"/>
              </w:rPr>
            </w:pPr>
            <w:r w:rsidRPr="00AD3CA1">
              <w:rPr>
                <w:rFonts w:ascii="Verdana" w:hAnsi="Verdana"/>
                <w:sz w:val="22"/>
                <w:szCs w:val="22"/>
              </w:rPr>
              <w:t>651.735</w:t>
            </w:r>
          </w:p>
        </w:tc>
      </w:tr>
      <w:tr w:rsidR="00AD3CA1" w:rsidRPr="00AD3CA1" w14:paraId="5E34604B" w14:textId="77777777" w:rsidTr="00AD3CA1">
        <w:tc>
          <w:tcPr>
            <w:tcW w:w="2150" w:type="pct"/>
            <w:hideMark/>
          </w:tcPr>
          <w:p w14:paraId="2229BE93" w14:textId="77777777" w:rsidR="00AD3CA1" w:rsidRPr="00AD3CA1" w:rsidRDefault="00AD3CA1" w:rsidP="00AD3CA1">
            <w:pPr>
              <w:spacing w:after="160"/>
              <w:rPr>
                <w:rFonts w:ascii="Verdana" w:hAnsi="Verdana"/>
                <w:sz w:val="22"/>
                <w:szCs w:val="22"/>
              </w:rPr>
            </w:pPr>
            <w:proofErr w:type="gramStart"/>
            <w:r w:rsidRPr="00AD3CA1">
              <w:rPr>
                <w:rFonts w:ascii="Verdana" w:hAnsi="Verdana"/>
                <w:sz w:val="22"/>
                <w:szCs w:val="22"/>
              </w:rPr>
              <w:t>TOTAL</w:t>
            </w:r>
            <w:proofErr w:type="gramEnd"/>
            <w:r w:rsidRPr="00AD3CA1">
              <w:rPr>
                <w:rFonts w:ascii="Verdana" w:hAnsi="Verdana"/>
                <w:sz w:val="22"/>
                <w:szCs w:val="22"/>
              </w:rPr>
              <w:t xml:space="preserve"> CARGOS EQUIVALENTES</w:t>
            </w:r>
          </w:p>
        </w:tc>
        <w:tc>
          <w:tcPr>
            <w:tcW w:w="1100" w:type="pct"/>
            <w:gridSpan w:val="2"/>
            <w:hideMark/>
          </w:tcPr>
          <w:p w14:paraId="3680D2DD" w14:textId="77777777" w:rsidR="00AD3CA1" w:rsidRPr="00AD3CA1" w:rsidRDefault="00AD3CA1" w:rsidP="00AD3CA1">
            <w:pPr>
              <w:spacing w:after="160"/>
              <w:rPr>
                <w:rFonts w:ascii="Verdana" w:hAnsi="Verdana"/>
                <w:sz w:val="22"/>
                <w:szCs w:val="22"/>
              </w:rPr>
            </w:pPr>
            <w:r w:rsidRPr="00AD3CA1">
              <w:rPr>
                <w:rFonts w:ascii="Verdana" w:hAnsi="Verdana"/>
                <w:sz w:val="22"/>
                <w:szCs w:val="22"/>
              </w:rPr>
              <w:t> </w:t>
            </w:r>
          </w:p>
        </w:tc>
        <w:tc>
          <w:tcPr>
            <w:tcW w:w="1750" w:type="pct"/>
            <w:gridSpan w:val="2"/>
            <w:hideMark/>
          </w:tcPr>
          <w:p w14:paraId="07262A60" w14:textId="77777777" w:rsidR="00AD3CA1" w:rsidRPr="00AD3CA1" w:rsidRDefault="00AD3CA1" w:rsidP="00AD3CA1">
            <w:pPr>
              <w:spacing w:after="160"/>
              <w:rPr>
                <w:rFonts w:ascii="Verdana" w:hAnsi="Verdana"/>
                <w:sz w:val="22"/>
                <w:szCs w:val="22"/>
              </w:rPr>
            </w:pPr>
            <w:r w:rsidRPr="00AD3CA1">
              <w:rPr>
                <w:rFonts w:ascii="Verdana" w:hAnsi="Verdana"/>
                <w:sz w:val="22"/>
                <w:szCs w:val="22"/>
              </w:rPr>
              <w:t>237</w:t>
            </w:r>
          </w:p>
        </w:tc>
      </w:tr>
    </w:tbl>
    <w:p w14:paraId="3B374043" w14:textId="77777777" w:rsidR="002A74E7" w:rsidRPr="002A74E7" w:rsidRDefault="002A74E7" w:rsidP="002A74E7">
      <w:pPr>
        <w:rPr>
          <w:rFonts w:ascii="Verdana" w:hAnsi="Verdana"/>
          <w:sz w:val="22"/>
          <w:szCs w:val="22"/>
        </w:rPr>
      </w:pPr>
    </w:p>
    <w:p w14:paraId="2008501A" w14:textId="77777777" w:rsidR="002A74E7" w:rsidRPr="002A74E7" w:rsidRDefault="002A74E7" w:rsidP="002A74E7">
      <w:pPr>
        <w:rPr>
          <w:rFonts w:ascii="Verdana" w:hAnsi="Verdana"/>
          <w:sz w:val="22"/>
          <w:szCs w:val="22"/>
        </w:rPr>
      </w:pPr>
      <w:r w:rsidRPr="00C033D1">
        <w:rPr>
          <w:rFonts w:ascii="Verdana" w:hAnsi="Verdana"/>
          <w:b/>
          <w:bCs/>
          <w:sz w:val="22"/>
          <w:szCs w:val="22"/>
        </w:rPr>
        <w:t>PARÁGRAFO.</w:t>
      </w:r>
      <w:r w:rsidRPr="002A74E7">
        <w:rPr>
          <w:rFonts w:ascii="Verdana" w:hAnsi="Verdana"/>
          <w:sz w:val="22"/>
          <w:szCs w:val="22"/>
        </w:rPr>
        <w:t xml:space="preserve"> Las demás disposiciones contenidas en la Resolución 3721 del 20 de diciembre de 2007 y sus prórrogas y modificaciones, aplican en toda su extensión para la presente planta transitoria de personal supernumerario.</w:t>
      </w:r>
    </w:p>
    <w:p w14:paraId="3A631364" w14:textId="00EE1CBB" w:rsidR="002A74E7" w:rsidRPr="002A74E7" w:rsidRDefault="002A74E7" w:rsidP="002A74E7">
      <w:pPr>
        <w:rPr>
          <w:rFonts w:ascii="Verdana" w:hAnsi="Verdana"/>
          <w:sz w:val="22"/>
          <w:szCs w:val="22"/>
        </w:rPr>
      </w:pPr>
      <w:r w:rsidRPr="00C033D1">
        <w:rPr>
          <w:rFonts w:ascii="Verdana" w:hAnsi="Verdana"/>
          <w:b/>
          <w:bCs/>
          <w:sz w:val="22"/>
          <w:szCs w:val="22"/>
        </w:rPr>
        <w:t xml:space="preserve">ARTÍCULO </w:t>
      </w:r>
      <w:r w:rsidR="00C033D1" w:rsidRPr="00C033D1">
        <w:rPr>
          <w:rFonts w:ascii="Verdana" w:hAnsi="Verdana"/>
          <w:b/>
          <w:bCs/>
          <w:sz w:val="22"/>
          <w:szCs w:val="22"/>
        </w:rPr>
        <w:t>2o</w:t>
      </w:r>
      <w:r w:rsidRPr="00C033D1">
        <w:rPr>
          <w:rFonts w:ascii="Verdana" w:hAnsi="Verdana"/>
          <w:b/>
          <w:bCs/>
          <w:sz w:val="22"/>
          <w:szCs w:val="22"/>
        </w:rPr>
        <w:t>.</w:t>
      </w:r>
      <w:r w:rsidRPr="002A74E7">
        <w:rPr>
          <w:rFonts w:ascii="Verdana" w:hAnsi="Verdana"/>
          <w:sz w:val="22"/>
          <w:szCs w:val="22"/>
        </w:rPr>
        <w:t xml:space="preserve"> El pago de sueldos, emolumentos laborales, prestaciones sociales y transferencias que se generen por la vinculación del personal supernumerario de que trata la presente Resolución, se realizará con cargo al subproyecto C310-300-2-0-104 “Gastos de Personal Supernumerario".</w:t>
      </w:r>
    </w:p>
    <w:p w14:paraId="3DA2C4DE" w14:textId="081D7B99" w:rsidR="002A74E7" w:rsidRPr="002A74E7" w:rsidRDefault="002A74E7" w:rsidP="002A74E7">
      <w:pPr>
        <w:rPr>
          <w:rFonts w:ascii="Verdana" w:hAnsi="Verdana"/>
          <w:sz w:val="22"/>
          <w:szCs w:val="22"/>
        </w:rPr>
      </w:pPr>
      <w:r w:rsidRPr="00C033D1">
        <w:rPr>
          <w:rFonts w:ascii="Verdana" w:hAnsi="Verdana"/>
          <w:b/>
          <w:bCs/>
          <w:sz w:val="22"/>
          <w:szCs w:val="22"/>
        </w:rPr>
        <w:t xml:space="preserve">ARTÍCULO </w:t>
      </w:r>
      <w:r w:rsidR="00C033D1" w:rsidRPr="00C033D1">
        <w:rPr>
          <w:rFonts w:ascii="Verdana" w:hAnsi="Verdana"/>
          <w:b/>
          <w:bCs/>
          <w:sz w:val="22"/>
          <w:szCs w:val="22"/>
        </w:rPr>
        <w:t>3o</w:t>
      </w:r>
      <w:r w:rsidRPr="00C033D1">
        <w:rPr>
          <w:rFonts w:ascii="Verdana" w:hAnsi="Verdana"/>
          <w:b/>
          <w:bCs/>
          <w:sz w:val="22"/>
          <w:szCs w:val="22"/>
        </w:rPr>
        <w:t>.</w:t>
      </w:r>
      <w:r w:rsidRPr="002A74E7">
        <w:rPr>
          <w:rFonts w:ascii="Verdana" w:hAnsi="Verdana"/>
          <w:sz w:val="22"/>
          <w:szCs w:val="22"/>
        </w:rPr>
        <w:t xml:space="preserve"> La presente Resolución rige a partir de la fecha de su expedición.</w:t>
      </w:r>
    </w:p>
    <w:p w14:paraId="1B5EFEEB" w14:textId="2B1106D6" w:rsidR="002A74E7" w:rsidRPr="00C033D1" w:rsidRDefault="002A74E7" w:rsidP="00C033D1">
      <w:pPr>
        <w:jc w:val="center"/>
        <w:rPr>
          <w:rFonts w:ascii="Verdana" w:hAnsi="Verdana"/>
          <w:b/>
          <w:bCs/>
          <w:sz w:val="22"/>
          <w:szCs w:val="22"/>
        </w:rPr>
      </w:pPr>
      <w:r w:rsidRPr="00C033D1">
        <w:rPr>
          <w:rFonts w:ascii="Verdana" w:hAnsi="Verdana"/>
          <w:b/>
          <w:bCs/>
          <w:sz w:val="22"/>
          <w:szCs w:val="22"/>
        </w:rPr>
        <w:t>COMUNÍQUESE Y CÚMPLASE</w:t>
      </w:r>
      <w:r w:rsidR="00C033D1">
        <w:rPr>
          <w:rFonts w:ascii="Verdana" w:hAnsi="Verdana"/>
          <w:b/>
          <w:bCs/>
          <w:sz w:val="22"/>
          <w:szCs w:val="22"/>
        </w:rPr>
        <w:t>,</w:t>
      </w:r>
    </w:p>
    <w:p w14:paraId="39DA0197" w14:textId="651E0DE1" w:rsidR="002A74E7" w:rsidRPr="002A74E7" w:rsidRDefault="002A74E7" w:rsidP="00C033D1">
      <w:pPr>
        <w:jc w:val="center"/>
        <w:rPr>
          <w:rFonts w:ascii="Verdana" w:hAnsi="Verdana"/>
          <w:sz w:val="22"/>
          <w:szCs w:val="22"/>
        </w:rPr>
      </w:pPr>
      <w:r w:rsidRPr="002A74E7">
        <w:rPr>
          <w:rFonts w:ascii="Verdana" w:hAnsi="Verdana"/>
          <w:sz w:val="22"/>
          <w:szCs w:val="22"/>
        </w:rPr>
        <w:t>Dada en Bogotá D.C., a los 30</w:t>
      </w:r>
      <w:r w:rsidR="00C033D1">
        <w:rPr>
          <w:rFonts w:ascii="Verdana" w:hAnsi="Verdana"/>
          <w:sz w:val="22"/>
          <w:szCs w:val="22"/>
        </w:rPr>
        <w:t xml:space="preserve"> días del mes de septiembre de </w:t>
      </w:r>
      <w:r w:rsidRPr="002A74E7">
        <w:rPr>
          <w:rFonts w:ascii="Verdana" w:hAnsi="Verdana"/>
          <w:sz w:val="22"/>
          <w:szCs w:val="22"/>
        </w:rPr>
        <w:t>2013</w:t>
      </w:r>
    </w:p>
    <w:p w14:paraId="58849F8B" w14:textId="5D87364D" w:rsidR="002A74E7" w:rsidRPr="00C033D1" w:rsidRDefault="002A74E7" w:rsidP="00C033D1">
      <w:pPr>
        <w:jc w:val="center"/>
        <w:rPr>
          <w:rFonts w:ascii="Verdana" w:hAnsi="Verdana"/>
          <w:b/>
          <w:bCs/>
          <w:sz w:val="22"/>
          <w:szCs w:val="22"/>
        </w:rPr>
      </w:pPr>
      <w:r w:rsidRPr="00C033D1">
        <w:rPr>
          <w:rFonts w:ascii="Verdana" w:hAnsi="Verdana"/>
          <w:b/>
          <w:bCs/>
          <w:sz w:val="22"/>
          <w:szCs w:val="22"/>
        </w:rPr>
        <w:t>ADRIANA GONZÁLEZ MAXCYCLAK</w:t>
      </w:r>
    </w:p>
    <w:p w14:paraId="02F7BD49" w14:textId="2D84B51F" w:rsidR="00A724C4" w:rsidRPr="002A74E7" w:rsidRDefault="00C033D1" w:rsidP="00C033D1">
      <w:pPr>
        <w:jc w:val="center"/>
        <w:rPr>
          <w:rFonts w:ascii="Verdana" w:hAnsi="Verdana"/>
          <w:sz w:val="22"/>
          <w:szCs w:val="22"/>
        </w:rPr>
      </w:pPr>
      <w:r w:rsidRPr="002A74E7">
        <w:rPr>
          <w:rFonts w:ascii="Verdana" w:hAnsi="Verdana"/>
          <w:sz w:val="22"/>
          <w:szCs w:val="22"/>
        </w:rPr>
        <w:t>SUBDIRECTORA GENERAL ENCARGADA DE LAS FUNCIONES DE DIRECTOR GENERAL</w:t>
      </w:r>
    </w:p>
    <w:sectPr w:rsidR="00A724C4" w:rsidRPr="002A74E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501B3"/>
    <w:multiLevelType w:val="hybridMultilevel"/>
    <w:tmpl w:val="D44AA1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D962C32"/>
    <w:multiLevelType w:val="hybridMultilevel"/>
    <w:tmpl w:val="77E2B2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53119004">
    <w:abstractNumId w:val="1"/>
  </w:num>
  <w:num w:numId="2" w16cid:durableId="1853375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420"/>
    <w:rsid w:val="00013BB5"/>
    <w:rsid w:val="00243420"/>
    <w:rsid w:val="00243CB4"/>
    <w:rsid w:val="00257FBF"/>
    <w:rsid w:val="002A74E7"/>
    <w:rsid w:val="00A724C4"/>
    <w:rsid w:val="00AD3CA1"/>
    <w:rsid w:val="00BA3FA3"/>
    <w:rsid w:val="00C033D1"/>
    <w:rsid w:val="00D80B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C9C85"/>
  <w15:chartTrackingRefBased/>
  <w15:docId w15:val="{1D59934B-F7B9-444A-9C7A-670439FC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4E7"/>
    <w:pPr>
      <w:spacing w:line="240" w:lineRule="auto"/>
      <w:jc w:val="both"/>
    </w:pPr>
    <w:rPr>
      <w:rFonts w:ascii="Arial" w:hAnsi="Arial" w:cs="Arial"/>
    </w:rPr>
  </w:style>
  <w:style w:type="paragraph" w:styleId="Ttulo1">
    <w:name w:val="heading 1"/>
    <w:basedOn w:val="Normal"/>
    <w:next w:val="Normal"/>
    <w:link w:val="Ttulo1Car"/>
    <w:uiPriority w:val="9"/>
    <w:qFormat/>
    <w:rsid w:val="00243420"/>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43420"/>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43420"/>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43420"/>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243420"/>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243420"/>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243420"/>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243420"/>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243420"/>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342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4342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4342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43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43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43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43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43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43420"/>
    <w:rPr>
      <w:rFonts w:eastAsiaTheme="majorEastAsia" w:cstheme="majorBidi"/>
      <w:color w:val="272727" w:themeColor="text1" w:themeTint="D8"/>
    </w:rPr>
  </w:style>
  <w:style w:type="paragraph" w:styleId="Ttulo">
    <w:name w:val="Title"/>
    <w:basedOn w:val="Normal"/>
    <w:next w:val="Normal"/>
    <w:link w:val="TtuloCar"/>
    <w:uiPriority w:val="10"/>
    <w:qFormat/>
    <w:rsid w:val="00243420"/>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4342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43420"/>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43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43420"/>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243420"/>
    <w:rPr>
      <w:i/>
      <w:iCs/>
      <w:color w:val="404040" w:themeColor="text1" w:themeTint="BF"/>
    </w:rPr>
  </w:style>
  <w:style w:type="paragraph" w:styleId="Prrafodelista">
    <w:name w:val="List Paragraph"/>
    <w:basedOn w:val="Normal"/>
    <w:uiPriority w:val="34"/>
    <w:qFormat/>
    <w:rsid w:val="00243420"/>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243420"/>
    <w:rPr>
      <w:i/>
      <w:iCs/>
      <w:color w:val="0F4761" w:themeColor="accent1" w:themeShade="BF"/>
    </w:rPr>
  </w:style>
  <w:style w:type="paragraph" w:styleId="Citadestacada">
    <w:name w:val="Intense Quote"/>
    <w:basedOn w:val="Normal"/>
    <w:next w:val="Normal"/>
    <w:link w:val="CitadestacadaCar"/>
    <w:uiPriority w:val="30"/>
    <w:qFormat/>
    <w:rsid w:val="0024342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243420"/>
    <w:rPr>
      <w:i/>
      <w:iCs/>
      <w:color w:val="0F4761" w:themeColor="accent1" w:themeShade="BF"/>
    </w:rPr>
  </w:style>
  <w:style w:type="character" w:styleId="Referenciaintensa">
    <w:name w:val="Intense Reference"/>
    <w:basedOn w:val="Fuentedeprrafopredeter"/>
    <w:uiPriority w:val="32"/>
    <w:qFormat/>
    <w:rsid w:val="00243420"/>
    <w:rPr>
      <w:b/>
      <w:bCs/>
      <w:smallCaps/>
      <w:color w:val="0F4761" w:themeColor="accent1" w:themeShade="BF"/>
      <w:spacing w:val="5"/>
    </w:rPr>
  </w:style>
  <w:style w:type="table" w:styleId="Tablaconcuadrcula">
    <w:name w:val="Table Grid"/>
    <w:basedOn w:val="Tablanormal"/>
    <w:uiPriority w:val="39"/>
    <w:rsid w:val="00AD3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BA3FA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EE62D0-45B4-499C-825C-5B21F8593922}"/>
</file>

<file path=customXml/itemProps2.xml><?xml version="1.0" encoding="utf-8"?>
<ds:datastoreItem xmlns:ds="http://schemas.openxmlformats.org/officeDocument/2006/customXml" ds:itemID="{E3AD484E-8238-450E-917E-6223EE87F24A}"/>
</file>

<file path=customXml/itemProps3.xml><?xml version="1.0" encoding="utf-8"?>
<ds:datastoreItem xmlns:ds="http://schemas.openxmlformats.org/officeDocument/2006/customXml" ds:itemID="{72DAB624-8826-476E-9CD0-B3C5DEECB60A}"/>
</file>

<file path=docProps/app.xml><?xml version="1.0" encoding="utf-8"?>
<Properties xmlns="http://schemas.openxmlformats.org/officeDocument/2006/extended-properties" xmlns:vt="http://schemas.openxmlformats.org/officeDocument/2006/docPropsVTypes">
  <Template>Normal</Template>
  <TotalTime>9</TotalTime>
  <Pages>5</Pages>
  <Words>1702</Words>
  <Characters>9362</Characters>
  <Application>Microsoft Office Word</Application>
  <DocSecurity>0</DocSecurity>
  <Lines>78</Lines>
  <Paragraphs>22</Paragraphs>
  <ScaleCrop>false</ScaleCrop>
  <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7</cp:revision>
  <dcterms:created xsi:type="dcterms:W3CDTF">2026-01-20T17:20:00Z</dcterms:created>
  <dcterms:modified xsi:type="dcterms:W3CDTF">2026-01-20T17:29:00Z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