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8276D" w14:textId="1D13196B" w:rsidR="000B49E2" w:rsidRPr="000B49E2" w:rsidRDefault="000B49E2" w:rsidP="000B49E2">
      <w:pPr>
        <w:jc w:val="center"/>
        <w:rPr>
          <w:rFonts w:ascii="Verdana" w:hAnsi="Verdana"/>
          <w:b/>
          <w:bCs/>
          <w:sz w:val="22"/>
          <w:szCs w:val="22"/>
        </w:rPr>
      </w:pPr>
      <w:r w:rsidRPr="00F56BB0">
        <w:rPr>
          <w:rFonts w:ascii="Verdana" w:hAnsi="Verdana"/>
          <w:b/>
          <w:bCs/>
          <w:sz w:val="22"/>
          <w:szCs w:val="22"/>
        </w:rPr>
        <w:t>RESOLUCIÓN 838 DE 2016</w:t>
      </w:r>
    </w:p>
    <w:p w14:paraId="2E586D7F" w14:textId="6763065E" w:rsidR="005302B4" w:rsidRPr="005302B4" w:rsidRDefault="005302B4" w:rsidP="00F07EFD">
      <w:pPr>
        <w:rPr>
          <w:rFonts w:ascii="Verdana" w:hAnsi="Verdana"/>
          <w:sz w:val="20"/>
          <w:szCs w:val="20"/>
        </w:rPr>
      </w:pPr>
      <w:r w:rsidRPr="005302B4">
        <w:rPr>
          <w:rFonts w:ascii="Verdana" w:hAnsi="Verdana"/>
          <w:sz w:val="20"/>
          <w:szCs w:val="20"/>
        </w:rPr>
        <w:t>Fecha de Expedición: 2</w:t>
      </w:r>
      <w:r w:rsidR="00F56BB0" w:rsidRPr="000B49E2">
        <w:rPr>
          <w:rFonts w:ascii="Verdana" w:hAnsi="Verdana"/>
          <w:sz w:val="20"/>
          <w:szCs w:val="20"/>
        </w:rPr>
        <w:t>9</w:t>
      </w:r>
      <w:r w:rsidRPr="005302B4">
        <w:rPr>
          <w:rFonts w:ascii="Verdana" w:hAnsi="Verdana"/>
          <w:sz w:val="20"/>
          <w:szCs w:val="20"/>
        </w:rPr>
        <w:t xml:space="preserve"> de enero de 2016</w:t>
      </w:r>
    </w:p>
    <w:p w14:paraId="116D5E22" w14:textId="3B677623" w:rsidR="005302B4" w:rsidRPr="005302B4" w:rsidRDefault="005302B4" w:rsidP="00F07EFD">
      <w:pPr>
        <w:rPr>
          <w:rFonts w:ascii="Verdana" w:hAnsi="Verdana"/>
          <w:sz w:val="20"/>
          <w:szCs w:val="20"/>
        </w:rPr>
      </w:pPr>
      <w:r w:rsidRPr="005302B4">
        <w:rPr>
          <w:rFonts w:ascii="Verdana" w:hAnsi="Verdana"/>
          <w:sz w:val="20"/>
          <w:szCs w:val="20"/>
        </w:rPr>
        <w:t xml:space="preserve">Fecha de </w:t>
      </w:r>
      <w:proofErr w:type="gramStart"/>
      <w:r w:rsidRPr="005302B4">
        <w:rPr>
          <w:rFonts w:ascii="Verdana" w:hAnsi="Verdana"/>
          <w:sz w:val="20"/>
          <w:szCs w:val="20"/>
        </w:rPr>
        <w:t>entrada en vigencia</w:t>
      </w:r>
      <w:proofErr w:type="gramEnd"/>
      <w:r w:rsidRPr="005302B4">
        <w:rPr>
          <w:rFonts w:ascii="Verdana" w:hAnsi="Verdana"/>
          <w:sz w:val="20"/>
          <w:szCs w:val="20"/>
        </w:rPr>
        <w:t>: 2</w:t>
      </w:r>
      <w:r w:rsidR="00F56BB0" w:rsidRPr="000B49E2">
        <w:rPr>
          <w:rFonts w:ascii="Verdana" w:hAnsi="Verdana"/>
          <w:sz w:val="20"/>
          <w:szCs w:val="20"/>
        </w:rPr>
        <w:t>9</w:t>
      </w:r>
      <w:r w:rsidRPr="005302B4">
        <w:rPr>
          <w:rFonts w:ascii="Verdana" w:hAnsi="Verdana"/>
          <w:sz w:val="20"/>
          <w:szCs w:val="20"/>
        </w:rPr>
        <w:t xml:space="preserve"> de enero de 2016</w:t>
      </w:r>
    </w:p>
    <w:p w14:paraId="2BC0EC49" w14:textId="77777777" w:rsidR="005302B4" w:rsidRPr="005302B4" w:rsidRDefault="005302B4" w:rsidP="00F07EFD">
      <w:pPr>
        <w:rPr>
          <w:rFonts w:ascii="Verdana" w:hAnsi="Verdana"/>
          <w:sz w:val="20"/>
          <w:szCs w:val="20"/>
        </w:rPr>
      </w:pPr>
      <w:r w:rsidRPr="005302B4">
        <w:rPr>
          <w:rFonts w:ascii="Verdana" w:hAnsi="Verdana"/>
          <w:sz w:val="20"/>
          <w:szCs w:val="20"/>
        </w:rPr>
        <w:t>Estado de la vigencia: vigente</w:t>
      </w:r>
    </w:p>
    <w:p w14:paraId="23356D42" w14:textId="77777777" w:rsidR="005302B4" w:rsidRPr="005302B4" w:rsidRDefault="005302B4" w:rsidP="00F07EFD">
      <w:pPr>
        <w:rPr>
          <w:rFonts w:ascii="Verdana" w:hAnsi="Verdana"/>
          <w:sz w:val="20"/>
          <w:szCs w:val="20"/>
        </w:rPr>
      </w:pPr>
    </w:p>
    <w:p w14:paraId="53AD546B" w14:textId="77777777" w:rsidR="005302B4" w:rsidRPr="005302B4" w:rsidRDefault="005302B4" w:rsidP="00F07EFD">
      <w:pPr>
        <w:rPr>
          <w:rFonts w:ascii="Verdana" w:hAnsi="Verdana"/>
          <w:sz w:val="20"/>
          <w:szCs w:val="20"/>
        </w:rPr>
      </w:pPr>
      <w:r w:rsidRPr="005302B4">
        <w:rPr>
          <w:rFonts w:ascii="Verdana" w:hAnsi="Verdana"/>
          <w:sz w:val="20"/>
          <w:szCs w:val="20"/>
        </w:rPr>
        <w:t>Fecha de publicación en Diario Oficial: N/A</w:t>
      </w:r>
    </w:p>
    <w:p w14:paraId="3B8C65BD" w14:textId="77777777" w:rsidR="005302B4" w:rsidRPr="000B49E2" w:rsidRDefault="005302B4" w:rsidP="00F07EFD">
      <w:pPr>
        <w:rPr>
          <w:rFonts w:ascii="Verdana" w:hAnsi="Verdana"/>
          <w:sz w:val="20"/>
          <w:szCs w:val="20"/>
        </w:rPr>
      </w:pPr>
      <w:r w:rsidRPr="005302B4">
        <w:rPr>
          <w:rFonts w:ascii="Verdana" w:hAnsi="Verdana"/>
          <w:sz w:val="20"/>
          <w:szCs w:val="20"/>
        </w:rPr>
        <w:t>Número del Diario Oficial: N/A</w:t>
      </w:r>
    </w:p>
    <w:p w14:paraId="2FAA0A68" w14:textId="52C6507D" w:rsidR="000B49E2" w:rsidRPr="005302B4" w:rsidRDefault="000B49E2" w:rsidP="000B49E2">
      <w:pPr>
        <w:rPr>
          <w:rFonts w:ascii="Verdana" w:hAnsi="Verdana"/>
          <w:sz w:val="20"/>
          <w:szCs w:val="20"/>
        </w:rPr>
      </w:pPr>
      <w:r w:rsidRPr="000B49E2">
        <w:rPr>
          <w:rFonts w:ascii="Verdana" w:hAnsi="Verdana"/>
          <w:sz w:val="20"/>
          <w:szCs w:val="20"/>
        </w:rPr>
        <w:t xml:space="preserve">Notas: </w:t>
      </w:r>
      <w:r w:rsidRPr="000B49E2">
        <w:rPr>
          <w:rFonts w:ascii="Verdana" w:hAnsi="Verdana"/>
          <w:sz w:val="20"/>
          <w:szCs w:val="20"/>
        </w:rPr>
        <w:t>Modificada por la Resolución 9579 de 19 de septiembre de 2016, Resolución 8739 de 30 de agosto de 2016, la Resolución 5310 de 9 de junio de 2016, la Resolución 4532 de 20 de mayo de 2016</w:t>
      </w:r>
    </w:p>
    <w:p w14:paraId="69A555C1" w14:textId="21A8698F" w:rsidR="00F07EFD" w:rsidRPr="00F56BB0" w:rsidRDefault="00F07EFD" w:rsidP="000B49E2">
      <w:pPr>
        <w:jc w:val="center"/>
        <w:rPr>
          <w:rFonts w:ascii="Verdana" w:hAnsi="Verdana"/>
          <w:b/>
          <w:bCs/>
          <w:sz w:val="22"/>
          <w:szCs w:val="22"/>
        </w:rPr>
      </w:pPr>
      <w:r w:rsidRPr="00F56BB0">
        <w:rPr>
          <w:rFonts w:ascii="Verdana" w:hAnsi="Verdana"/>
          <w:b/>
          <w:bCs/>
          <w:sz w:val="22"/>
          <w:szCs w:val="22"/>
        </w:rPr>
        <w:t>RESOLUCIÓN 838 DE 2016</w:t>
      </w:r>
    </w:p>
    <w:p w14:paraId="3DAD495F" w14:textId="7A1C541D" w:rsidR="00F07EFD" w:rsidRPr="00F56BB0" w:rsidRDefault="00F07EFD" w:rsidP="000B49E2">
      <w:pPr>
        <w:jc w:val="center"/>
        <w:rPr>
          <w:rFonts w:ascii="Verdana" w:hAnsi="Verdana"/>
          <w:b/>
          <w:bCs/>
          <w:sz w:val="22"/>
          <w:szCs w:val="22"/>
        </w:rPr>
      </w:pPr>
      <w:r w:rsidRPr="00F56BB0">
        <w:rPr>
          <w:rFonts w:ascii="Verdana" w:hAnsi="Verdana"/>
          <w:b/>
          <w:bCs/>
          <w:sz w:val="22"/>
          <w:szCs w:val="22"/>
        </w:rPr>
        <w:t>(</w:t>
      </w:r>
      <w:r w:rsidR="00F56BB0">
        <w:rPr>
          <w:rFonts w:ascii="Verdana" w:hAnsi="Verdana"/>
          <w:b/>
          <w:bCs/>
          <w:sz w:val="22"/>
          <w:szCs w:val="22"/>
        </w:rPr>
        <w:t xml:space="preserve">29 de </w:t>
      </w:r>
      <w:r w:rsidRPr="00F56BB0">
        <w:rPr>
          <w:rFonts w:ascii="Verdana" w:hAnsi="Verdana"/>
          <w:b/>
          <w:bCs/>
          <w:sz w:val="22"/>
          <w:szCs w:val="22"/>
        </w:rPr>
        <w:t>enero)</w:t>
      </w:r>
    </w:p>
    <w:p w14:paraId="3BE49847" w14:textId="77777777" w:rsidR="00F07EFD" w:rsidRPr="00F56BB0" w:rsidRDefault="00F07EFD" w:rsidP="000B49E2">
      <w:pPr>
        <w:jc w:val="center"/>
        <w:rPr>
          <w:rFonts w:ascii="Verdana" w:hAnsi="Verdana"/>
          <w:b/>
          <w:bCs/>
          <w:sz w:val="22"/>
          <w:szCs w:val="22"/>
        </w:rPr>
      </w:pPr>
      <w:r w:rsidRPr="00F56BB0">
        <w:rPr>
          <w:rFonts w:ascii="Verdana" w:hAnsi="Verdana"/>
          <w:b/>
          <w:bCs/>
          <w:sz w:val="22"/>
          <w:szCs w:val="22"/>
        </w:rPr>
        <w:t>INSTITUTO COLOMBIANO DE BIENESTAR FAMILIAR – ICBF</w:t>
      </w:r>
    </w:p>
    <w:p w14:paraId="23E30306" w14:textId="276A184E" w:rsidR="00F07EFD" w:rsidRPr="00F07EFD" w:rsidRDefault="00F56BB0" w:rsidP="000B49E2">
      <w:pPr>
        <w:jc w:val="center"/>
        <w:rPr>
          <w:rFonts w:ascii="Verdana" w:hAnsi="Verdana"/>
          <w:sz w:val="22"/>
          <w:szCs w:val="22"/>
        </w:rPr>
      </w:pPr>
      <w:r>
        <w:rPr>
          <w:rFonts w:ascii="Verdana" w:hAnsi="Verdana"/>
          <w:sz w:val="22"/>
          <w:szCs w:val="22"/>
        </w:rPr>
        <w:t>“</w:t>
      </w:r>
      <w:r w:rsidR="00F07EFD" w:rsidRPr="00F07EFD">
        <w:rPr>
          <w:rFonts w:ascii="Verdana" w:hAnsi="Verdana"/>
          <w:sz w:val="22"/>
          <w:szCs w:val="22"/>
        </w:rPr>
        <w:t>Por la cual se delega una facultad y se dictan normas internas para la constitución, manejo y funcionamiento de las Cajas Menores de las Direcciones Regionales y la Dirección General del Instituto Colombiano de Bienestar Familiar - Cecilia de la Fuente de Lleras para la Vigencia 2016</w:t>
      </w:r>
      <w:r>
        <w:rPr>
          <w:rFonts w:ascii="Verdana" w:hAnsi="Verdana"/>
          <w:sz w:val="22"/>
          <w:szCs w:val="22"/>
        </w:rPr>
        <w:t>”</w:t>
      </w:r>
    </w:p>
    <w:p w14:paraId="7ACE8DC6" w14:textId="4335496E" w:rsidR="00F07EFD" w:rsidRPr="000B49E2" w:rsidRDefault="00F07EFD" w:rsidP="000B49E2">
      <w:pPr>
        <w:jc w:val="center"/>
        <w:rPr>
          <w:rFonts w:ascii="Verdana" w:hAnsi="Verdana"/>
          <w:b/>
          <w:bCs/>
          <w:sz w:val="22"/>
          <w:szCs w:val="22"/>
        </w:rPr>
      </w:pPr>
      <w:r w:rsidRPr="000B49E2">
        <w:rPr>
          <w:rFonts w:ascii="Verdana" w:hAnsi="Verdana"/>
          <w:b/>
          <w:bCs/>
          <w:sz w:val="22"/>
          <w:szCs w:val="22"/>
        </w:rPr>
        <w:t>LA DIRECTORA GENERAL DEL INSTITUTO COLOMBIANO DE BIENESTAR FAMILIAR CECILIA DE LA FUENTE DE LLERAS</w:t>
      </w:r>
    </w:p>
    <w:p w14:paraId="6B940434" w14:textId="5929C4A5" w:rsidR="00F07EFD" w:rsidRPr="00F07EFD" w:rsidRDefault="00F07EFD" w:rsidP="000B49E2">
      <w:pPr>
        <w:jc w:val="center"/>
        <w:rPr>
          <w:rFonts w:ascii="Verdana" w:hAnsi="Verdana"/>
          <w:sz w:val="22"/>
          <w:szCs w:val="22"/>
        </w:rPr>
      </w:pPr>
      <w:r w:rsidRPr="00F07EFD">
        <w:rPr>
          <w:rFonts w:ascii="Verdana" w:hAnsi="Verdana"/>
          <w:sz w:val="22"/>
          <w:szCs w:val="22"/>
        </w:rPr>
        <w:t>En uso de sus facultades legales y estatutarias, en especial las conferidas en los artículos 209 y 211 de la Constitución Política de Colombia, el literal b) del artículo 28 de la Ley 7a de 1979, los artículos 9, 10 y 78 de la Ley 489 de 1998, el artículo 2.8.5.2 del Decreto 1068 de 2015 y</w:t>
      </w:r>
    </w:p>
    <w:p w14:paraId="28723055" w14:textId="77777777" w:rsidR="00F07EFD" w:rsidRPr="000B49E2" w:rsidRDefault="00F07EFD" w:rsidP="000B49E2">
      <w:pPr>
        <w:jc w:val="center"/>
        <w:rPr>
          <w:rFonts w:ascii="Verdana" w:hAnsi="Verdana"/>
          <w:b/>
          <w:bCs/>
          <w:sz w:val="22"/>
          <w:szCs w:val="22"/>
        </w:rPr>
      </w:pPr>
      <w:r w:rsidRPr="000B49E2">
        <w:rPr>
          <w:rFonts w:ascii="Verdana" w:hAnsi="Verdana"/>
          <w:b/>
          <w:bCs/>
          <w:sz w:val="22"/>
          <w:szCs w:val="22"/>
        </w:rPr>
        <w:t>CONSIDERANDO:</w:t>
      </w:r>
    </w:p>
    <w:p w14:paraId="554E52E7" w14:textId="27E0D51E" w:rsidR="00F07EFD" w:rsidRPr="000B49E2" w:rsidRDefault="00F07EFD" w:rsidP="000B49E2">
      <w:pPr>
        <w:pStyle w:val="Prrafodelista"/>
        <w:numPr>
          <w:ilvl w:val="0"/>
          <w:numId w:val="3"/>
        </w:numPr>
        <w:rPr>
          <w:rFonts w:ascii="Verdana" w:hAnsi="Verdana"/>
          <w:sz w:val="22"/>
          <w:szCs w:val="22"/>
        </w:rPr>
      </w:pPr>
      <w:r w:rsidRPr="000B49E2">
        <w:rPr>
          <w:rFonts w:ascii="Verdana" w:hAnsi="Verdana"/>
          <w:sz w:val="22"/>
          <w:szCs w:val="22"/>
        </w:rPr>
        <w:t>Que el artículo 209 de la Constitución Política ordena que la función administrativa debe estar al servicio de los intereses generales, desarrollándose con fundamento en los principios de igualdad, moralidad, eficacia, economía, celeridad, imparcialidad y publicidad, mediante la descentralización, delegación y desconcentración de funciones.</w:t>
      </w:r>
    </w:p>
    <w:p w14:paraId="06563065" w14:textId="2D065558" w:rsidR="00F07EFD" w:rsidRPr="000B49E2" w:rsidRDefault="00F07EFD" w:rsidP="000B49E2">
      <w:pPr>
        <w:pStyle w:val="Prrafodelista"/>
        <w:numPr>
          <w:ilvl w:val="0"/>
          <w:numId w:val="3"/>
        </w:numPr>
        <w:rPr>
          <w:rFonts w:ascii="Verdana" w:hAnsi="Verdana"/>
          <w:sz w:val="22"/>
          <w:szCs w:val="22"/>
        </w:rPr>
      </w:pPr>
      <w:r w:rsidRPr="000B49E2">
        <w:rPr>
          <w:rFonts w:ascii="Verdana" w:hAnsi="Verdana"/>
          <w:sz w:val="22"/>
          <w:szCs w:val="22"/>
        </w:rPr>
        <w:t xml:space="preserve">Que los artículos 9 y 10 de la Ley 489 de 1998 establecen lo referente a la facultad de los representantes legales de las entidades descentralizadas de delegar las funciones a ella designadas, siempre que medie acto administrativo que así lo disponga, verse sobre funciones susceptibles de ser delegadas por mandato legal y recaiga en cabeza de empleados públicos de los niveles directivo y </w:t>
      </w:r>
      <w:proofErr w:type="gramStart"/>
      <w:r w:rsidRPr="000B49E2">
        <w:rPr>
          <w:rFonts w:ascii="Verdana" w:hAnsi="Verdana"/>
          <w:sz w:val="22"/>
          <w:szCs w:val="22"/>
        </w:rPr>
        <w:t>asesor vinculados</w:t>
      </w:r>
      <w:proofErr w:type="gramEnd"/>
      <w:r w:rsidRPr="000B49E2">
        <w:rPr>
          <w:rFonts w:ascii="Verdana" w:hAnsi="Verdana"/>
          <w:sz w:val="22"/>
          <w:szCs w:val="22"/>
        </w:rPr>
        <w:t xml:space="preserve"> al organismo correspondiente.</w:t>
      </w:r>
    </w:p>
    <w:p w14:paraId="03E130D6" w14:textId="0E004942" w:rsidR="00F07EFD" w:rsidRPr="000B49E2" w:rsidRDefault="00F07EFD" w:rsidP="000B49E2">
      <w:pPr>
        <w:pStyle w:val="Prrafodelista"/>
        <w:numPr>
          <w:ilvl w:val="0"/>
          <w:numId w:val="3"/>
        </w:numPr>
        <w:rPr>
          <w:rFonts w:ascii="Verdana" w:hAnsi="Verdana"/>
          <w:sz w:val="22"/>
          <w:szCs w:val="22"/>
        </w:rPr>
      </w:pPr>
      <w:r w:rsidRPr="000B49E2">
        <w:rPr>
          <w:rFonts w:ascii="Verdana" w:hAnsi="Verdana"/>
          <w:sz w:val="22"/>
          <w:szCs w:val="22"/>
        </w:rPr>
        <w:t xml:space="preserve">Que mediante el título 5 de la parte 8 del Decreto 1068 del 26 de mayo del 2015, reguló la constitución y funcionamiento de las Cajas Menores, estableciéndose en su artículo 2.8.5.2 que las cajas menores se constituirán, para cada vigencia fiscal, mediante resolución suscrita por el </w:t>
      </w:r>
      <w:r w:rsidRPr="000B49E2">
        <w:rPr>
          <w:rFonts w:ascii="Verdana" w:hAnsi="Verdana"/>
          <w:sz w:val="22"/>
          <w:szCs w:val="22"/>
        </w:rPr>
        <w:lastRenderedPageBreak/>
        <w:t>jefe del respectivo órgano, en la cual se indique la cuantía, responsable, la finalidad y la clase de gastos que se pueden realizar. Así mismo, se deberá indicar la unidad ejecutora y la cuantía de cada rubro presupuestal.</w:t>
      </w:r>
    </w:p>
    <w:p w14:paraId="3BFAD556" w14:textId="658EBB31" w:rsidR="00F07EFD" w:rsidRPr="000B49E2" w:rsidRDefault="00F07EFD" w:rsidP="000B49E2">
      <w:pPr>
        <w:pStyle w:val="Prrafodelista"/>
        <w:numPr>
          <w:ilvl w:val="0"/>
          <w:numId w:val="3"/>
        </w:numPr>
        <w:rPr>
          <w:rFonts w:ascii="Verdana" w:hAnsi="Verdana"/>
          <w:sz w:val="22"/>
          <w:szCs w:val="22"/>
        </w:rPr>
      </w:pPr>
      <w:r w:rsidRPr="000B49E2">
        <w:rPr>
          <w:rFonts w:ascii="Verdana" w:hAnsi="Verdana"/>
          <w:sz w:val="22"/>
          <w:szCs w:val="22"/>
        </w:rPr>
        <w:t>Que igualmente el artículo 2.8.5.3 de la precitada norma dispone que el Representante Legal, de acuerdo con los requerimientos de la entidad, deberá establecer número de cajas menores y autorizar su creación con base en reglas aquí establecidas.</w:t>
      </w:r>
    </w:p>
    <w:p w14:paraId="7553F833" w14:textId="1BA6E6C1" w:rsidR="00F07EFD" w:rsidRPr="000B49E2" w:rsidRDefault="00F07EFD" w:rsidP="000B49E2">
      <w:pPr>
        <w:pStyle w:val="Prrafodelista"/>
        <w:numPr>
          <w:ilvl w:val="0"/>
          <w:numId w:val="3"/>
        </w:numPr>
        <w:rPr>
          <w:rFonts w:ascii="Verdana" w:hAnsi="Verdana"/>
          <w:sz w:val="22"/>
          <w:szCs w:val="22"/>
        </w:rPr>
      </w:pPr>
      <w:r w:rsidRPr="000B49E2">
        <w:rPr>
          <w:rFonts w:ascii="Verdana" w:hAnsi="Verdana"/>
          <w:sz w:val="22"/>
          <w:szCs w:val="22"/>
        </w:rPr>
        <w:t>Que para la ejecución y operación de las Cajas Menores se hace necesario que el ICBF delegue la constitución y manejo de las Cajas Menores aprobadas y reglamente su funcionamiento.</w:t>
      </w:r>
    </w:p>
    <w:p w14:paraId="232F0FE9" w14:textId="2761CFF1" w:rsidR="00F07EFD" w:rsidRPr="000B49E2" w:rsidRDefault="00F07EFD" w:rsidP="000B49E2">
      <w:pPr>
        <w:pStyle w:val="Prrafodelista"/>
        <w:numPr>
          <w:ilvl w:val="0"/>
          <w:numId w:val="3"/>
        </w:numPr>
        <w:rPr>
          <w:rFonts w:ascii="Verdana" w:hAnsi="Verdana"/>
          <w:sz w:val="22"/>
          <w:szCs w:val="22"/>
        </w:rPr>
      </w:pPr>
      <w:r w:rsidRPr="000B49E2">
        <w:rPr>
          <w:rFonts w:ascii="Verdana" w:hAnsi="Verdana"/>
          <w:sz w:val="22"/>
          <w:szCs w:val="22"/>
        </w:rPr>
        <w:t>Que se hace necesario la creación de tres (3) cajas menores de los Grupos Jurídicos de las Direcciones Regionales Córdoba, Bolívar y Meta, autorizando su constitución.</w:t>
      </w:r>
    </w:p>
    <w:p w14:paraId="211047CD" w14:textId="3DCB85BB" w:rsidR="00F07EFD" w:rsidRPr="000B49E2" w:rsidRDefault="00F07EFD" w:rsidP="00F07EFD">
      <w:pPr>
        <w:pStyle w:val="Prrafodelista"/>
        <w:numPr>
          <w:ilvl w:val="0"/>
          <w:numId w:val="3"/>
        </w:numPr>
        <w:rPr>
          <w:rFonts w:ascii="Verdana" w:hAnsi="Verdana"/>
          <w:sz w:val="22"/>
          <w:szCs w:val="22"/>
        </w:rPr>
      </w:pPr>
      <w:proofErr w:type="gramStart"/>
      <w:r w:rsidRPr="000B49E2">
        <w:rPr>
          <w:rFonts w:ascii="Verdana" w:hAnsi="Verdana"/>
          <w:sz w:val="22"/>
          <w:szCs w:val="22"/>
        </w:rPr>
        <w:t>Que</w:t>
      </w:r>
      <w:proofErr w:type="gramEnd"/>
      <w:r w:rsidRPr="000B49E2">
        <w:rPr>
          <w:rFonts w:ascii="Verdana" w:hAnsi="Verdana"/>
          <w:sz w:val="22"/>
          <w:szCs w:val="22"/>
        </w:rPr>
        <w:t xml:space="preserve"> en mérito de lo expuesto,</w:t>
      </w:r>
    </w:p>
    <w:p w14:paraId="089F3860" w14:textId="77777777" w:rsidR="00F07EFD" w:rsidRPr="000B49E2" w:rsidRDefault="00F07EFD" w:rsidP="000B49E2">
      <w:pPr>
        <w:jc w:val="center"/>
        <w:rPr>
          <w:rFonts w:ascii="Verdana" w:hAnsi="Verdana"/>
          <w:b/>
          <w:bCs/>
          <w:sz w:val="22"/>
          <w:szCs w:val="22"/>
        </w:rPr>
      </w:pPr>
      <w:r w:rsidRPr="000B49E2">
        <w:rPr>
          <w:rFonts w:ascii="Verdana" w:hAnsi="Verdana"/>
          <w:b/>
          <w:bCs/>
          <w:sz w:val="22"/>
          <w:szCs w:val="22"/>
        </w:rPr>
        <w:t>RESUELVE:</w:t>
      </w:r>
    </w:p>
    <w:p w14:paraId="512A1A33" w14:textId="54AE8843" w:rsidR="00F07EFD" w:rsidRPr="00F07EFD" w:rsidRDefault="00F07EFD" w:rsidP="00F07EFD">
      <w:pPr>
        <w:rPr>
          <w:rFonts w:ascii="Verdana" w:hAnsi="Verdana"/>
          <w:sz w:val="22"/>
          <w:szCs w:val="22"/>
        </w:rPr>
      </w:pPr>
      <w:r w:rsidRPr="000B49E2">
        <w:rPr>
          <w:rFonts w:ascii="Verdana" w:hAnsi="Verdana"/>
          <w:b/>
          <w:bCs/>
          <w:sz w:val="22"/>
          <w:szCs w:val="22"/>
        </w:rPr>
        <w:t xml:space="preserve">ARTÍCULO </w:t>
      </w:r>
      <w:r w:rsidR="000B49E2" w:rsidRPr="000B49E2">
        <w:rPr>
          <w:rFonts w:ascii="Verdana" w:hAnsi="Verdana"/>
          <w:b/>
          <w:bCs/>
          <w:sz w:val="22"/>
          <w:szCs w:val="22"/>
        </w:rPr>
        <w:t>1o</w:t>
      </w:r>
      <w:r w:rsidRPr="000B49E2">
        <w:rPr>
          <w:rFonts w:ascii="Verdana" w:hAnsi="Verdana"/>
          <w:b/>
          <w:bCs/>
          <w:sz w:val="22"/>
          <w:szCs w:val="22"/>
        </w:rPr>
        <w:t>.</w:t>
      </w:r>
      <w:r w:rsidRPr="00F07EFD">
        <w:rPr>
          <w:rFonts w:ascii="Verdana" w:hAnsi="Verdana"/>
          <w:sz w:val="22"/>
          <w:szCs w:val="22"/>
        </w:rPr>
        <w:t xml:space="preserve"> DELEGACIÓN. Delegar en el </w:t>
      </w:r>
      <w:proofErr w:type="gramStart"/>
      <w:r w:rsidRPr="00F07EFD">
        <w:rPr>
          <w:rFonts w:ascii="Verdana" w:hAnsi="Verdana"/>
          <w:sz w:val="22"/>
          <w:szCs w:val="22"/>
        </w:rPr>
        <w:t>Secretario General</w:t>
      </w:r>
      <w:proofErr w:type="gramEnd"/>
      <w:r w:rsidRPr="00F07EFD">
        <w:rPr>
          <w:rFonts w:ascii="Verdana" w:hAnsi="Verdana"/>
          <w:sz w:val="22"/>
          <w:szCs w:val="22"/>
        </w:rPr>
        <w:t xml:space="preserve"> y en los </w:t>
      </w:r>
      <w:proofErr w:type="gramStart"/>
      <w:r w:rsidRPr="00F07EFD">
        <w:rPr>
          <w:rFonts w:ascii="Verdana" w:hAnsi="Verdana"/>
          <w:sz w:val="22"/>
          <w:szCs w:val="22"/>
        </w:rPr>
        <w:t>Directores Regionales</w:t>
      </w:r>
      <w:proofErr w:type="gramEnd"/>
      <w:r w:rsidRPr="00F07EFD">
        <w:rPr>
          <w:rFonts w:ascii="Verdana" w:hAnsi="Verdana"/>
          <w:sz w:val="22"/>
          <w:szCs w:val="22"/>
        </w:rPr>
        <w:t xml:space="preserve"> del ICBF la facultad para constituir y </w:t>
      </w:r>
      <w:proofErr w:type="spellStart"/>
      <w:r w:rsidRPr="00F07EFD">
        <w:rPr>
          <w:rFonts w:ascii="Verdana" w:hAnsi="Verdana"/>
          <w:sz w:val="22"/>
          <w:szCs w:val="22"/>
        </w:rPr>
        <w:t>aperturar</w:t>
      </w:r>
      <w:proofErr w:type="spellEnd"/>
      <w:r w:rsidRPr="00F07EFD">
        <w:rPr>
          <w:rFonts w:ascii="Verdana" w:hAnsi="Verdana"/>
          <w:sz w:val="22"/>
          <w:szCs w:val="22"/>
        </w:rPr>
        <w:t xml:space="preserve"> Cajas Menores en sus respectivas sedes administrativas y centros zonales para la vigencia 2016.</w:t>
      </w:r>
    </w:p>
    <w:p w14:paraId="30DD3F31" w14:textId="5BD6F649" w:rsidR="00F07EFD" w:rsidRPr="00F07EFD" w:rsidRDefault="00F07EFD" w:rsidP="00F07EFD">
      <w:pPr>
        <w:rPr>
          <w:rFonts w:ascii="Verdana" w:hAnsi="Verdana"/>
          <w:sz w:val="22"/>
          <w:szCs w:val="22"/>
        </w:rPr>
      </w:pPr>
      <w:r w:rsidRPr="000B49E2">
        <w:rPr>
          <w:rFonts w:ascii="Verdana" w:hAnsi="Verdana"/>
          <w:b/>
          <w:bCs/>
          <w:sz w:val="22"/>
          <w:szCs w:val="22"/>
        </w:rPr>
        <w:t xml:space="preserve">ARTÍCULO </w:t>
      </w:r>
      <w:r w:rsidR="000B49E2" w:rsidRPr="000B49E2">
        <w:rPr>
          <w:rFonts w:ascii="Verdana" w:hAnsi="Verdana"/>
          <w:b/>
          <w:bCs/>
          <w:sz w:val="22"/>
          <w:szCs w:val="22"/>
        </w:rPr>
        <w:t>2o</w:t>
      </w:r>
      <w:r w:rsidRPr="000B49E2">
        <w:rPr>
          <w:rFonts w:ascii="Verdana" w:hAnsi="Verdana"/>
          <w:b/>
          <w:bCs/>
          <w:sz w:val="22"/>
          <w:szCs w:val="22"/>
        </w:rPr>
        <w:t>.</w:t>
      </w:r>
      <w:r w:rsidRPr="00F07EFD">
        <w:rPr>
          <w:rFonts w:ascii="Verdana" w:hAnsi="Verdana"/>
          <w:sz w:val="22"/>
          <w:szCs w:val="22"/>
        </w:rPr>
        <w:t xml:space="preserve"> CONSTITUCIÓN. El Secretario General y los Directores Regionales del ICBF, según la justificación técnica y económica, constituirán de acuerdo con sus competencias, las cajas menores con base en lo dispuesto en el presente acto administrativo  y en el título 5 de la parte 8 del Decreto No. 1068 de 2015, y designarán mediante resolución a los servidores públicos responsables - cuentadantes, quienes deberán contar con la debida idoneidad técnica y las calidades éticas y morales para el manejo de los recursos públicos.</w:t>
      </w:r>
    </w:p>
    <w:p w14:paraId="06E96969" w14:textId="50DF5E3C" w:rsidR="00F07EFD" w:rsidRPr="00F07EFD" w:rsidRDefault="00F07EFD" w:rsidP="00F07EFD">
      <w:pPr>
        <w:rPr>
          <w:rFonts w:ascii="Verdana" w:hAnsi="Verdana"/>
          <w:sz w:val="22"/>
          <w:szCs w:val="22"/>
        </w:rPr>
      </w:pPr>
      <w:r w:rsidRPr="00F07EFD">
        <w:rPr>
          <w:rFonts w:ascii="Verdana" w:hAnsi="Verdana"/>
          <w:sz w:val="22"/>
          <w:szCs w:val="22"/>
        </w:rPr>
        <w:t>En el acto de constitución se especificará la cuantía fijada para cada rubro presupuestal, el responsable, la finalidad y la clase de gastos que se pueden realizar.</w:t>
      </w:r>
    </w:p>
    <w:p w14:paraId="437D9E5C" w14:textId="77777777" w:rsidR="00F07EFD" w:rsidRPr="00F07EFD" w:rsidRDefault="00F07EFD" w:rsidP="00F07EFD">
      <w:pPr>
        <w:rPr>
          <w:rFonts w:ascii="Verdana" w:hAnsi="Verdana"/>
          <w:sz w:val="22"/>
          <w:szCs w:val="22"/>
        </w:rPr>
      </w:pPr>
      <w:r w:rsidRPr="000B49E2">
        <w:rPr>
          <w:rFonts w:ascii="Verdana" w:hAnsi="Verdana"/>
          <w:b/>
          <w:bCs/>
          <w:sz w:val="22"/>
          <w:szCs w:val="22"/>
        </w:rPr>
        <w:t>PARÁGRAFO PRIMERO.</w:t>
      </w:r>
      <w:r w:rsidRPr="00F07EFD">
        <w:rPr>
          <w:rFonts w:ascii="Verdana" w:hAnsi="Verdana"/>
          <w:sz w:val="22"/>
          <w:szCs w:val="22"/>
        </w:rPr>
        <w:t xml:space="preserve"> Para su constitución se deberá expedir previamente el Certificado de Disponibilidad Presupuestal en el aplicativo gubernamental que contendrá cada uno de los rubros presupuestales que se van a afectar.</w:t>
      </w:r>
    </w:p>
    <w:p w14:paraId="69B3FB79" w14:textId="4D0FCF3F" w:rsidR="00F07EFD" w:rsidRPr="00F07EFD" w:rsidRDefault="00F07EFD" w:rsidP="00F07EFD">
      <w:pPr>
        <w:rPr>
          <w:rFonts w:ascii="Verdana" w:hAnsi="Verdana"/>
          <w:sz w:val="22"/>
          <w:szCs w:val="22"/>
        </w:rPr>
      </w:pPr>
      <w:r w:rsidRPr="000B49E2">
        <w:rPr>
          <w:rFonts w:ascii="Verdana" w:hAnsi="Verdana"/>
          <w:b/>
          <w:bCs/>
          <w:sz w:val="22"/>
          <w:szCs w:val="22"/>
        </w:rPr>
        <w:t>PARÁGRAFO SEGUNDO.</w:t>
      </w:r>
      <w:r w:rsidRPr="00F07EFD">
        <w:rPr>
          <w:rFonts w:ascii="Verdana" w:hAnsi="Verdana"/>
          <w:sz w:val="22"/>
          <w:szCs w:val="22"/>
        </w:rPr>
        <w:t xml:space="preserve"> Copia de la resolución de constitución de cada Caja Menor deberá ser enviada a los Grupos de Tesorería, Planeación y Seguimiento Financiero y de Gestión de la Dirección Financiera, así como a la Oficina de Control Interno.</w:t>
      </w:r>
    </w:p>
    <w:p w14:paraId="08903F75" w14:textId="27E67955" w:rsidR="00F07EFD" w:rsidRPr="00F07EFD" w:rsidRDefault="00F07EFD" w:rsidP="00F07EFD">
      <w:pPr>
        <w:rPr>
          <w:rFonts w:ascii="Verdana" w:hAnsi="Verdana"/>
          <w:sz w:val="22"/>
          <w:szCs w:val="22"/>
        </w:rPr>
      </w:pPr>
      <w:r w:rsidRPr="000B49E2">
        <w:rPr>
          <w:rFonts w:ascii="Verdana" w:hAnsi="Verdana"/>
          <w:b/>
          <w:bCs/>
          <w:sz w:val="22"/>
          <w:szCs w:val="22"/>
        </w:rPr>
        <w:t>ARTÍCULO TERCERO.</w:t>
      </w:r>
      <w:r w:rsidRPr="00F07EFD">
        <w:rPr>
          <w:rFonts w:ascii="Verdana" w:hAnsi="Verdana"/>
          <w:sz w:val="22"/>
          <w:szCs w:val="22"/>
        </w:rPr>
        <w:t xml:space="preserve"> DE LA ORDENACIÓN DEL GASTO. En la Dirección General, la ordenación del gasto de las cajas menores </w:t>
      </w:r>
      <w:proofErr w:type="gramStart"/>
      <w:r w:rsidRPr="00F07EFD">
        <w:rPr>
          <w:rFonts w:ascii="Verdana" w:hAnsi="Verdana"/>
          <w:sz w:val="22"/>
          <w:szCs w:val="22"/>
        </w:rPr>
        <w:t>constituidas,</w:t>
      </w:r>
      <w:proofErr w:type="gramEnd"/>
      <w:r w:rsidRPr="00F07EFD">
        <w:rPr>
          <w:rFonts w:ascii="Verdana" w:hAnsi="Verdana"/>
          <w:sz w:val="22"/>
          <w:szCs w:val="22"/>
        </w:rPr>
        <w:t xml:space="preserve"> estará a cargo de la </w:t>
      </w:r>
      <w:proofErr w:type="gramStart"/>
      <w:r w:rsidRPr="00F07EFD">
        <w:rPr>
          <w:rFonts w:ascii="Verdana" w:hAnsi="Verdana"/>
          <w:sz w:val="22"/>
          <w:szCs w:val="22"/>
        </w:rPr>
        <w:t>Secretaria General</w:t>
      </w:r>
      <w:proofErr w:type="gramEnd"/>
      <w:r w:rsidRPr="00F07EFD">
        <w:rPr>
          <w:rFonts w:ascii="Verdana" w:hAnsi="Verdana"/>
          <w:sz w:val="22"/>
          <w:szCs w:val="22"/>
        </w:rPr>
        <w:t xml:space="preserve"> y en las Direcciones Regionales a cargo del </w:t>
      </w:r>
      <w:proofErr w:type="gramStart"/>
      <w:r w:rsidRPr="00F07EFD">
        <w:rPr>
          <w:rFonts w:ascii="Verdana" w:hAnsi="Verdana"/>
          <w:sz w:val="22"/>
          <w:szCs w:val="22"/>
        </w:rPr>
        <w:t>Director Regional</w:t>
      </w:r>
      <w:proofErr w:type="gramEnd"/>
      <w:r w:rsidRPr="00F07EFD">
        <w:rPr>
          <w:rFonts w:ascii="Verdana" w:hAnsi="Verdana"/>
          <w:sz w:val="22"/>
          <w:szCs w:val="22"/>
        </w:rPr>
        <w:t>.</w:t>
      </w:r>
    </w:p>
    <w:p w14:paraId="2961241E" w14:textId="216EFD94" w:rsidR="00F07EFD" w:rsidRPr="00F07EFD" w:rsidRDefault="00F07EFD" w:rsidP="00F07EFD">
      <w:pPr>
        <w:rPr>
          <w:rFonts w:ascii="Verdana" w:hAnsi="Verdana"/>
          <w:sz w:val="22"/>
          <w:szCs w:val="22"/>
        </w:rPr>
      </w:pPr>
      <w:r w:rsidRPr="000B49E2">
        <w:rPr>
          <w:rFonts w:ascii="Verdana" w:hAnsi="Verdana"/>
          <w:b/>
          <w:bCs/>
          <w:sz w:val="22"/>
          <w:szCs w:val="22"/>
        </w:rPr>
        <w:t>ARTÍCULO CUARTO.</w:t>
      </w:r>
      <w:r w:rsidRPr="00F07EFD">
        <w:rPr>
          <w:rFonts w:ascii="Verdana" w:hAnsi="Verdana"/>
          <w:sz w:val="22"/>
          <w:szCs w:val="22"/>
        </w:rPr>
        <w:t xml:space="preserve"> REGISTRO. La constitución de las Cajas Menores y las operaciones financieras que se deriven de su manejo, deben ser registradas en el Módulo de Gestión Caja Menor del SIIF Nación, previa expedición del </w:t>
      </w:r>
      <w:r w:rsidRPr="00F07EFD">
        <w:rPr>
          <w:rFonts w:ascii="Verdana" w:hAnsi="Verdana"/>
          <w:sz w:val="22"/>
          <w:szCs w:val="22"/>
        </w:rPr>
        <w:lastRenderedPageBreak/>
        <w:t xml:space="preserve">certificado de disponibilidad presupuestal. Esto incluye los procesos relacionados con </w:t>
      </w:r>
      <w:proofErr w:type="gramStart"/>
      <w:r w:rsidRPr="00F07EFD">
        <w:rPr>
          <w:rFonts w:ascii="Verdana" w:hAnsi="Verdana"/>
          <w:sz w:val="22"/>
          <w:szCs w:val="22"/>
        </w:rPr>
        <w:t>la ingresos</w:t>
      </w:r>
      <w:proofErr w:type="gramEnd"/>
      <w:r w:rsidRPr="00F07EFD">
        <w:rPr>
          <w:rFonts w:ascii="Verdana" w:hAnsi="Verdana"/>
          <w:sz w:val="22"/>
          <w:szCs w:val="22"/>
        </w:rPr>
        <w:t xml:space="preserve"> de apertura y reembolso, egresos, pagos, reintegro, solicitudes de reembolso, legalización y cierre presupuestal, una vez sea expedida la resolución de constitución por parte de la Dirección General y la Dirección Regional, según sea el caso.</w:t>
      </w:r>
    </w:p>
    <w:p w14:paraId="0EB35FDA" w14:textId="0AA16ABC" w:rsidR="00F07EFD" w:rsidRPr="00F07EFD" w:rsidRDefault="00F07EFD" w:rsidP="00F07EFD">
      <w:pPr>
        <w:rPr>
          <w:rFonts w:ascii="Verdana" w:hAnsi="Verdana"/>
          <w:sz w:val="22"/>
          <w:szCs w:val="22"/>
        </w:rPr>
      </w:pPr>
      <w:r w:rsidRPr="000B49E2">
        <w:rPr>
          <w:rFonts w:ascii="Verdana" w:hAnsi="Verdana"/>
          <w:b/>
          <w:bCs/>
          <w:sz w:val="22"/>
          <w:szCs w:val="22"/>
        </w:rPr>
        <w:t>PARÁGRAFO</w:t>
      </w:r>
      <w:r w:rsidR="000B49E2" w:rsidRPr="000B49E2">
        <w:rPr>
          <w:rFonts w:ascii="Verdana" w:hAnsi="Verdana"/>
          <w:b/>
          <w:bCs/>
          <w:sz w:val="22"/>
          <w:szCs w:val="22"/>
        </w:rPr>
        <w:t>.</w:t>
      </w:r>
      <w:r w:rsidRPr="00F07EFD">
        <w:rPr>
          <w:rFonts w:ascii="Verdana" w:hAnsi="Verdana"/>
          <w:sz w:val="22"/>
          <w:szCs w:val="22"/>
        </w:rPr>
        <w:t xml:space="preserve"> El registro en el SIIF Nación estará a cargo de los servidores públicos o quién haga sus veces en las Direcciones Regionales y en el Grupo Financiero Sede de la Dirección General a quienes se les ha asignado el perfil de Gestión Presupuesto de Gastos, de Pagador Regional, de Gestión Contable y el Cuentadante, que es designado mediante resolución para el manejo de la caja menor y quién debe estar creado como usuario ante el Ministerio de Hacienda y Crédito Público con el Perfil Gestión Caja Menor.</w:t>
      </w:r>
    </w:p>
    <w:p w14:paraId="0B9F6C89" w14:textId="169FD296" w:rsidR="00F07EFD" w:rsidRPr="00F07EFD" w:rsidRDefault="00F07EFD" w:rsidP="00F07EFD">
      <w:pPr>
        <w:rPr>
          <w:rFonts w:ascii="Verdana" w:hAnsi="Verdana"/>
          <w:sz w:val="22"/>
          <w:szCs w:val="22"/>
        </w:rPr>
      </w:pPr>
      <w:r w:rsidRPr="00474F94">
        <w:rPr>
          <w:rFonts w:ascii="Verdana" w:hAnsi="Verdana"/>
          <w:b/>
          <w:bCs/>
          <w:sz w:val="22"/>
          <w:szCs w:val="22"/>
        </w:rPr>
        <w:t>ARTÍCULO QUINTO.</w:t>
      </w:r>
      <w:r w:rsidRPr="00F07EFD">
        <w:rPr>
          <w:rFonts w:ascii="Verdana" w:hAnsi="Verdana"/>
          <w:sz w:val="22"/>
          <w:szCs w:val="22"/>
        </w:rPr>
        <w:t xml:space="preserve"> </w:t>
      </w:r>
      <w:r w:rsidR="00474F94">
        <w:rPr>
          <w:rFonts w:ascii="Verdana" w:hAnsi="Verdana"/>
          <w:sz w:val="22"/>
          <w:szCs w:val="22"/>
        </w:rPr>
        <w:t>[</w:t>
      </w:r>
      <w:r w:rsidR="00474F94" w:rsidRPr="00F07EFD">
        <w:rPr>
          <w:rFonts w:ascii="Verdana" w:hAnsi="Verdana"/>
          <w:sz w:val="22"/>
          <w:szCs w:val="22"/>
        </w:rPr>
        <w:t>Cuadro modificado por el artículo 1 de la Resolución 4532 de 2016.</w:t>
      </w:r>
      <w:r w:rsidR="00474F94">
        <w:rPr>
          <w:rFonts w:ascii="Verdana" w:hAnsi="Verdana"/>
          <w:sz w:val="22"/>
          <w:szCs w:val="22"/>
        </w:rPr>
        <w:t>]</w:t>
      </w:r>
      <w:r w:rsidR="00474F94">
        <w:rPr>
          <w:rFonts w:ascii="Verdana" w:hAnsi="Verdana"/>
          <w:sz w:val="22"/>
          <w:szCs w:val="22"/>
        </w:rPr>
        <w:t xml:space="preserve"> </w:t>
      </w:r>
      <w:r w:rsidRPr="00F07EFD">
        <w:rPr>
          <w:rFonts w:ascii="Verdana" w:hAnsi="Verdana"/>
          <w:sz w:val="22"/>
          <w:szCs w:val="22"/>
        </w:rPr>
        <w:t>CUANTÍA DE LAS CAJAS MENORES. Las cuantías aprobadas son las siguientes:</w:t>
      </w:r>
    </w:p>
    <w:tbl>
      <w:tblPr>
        <w:tblStyle w:val="Tablaconcuadrcula"/>
        <w:tblW w:w="4950" w:type="pct"/>
        <w:tblLook w:val="04A0" w:firstRow="1" w:lastRow="0" w:firstColumn="1" w:lastColumn="0" w:noHBand="0" w:noVBand="1"/>
      </w:tblPr>
      <w:tblGrid>
        <w:gridCol w:w="786"/>
        <w:gridCol w:w="2797"/>
        <w:gridCol w:w="2797"/>
        <w:gridCol w:w="2360"/>
      </w:tblGrid>
      <w:tr w:rsidR="00085CB5" w:rsidRPr="00085CB5" w14:paraId="59A13FF4" w14:textId="77777777" w:rsidTr="00085CB5">
        <w:tc>
          <w:tcPr>
            <w:tcW w:w="400" w:type="pct"/>
            <w:hideMark/>
          </w:tcPr>
          <w:p w14:paraId="61F20FEB" w14:textId="77777777" w:rsidR="00085CB5" w:rsidRPr="00085CB5" w:rsidRDefault="00085CB5" w:rsidP="00085CB5">
            <w:pPr>
              <w:spacing w:after="160"/>
              <w:rPr>
                <w:rFonts w:ascii="Verdana" w:hAnsi="Verdana"/>
                <w:sz w:val="22"/>
                <w:szCs w:val="22"/>
              </w:rPr>
            </w:pPr>
            <w:r w:rsidRPr="00085CB5">
              <w:rPr>
                <w:rFonts w:ascii="Verdana" w:hAnsi="Verdana"/>
                <w:b/>
                <w:bCs/>
                <w:sz w:val="22"/>
                <w:szCs w:val="22"/>
              </w:rPr>
              <w:t>No.</w:t>
            </w:r>
          </w:p>
        </w:tc>
        <w:tc>
          <w:tcPr>
            <w:tcW w:w="1600" w:type="pct"/>
            <w:hideMark/>
          </w:tcPr>
          <w:p w14:paraId="1E598FC0" w14:textId="77777777" w:rsidR="00085CB5" w:rsidRPr="00085CB5" w:rsidRDefault="00085CB5" w:rsidP="00085CB5">
            <w:pPr>
              <w:spacing w:after="160"/>
              <w:rPr>
                <w:rFonts w:ascii="Verdana" w:hAnsi="Verdana"/>
                <w:sz w:val="22"/>
                <w:szCs w:val="22"/>
              </w:rPr>
            </w:pPr>
            <w:r w:rsidRPr="00085CB5">
              <w:rPr>
                <w:rFonts w:ascii="Verdana" w:hAnsi="Verdana"/>
                <w:b/>
                <w:bCs/>
                <w:sz w:val="22"/>
                <w:szCs w:val="22"/>
              </w:rPr>
              <w:t>REGIONAL</w:t>
            </w:r>
          </w:p>
        </w:tc>
        <w:tc>
          <w:tcPr>
            <w:tcW w:w="1600" w:type="pct"/>
            <w:hideMark/>
          </w:tcPr>
          <w:p w14:paraId="6CEC895F" w14:textId="77777777" w:rsidR="00085CB5" w:rsidRPr="00085CB5" w:rsidRDefault="00085CB5" w:rsidP="00085CB5">
            <w:pPr>
              <w:spacing w:after="160"/>
              <w:rPr>
                <w:rFonts w:ascii="Verdana" w:hAnsi="Verdana"/>
                <w:sz w:val="22"/>
                <w:szCs w:val="22"/>
              </w:rPr>
            </w:pPr>
            <w:r w:rsidRPr="00085CB5">
              <w:rPr>
                <w:rFonts w:ascii="Verdana" w:hAnsi="Verdana"/>
                <w:b/>
                <w:bCs/>
                <w:sz w:val="22"/>
                <w:szCs w:val="22"/>
              </w:rPr>
              <w:t>Dependencia o Centro Zonal</w:t>
            </w:r>
          </w:p>
        </w:tc>
        <w:tc>
          <w:tcPr>
            <w:tcW w:w="1350" w:type="pct"/>
            <w:hideMark/>
          </w:tcPr>
          <w:p w14:paraId="495EEC6F" w14:textId="77777777" w:rsidR="00085CB5" w:rsidRPr="00085CB5" w:rsidRDefault="00085CB5" w:rsidP="00085CB5">
            <w:pPr>
              <w:spacing w:after="160"/>
              <w:rPr>
                <w:rFonts w:ascii="Verdana" w:hAnsi="Verdana"/>
                <w:sz w:val="22"/>
                <w:szCs w:val="22"/>
              </w:rPr>
            </w:pPr>
            <w:r w:rsidRPr="00085CB5">
              <w:rPr>
                <w:rFonts w:ascii="Verdana" w:hAnsi="Verdana"/>
                <w:b/>
                <w:bCs/>
                <w:sz w:val="22"/>
                <w:szCs w:val="22"/>
              </w:rPr>
              <w:t>VALOR AUTORIZADO POR SECRETARÍA GENERAL</w:t>
            </w:r>
          </w:p>
        </w:tc>
      </w:tr>
      <w:tr w:rsidR="00085CB5" w:rsidRPr="00085CB5" w14:paraId="7CF2FA27" w14:textId="77777777" w:rsidTr="00085CB5">
        <w:tc>
          <w:tcPr>
            <w:tcW w:w="400" w:type="pct"/>
            <w:hideMark/>
          </w:tcPr>
          <w:p w14:paraId="1A1F677B" w14:textId="77777777" w:rsidR="00085CB5" w:rsidRPr="00085CB5" w:rsidRDefault="00085CB5" w:rsidP="00085CB5">
            <w:pPr>
              <w:spacing w:after="160"/>
              <w:rPr>
                <w:rFonts w:ascii="Verdana" w:hAnsi="Verdana"/>
                <w:sz w:val="22"/>
                <w:szCs w:val="22"/>
              </w:rPr>
            </w:pPr>
            <w:r w:rsidRPr="00085CB5">
              <w:rPr>
                <w:rFonts w:ascii="Verdana" w:hAnsi="Verdana"/>
                <w:sz w:val="22"/>
                <w:szCs w:val="22"/>
              </w:rPr>
              <w:t>1</w:t>
            </w:r>
          </w:p>
        </w:tc>
        <w:tc>
          <w:tcPr>
            <w:tcW w:w="1600" w:type="pct"/>
            <w:hideMark/>
          </w:tcPr>
          <w:p w14:paraId="41D1AC7B" w14:textId="77777777" w:rsidR="00085CB5" w:rsidRPr="00085CB5" w:rsidRDefault="00085CB5" w:rsidP="00085CB5">
            <w:pPr>
              <w:spacing w:after="160"/>
              <w:rPr>
                <w:rFonts w:ascii="Verdana" w:hAnsi="Verdana"/>
                <w:sz w:val="22"/>
                <w:szCs w:val="22"/>
              </w:rPr>
            </w:pPr>
            <w:r w:rsidRPr="00085CB5">
              <w:rPr>
                <w:rFonts w:ascii="Verdana" w:hAnsi="Verdana"/>
                <w:sz w:val="22"/>
                <w:szCs w:val="22"/>
              </w:rPr>
              <w:t>ANTIOQUIA</w:t>
            </w:r>
          </w:p>
        </w:tc>
        <w:tc>
          <w:tcPr>
            <w:tcW w:w="1600" w:type="pct"/>
            <w:hideMark/>
          </w:tcPr>
          <w:p w14:paraId="23D2B983" w14:textId="77777777" w:rsidR="00085CB5" w:rsidRPr="00085CB5" w:rsidRDefault="00085CB5" w:rsidP="00085CB5">
            <w:pPr>
              <w:spacing w:after="160"/>
              <w:rPr>
                <w:rFonts w:ascii="Verdana" w:hAnsi="Verdana"/>
                <w:sz w:val="22"/>
                <w:szCs w:val="22"/>
              </w:rPr>
            </w:pPr>
            <w:r w:rsidRPr="00085CB5">
              <w:rPr>
                <w:rFonts w:ascii="Verdana" w:hAnsi="Verdana"/>
                <w:sz w:val="22"/>
                <w:szCs w:val="22"/>
              </w:rPr>
              <w:t>Dirección Regional</w:t>
            </w:r>
          </w:p>
        </w:tc>
        <w:tc>
          <w:tcPr>
            <w:tcW w:w="1350" w:type="pct"/>
            <w:hideMark/>
          </w:tcPr>
          <w:p w14:paraId="66238D5C"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$ 2.637.000,00</w:t>
            </w:r>
          </w:p>
        </w:tc>
      </w:tr>
      <w:tr w:rsidR="00085CB5" w:rsidRPr="00085CB5" w14:paraId="0E0F2C85" w14:textId="77777777" w:rsidTr="00085CB5">
        <w:tc>
          <w:tcPr>
            <w:tcW w:w="2000" w:type="pct"/>
            <w:gridSpan w:val="2"/>
            <w:hideMark/>
          </w:tcPr>
          <w:p w14:paraId="1073B46A" w14:textId="77777777" w:rsidR="00085CB5" w:rsidRPr="00085CB5" w:rsidRDefault="00085CB5" w:rsidP="00085CB5">
            <w:pPr>
              <w:spacing w:after="160"/>
              <w:rPr>
                <w:rFonts w:ascii="Verdana" w:hAnsi="Verdana"/>
                <w:sz w:val="22"/>
                <w:szCs w:val="22"/>
              </w:rPr>
            </w:pPr>
            <w:proofErr w:type="gramStart"/>
            <w:r w:rsidRPr="00085CB5">
              <w:rPr>
                <w:rFonts w:ascii="Verdana" w:hAnsi="Verdana"/>
                <w:sz w:val="22"/>
                <w:szCs w:val="22"/>
              </w:rPr>
              <w:t>Total</w:t>
            </w:r>
            <w:proofErr w:type="gramEnd"/>
            <w:r w:rsidRPr="00085CB5">
              <w:rPr>
                <w:rFonts w:ascii="Verdana" w:hAnsi="Verdana"/>
                <w:sz w:val="22"/>
                <w:szCs w:val="22"/>
              </w:rPr>
              <w:t xml:space="preserve"> Antioquia</w:t>
            </w:r>
          </w:p>
        </w:tc>
        <w:tc>
          <w:tcPr>
            <w:tcW w:w="1600" w:type="pct"/>
            <w:hideMark/>
          </w:tcPr>
          <w:p w14:paraId="41DCFEEE" w14:textId="77777777" w:rsidR="00085CB5" w:rsidRPr="00085CB5" w:rsidRDefault="00085CB5" w:rsidP="00085CB5">
            <w:pPr>
              <w:spacing w:after="160"/>
              <w:rPr>
                <w:rFonts w:ascii="Verdana" w:hAnsi="Verdana"/>
                <w:sz w:val="22"/>
                <w:szCs w:val="22"/>
              </w:rPr>
            </w:pPr>
            <w:r w:rsidRPr="00085CB5">
              <w:rPr>
                <w:rFonts w:ascii="Verdana" w:hAnsi="Verdana"/>
                <w:sz w:val="22"/>
                <w:szCs w:val="22"/>
              </w:rPr>
              <w:t>1</w:t>
            </w:r>
          </w:p>
        </w:tc>
        <w:tc>
          <w:tcPr>
            <w:tcW w:w="1350" w:type="pct"/>
            <w:hideMark/>
          </w:tcPr>
          <w:p w14:paraId="562CC1AF" w14:textId="77777777" w:rsidR="00085CB5" w:rsidRPr="00085CB5" w:rsidRDefault="00085CB5" w:rsidP="00085CB5">
            <w:pPr>
              <w:spacing w:after="160"/>
              <w:rPr>
                <w:rFonts w:ascii="Verdana" w:hAnsi="Verdana"/>
                <w:sz w:val="22"/>
                <w:szCs w:val="22"/>
              </w:rPr>
            </w:pPr>
            <w:r w:rsidRPr="00085CB5">
              <w:rPr>
                <w:rFonts w:ascii="Verdana" w:hAnsi="Verdana"/>
                <w:sz w:val="22"/>
                <w:szCs w:val="22"/>
              </w:rPr>
              <w:t>$</w:t>
            </w:r>
            <w:r w:rsidRPr="00085CB5">
              <w:rPr>
                <w:rFonts w:ascii="Verdana" w:hAnsi="Verdana"/>
                <w:sz w:val="22"/>
                <w:szCs w:val="22"/>
                <w:u w:val="single"/>
              </w:rPr>
              <w:t> 2.637.000.00</w:t>
            </w:r>
          </w:p>
        </w:tc>
      </w:tr>
      <w:tr w:rsidR="00085CB5" w:rsidRPr="00085CB5" w14:paraId="148671E5" w14:textId="77777777" w:rsidTr="00085CB5">
        <w:tc>
          <w:tcPr>
            <w:tcW w:w="400" w:type="pct"/>
            <w:hideMark/>
          </w:tcPr>
          <w:p w14:paraId="772BAAE7" w14:textId="77777777" w:rsidR="00085CB5" w:rsidRPr="00085CB5" w:rsidRDefault="00085CB5" w:rsidP="00085CB5">
            <w:pPr>
              <w:spacing w:after="160"/>
              <w:rPr>
                <w:rFonts w:ascii="Verdana" w:hAnsi="Verdana"/>
                <w:sz w:val="22"/>
                <w:szCs w:val="22"/>
              </w:rPr>
            </w:pPr>
            <w:r w:rsidRPr="00085CB5">
              <w:rPr>
                <w:rFonts w:ascii="Verdana" w:hAnsi="Verdana"/>
                <w:sz w:val="22"/>
                <w:szCs w:val="22"/>
              </w:rPr>
              <w:t>2</w:t>
            </w:r>
          </w:p>
        </w:tc>
        <w:tc>
          <w:tcPr>
            <w:tcW w:w="1600" w:type="pct"/>
            <w:hideMark/>
          </w:tcPr>
          <w:p w14:paraId="61484FC9" w14:textId="77777777" w:rsidR="00085CB5" w:rsidRPr="00085CB5" w:rsidRDefault="00085CB5" w:rsidP="00085CB5">
            <w:pPr>
              <w:spacing w:after="160"/>
              <w:rPr>
                <w:rFonts w:ascii="Verdana" w:hAnsi="Verdana"/>
                <w:sz w:val="22"/>
                <w:szCs w:val="22"/>
              </w:rPr>
            </w:pPr>
            <w:r w:rsidRPr="00085CB5">
              <w:rPr>
                <w:rFonts w:ascii="Verdana" w:hAnsi="Verdana"/>
                <w:sz w:val="22"/>
                <w:szCs w:val="22"/>
              </w:rPr>
              <w:t>ATLANTICO</w:t>
            </w:r>
          </w:p>
        </w:tc>
        <w:tc>
          <w:tcPr>
            <w:tcW w:w="1600" w:type="pct"/>
            <w:hideMark/>
          </w:tcPr>
          <w:p w14:paraId="2E29B334" w14:textId="77777777" w:rsidR="00085CB5" w:rsidRPr="00085CB5" w:rsidRDefault="00085CB5" w:rsidP="00085CB5">
            <w:pPr>
              <w:spacing w:after="160"/>
              <w:rPr>
                <w:rFonts w:ascii="Verdana" w:hAnsi="Verdana"/>
                <w:sz w:val="22"/>
                <w:szCs w:val="22"/>
              </w:rPr>
            </w:pPr>
            <w:r w:rsidRPr="00085CB5">
              <w:rPr>
                <w:rFonts w:ascii="Verdana" w:hAnsi="Verdana"/>
                <w:sz w:val="22"/>
                <w:szCs w:val="22"/>
              </w:rPr>
              <w:t>Grupo Jurídico</w:t>
            </w:r>
          </w:p>
        </w:tc>
        <w:tc>
          <w:tcPr>
            <w:tcW w:w="1350" w:type="pct"/>
            <w:hideMark/>
          </w:tcPr>
          <w:p w14:paraId="10CC9BEC"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$ 5.234.000,00</w:t>
            </w:r>
          </w:p>
        </w:tc>
      </w:tr>
      <w:tr w:rsidR="00085CB5" w:rsidRPr="00085CB5" w14:paraId="40C51FDE" w14:textId="77777777" w:rsidTr="00085CB5">
        <w:tc>
          <w:tcPr>
            <w:tcW w:w="2000" w:type="pct"/>
            <w:gridSpan w:val="2"/>
            <w:hideMark/>
          </w:tcPr>
          <w:p w14:paraId="04CC2AC6" w14:textId="77777777" w:rsidR="00085CB5" w:rsidRPr="00085CB5" w:rsidRDefault="00085CB5" w:rsidP="00085CB5">
            <w:pPr>
              <w:spacing w:after="160"/>
              <w:rPr>
                <w:rFonts w:ascii="Verdana" w:hAnsi="Verdana"/>
                <w:sz w:val="22"/>
                <w:szCs w:val="22"/>
              </w:rPr>
            </w:pPr>
            <w:proofErr w:type="gramStart"/>
            <w:r w:rsidRPr="00085CB5">
              <w:rPr>
                <w:rFonts w:ascii="Verdana" w:hAnsi="Verdana"/>
                <w:sz w:val="22"/>
                <w:szCs w:val="22"/>
              </w:rPr>
              <w:t>Total</w:t>
            </w:r>
            <w:proofErr w:type="gramEnd"/>
            <w:r w:rsidRPr="00085CB5">
              <w:rPr>
                <w:rFonts w:ascii="Verdana" w:hAnsi="Verdana"/>
                <w:sz w:val="22"/>
                <w:szCs w:val="22"/>
              </w:rPr>
              <w:t xml:space="preserve"> Atlántico</w:t>
            </w:r>
          </w:p>
        </w:tc>
        <w:tc>
          <w:tcPr>
            <w:tcW w:w="1600" w:type="pct"/>
            <w:hideMark/>
          </w:tcPr>
          <w:p w14:paraId="27919378" w14:textId="77777777" w:rsidR="00085CB5" w:rsidRPr="00085CB5" w:rsidRDefault="00085CB5" w:rsidP="00085CB5">
            <w:pPr>
              <w:spacing w:after="160"/>
              <w:rPr>
                <w:rFonts w:ascii="Verdana" w:hAnsi="Verdana"/>
                <w:sz w:val="22"/>
                <w:szCs w:val="22"/>
              </w:rPr>
            </w:pPr>
            <w:r w:rsidRPr="00085CB5">
              <w:rPr>
                <w:rFonts w:ascii="Verdana" w:hAnsi="Verdana"/>
                <w:sz w:val="22"/>
                <w:szCs w:val="22"/>
              </w:rPr>
              <w:t>1</w:t>
            </w:r>
          </w:p>
        </w:tc>
        <w:tc>
          <w:tcPr>
            <w:tcW w:w="1350" w:type="pct"/>
            <w:hideMark/>
          </w:tcPr>
          <w:p w14:paraId="16D33C83" w14:textId="77777777" w:rsidR="00085CB5" w:rsidRPr="00085CB5" w:rsidRDefault="00085CB5" w:rsidP="00085CB5">
            <w:pPr>
              <w:spacing w:after="160"/>
              <w:rPr>
                <w:rFonts w:ascii="Verdana" w:hAnsi="Verdana"/>
                <w:sz w:val="22"/>
                <w:szCs w:val="22"/>
              </w:rPr>
            </w:pPr>
            <w:r w:rsidRPr="00085CB5">
              <w:rPr>
                <w:rFonts w:ascii="Verdana" w:hAnsi="Verdana"/>
                <w:sz w:val="22"/>
                <w:szCs w:val="22"/>
              </w:rPr>
              <w:t>$</w:t>
            </w:r>
            <w:r w:rsidRPr="00085CB5">
              <w:rPr>
                <w:rFonts w:ascii="Verdana" w:hAnsi="Verdana"/>
                <w:sz w:val="22"/>
                <w:szCs w:val="22"/>
                <w:u w:val="single"/>
              </w:rPr>
              <w:t> 5 234 000.00</w:t>
            </w:r>
          </w:p>
        </w:tc>
      </w:tr>
      <w:tr w:rsidR="00085CB5" w:rsidRPr="00085CB5" w14:paraId="5C4DDF50" w14:textId="77777777" w:rsidTr="00085CB5">
        <w:tc>
          <w:tcPr>
            <w:tcW w:w="450" w:type="pct"/>
            <w:hideMark/>
          </w:tcPr>
          <w:p w14:paraId="65645CEA" w14:textId="77777777" w:rsidR="00085CB5" w:rsidRPr="00085CB5" w:rsidRDefault="00085CB5" w:rsidP="00085CB5">
            <w:pPr>
              <w:spacing w:after="160"/>
              <w:rPr>
                <w:rFonts w:ascii="Verdana" w:hAnsi="Verdana"/>
                <w:sz w:val="22"/>
                <w:szCs w:val="22"/>
              </w:rPr>
            </w:pPr>
            <w:r w:rsidRPr="00085CB5">
              <w:rPr>
                <w:rFonts w:ascii="Verdana" w:hAnsi="Verdana"/>
                <w:sz w:val="22"/>
                <w:szCs w:val="22"/>
              </w:rPr>
              <w:t>3</w:t>
            </w:r>
          </w:p>
        </w:tc>
        <w:tc>
          <w:tcPr>
            <w:tcW w:w="1600" w:type="pct"/>
            <w:hideMark/>
          </w:tcPr>
          <w:p w14:paraId="564D71F8" w14:textId="77777777" w:rsidR="00085CB5" w:rsidRPr="00085CB5" w:rsidRDefault="00085CB5" w:rsidP="00085CB5">
            <w:pPr>
              <w:spacing w:after="160"/>
              <w:rPr>
                <w:rFonts w:ascii="Verdana" w:hAnsi="Verdana"/>
                <w:sz w:val="22"/>
                <w:szCs w:val="22"/>
              </w:rPr>
            </w:pPr>
            <w:r w:rsidRPr="00085CB5">
              <w:rPr>
                <w:rFonts w:ascii="Verdana" w:hAnsi="Verdana"/>
                <w:sz w:val="22"/>
                <w:szCs w:val="22"/>
              </w:rPr>
              <w:t>BOGOTA</w:t>
            </w:r>
          </w:p>
        </w:tc>
        <w:tc>
          <w:tcPr>
            <w:tcW w:w="1600" w:type="pct"/>
            <w:hideMark/>
          </w:tcPr>
          <w:p w14:paraId="741A25AF" w14:textId="77777777" w:rsidR="00085CB5" w:rsidRPr="00085CB5" w:rsidRDefault="00085CB5" w:rsidP="00085CB5">
            <w:pPr>
              <w:spacing w:after="160"/>
              <w:rPr>
                <w:rFonts w:ascii="Verdana" w:hAnsi="Verdana"/>
                <w:sz w:val="22"/>
                <w:szCs w:val="22"/>
              </w:rPr>
            </w:pPr>
            <w:r w:rsidRPr="00085CB5">
              <w:rPr>
                <w:rFonts w:ascii="Verdana" w:hAnsi="Verdana"/>
                <w:sz w:val="22"/>
                <w:szCs w:val="22"/>
              </w:rPr>
              <w:t>Dirección Regional</w:t>
            </w:r>
          </w:p>
        </w:tc>
        <w:tc>
          <w:tcPr>
            <w:tcW w:w="1350" w:type="pct"/>
            <w:hideMark/>
          </w:tcPr>
          <w:p w14:paraId="2A24AEAD"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$ 2.017.000,00</w:t>
            </w:r>
          </w:p>
        </w:tc>
      </w:tr>
      <w:tr w:rsidR="00085CB5" w:rsidRPr="00085CB5" w14:paraId="2A29B09E" w14:textId="77777777" w:rsidTr="00085CB5">
        <w:tc>
          <w:tcPr>
            <w:tcW w:w="450" w:type="pct"/>
            <w:hideMark/>
          </w:tcPr>
          <w:p w14:paraId="327CF04E" w14:textId="77777777" w:rsidR="00085CB5" w:rsidRPr="00085CB5" w:rsidRDefault="00085CB5" w:rsidP="00085CB5">
            <w:pPr>
              <w:spacing w:after="160"/>
              <w:rPr>
                <w:rFonts w:ascii="Verdana" w:hAnsi="Verdana"/>
                <w:sz w:val="22"/>
                <w:szCs w:val="22"/>
              </w:rPr>
            </w:pPr>
            <w:r w:rsidRPr="00085CB5">
              <w:rPr>
                <w:rFonts w:ascii="Verdana" w:hAnsi="Verdana"/>
                <w:sz w:val="22"/>
                <w:szCs w:val="22"/>
              </w:rPr>
              <w:t>4</w:t>
            </w:r>
          </w:p>
        </w:tc>
        <w:tc>
          <w:tcPr>
            <w:tcW w:w="1600" w:type="pct"/>
            <w:hideMark/>
          </w:tcPr>
          <w:p w14:paraId="7E1BBDEB" w14:textId="77777777" w:rsidR="00085CB5" w:rsidRPr="00085CB5" w:rsidRDefault="00085CB5" w:rsidP="00085CB5">
            <w:pPr>
              <w:spacing w:after="160"/>
              <w:rPr>
                <w:rFonts w:ascii="Verdana" w:hAnsi="Verdana"/>
                <w:sz w:val="22"/>
                <w:szCs w:val="22"/>
              </w:rPr>
            </w:pPr>
            <w:r w:rsidRPr="00085CB5">
              <w:rPr>
                <w:rFonts w:ascii="Verdana" w:hAnsi="Verdana"/>
                <w:sz w:val="22"/>
                <w:szCs w:val="22"/>
              </w:rPr>
              <w:t>BOGOTA</w:t>
            </w:r>
          </w:p>
        </w:tc>
        <w:tc>
          <w:tcPr>
            <w:tcW w:w="1600" w:type="pct"/>
            <w:hideMark/>
          </w:tcPr>
          <w:p w14:paraId="0951DB8F" w14:textId="77777777" w:rsidR="00085CB5" w:rsidRPr="00085CB5" w:rsidRDefault="00085CB5" w:rsidP="00085CB5">
            <w:pPr>
              <w:spacing w:after="160"/>
              <w:rPr>
                <w:rFonts w:ascii="Verdana" w:hAnsi="Verdana"/>
                <w:sz w:val="22"/>
                <w:szCs w:val="22"/>
              </w:rPr>
            </w:pPr>
            <w:r w:rsidRPr="00085CB5">
              <w:rPr>
                <w:rFonts w:ascii="Verdana" w:hAnsi="Verdana"/>
                <w:sz w:val="22"/>
                <w:szCs w:val="22"/>
              </w:rPr>
              <w:t>Grupo Protección</w:t>
            </w:r>
          </w:p>
        </w:tc>
        <w:tc>
          <w:tcPr>
            <w:tcW w:w="1350" w:type="pct"/>
            <w:hideMark/>
          </w:tcPr>
          <w:p w14:paraId="2460A1BE"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$ 2.017.000,00</w:t>
            </w:r>
          </w:p>
        </w:tc>
      </w:tr>
      <w:tr w:rsidR="00085CB5" w:rsidRPr="00085CB5" w14:paraId="353A1C41" w14:textId="77777777" w:rsidTr="00085CB5">
        <w:tc>
          <w:tcPr>
            <w:tcW w:w="2000" w:type="pct"/>
            <w:gridSpan w:val="2"/>
            <w:hideMark/>
          </w:tcPr>
          <w:p w14:paraId="1C6978E3" w14:textId="77777777" w:rsidR="00085CB5" w:rsidRPr="00085CB5" w:rsidRDefault="00085CB5" w:rsidP="00085CB5">
            <w:pPr>
              <w:spacing w:after="160"/>
              <w:rPr>
                <w:rFonts w:ascii="Verdana" w:hAnsi="Verdana"/>
                <w:sz w:val="22"/>
                <w:szCs w:val="22"/>
              </w:rPr>
            </w:pPr>
            <w:proofErr w:type="gramStart"/>
            <w:r w:rsidRPr="00085CB5">
              <w:rPr>
                <w:rFonts w:ascii="Verdana" w:hAnsi="Verdana"/>
                <w:sz w:val="22"/>
                <w:szCs w:val="22"/>
              </w:rPr>
              <w:t>Total</w:t>
            </w:r>
            <w:proofErr w:type="gramEnd"/>
            <w:r w:rsidRPr="00085CB5">
              <w:rPr>
                <w:rFonts w:ascii="Verdana" w:hAnsi="Verdana"/>
                <w:sz w:val="22"/>
                <w:szCs w:val="22"/>
              </w:rPr>
              <w:t xml:space="preserve"> Bogotá</w:t>
            </w:r>
          </w:p>
        </w:tc>
        <w:tc>
          <w:tcPr>
            <w:tcW w:w="1600" w:type="pct"/>
            <w:hideMark/>
          </w:tcPr>
          <w:p w14:paraId="154F6DFD" w14:textId="77777777" w:rsidR="00085CB5" w:rsidRPr="00085CB5" w:rsidRDefault="00085CB5" w:rsidP="00085CB5">
            <w:pPr>
              <w:spacing w:after="160"/>
              <w:rPr>
                <w:rFonts w:ascii="Verdana" w:hAnsi="Verdana"/>
                <w:sz w:val="22"/>
                <w:szCs w:val="22"/>
              </w:rPr>
            </w:pPr>
            <w:r w:rsidRPr="00085CB5">
              <w:rPr>
                <w:rFonts w:ascii="Verdana" w:hAnsi="Verdana"/>
                <w:sz w:val="22"/>
                <w:szCs w:val="22"/>
              </w:rPr>
              <w:t>2</w:t>
            </w:r>
          </w:p>
        </w:tc>
        <w:tc>
          <w:tcPr>
            <w:tcW w:w="1350" w:type="pct"/>
            <w:hideMark/>
          </w:tcPr>
          <w:p w14:paraId="233B4E5D" w14:textId="77777777" w:rsidR="00085CB5" w:rsidRPr="00085CB5" w:rsidRDefault="00085CB5" w:rsidP="00085CB5">
            <w:pPr>
              <w:spacing w:after="160"/>
              <w:rPr>
                <w:rFonts w:ascii="Verdana" w:hAnsi="Verdana"/>
                <w:sz w:val="22"/>
                <w:szCs w:val="22"/>
              </w:rPr>
            </w:pPr>
            <w:r w:rsidRPr="00085CB5">
              <w:rPr>
                <w:rFonts w:ascii="Verdana" w:hAnsi="Verdana"/>
                <w:sz w:val="22"/>
                <w:szCs w:val="22"/>
              </w:rPr>
              <w:t>$</w:t>
            </w:r>
            <w:r w:rsidRPr="00085CB5">
              <w:rPr>
                <w:rFonts w:ascii="Verdana" w:hAnsi="Verdana"/>
                <w:sz w:val="22"/>
                <w:szCs w:val="22"/>
                <w:u w:val="single"/>
              </w:rPr>
              <w:t> 4.034.000.00</w:t>
            </w:r>
          </w:p>
        </w:tc>
      </w:tr>
      <w:tr w:rsidR="00085CB5" w:rsidRPr="00085CB5" w14:paraId="382AF957" w14:textId="77777777" w:rsidTr="00085CB5">
        <w:tc>
          <w:tcPr>
            <w:tcW w:w="450" w:type="pct"/>
            <w:hideMark/>
          </w:tcPr>
          <w:p w14:paraId="115AB49F" w14:textId="77777777" w:rsidR="00085CB5" w:rsidRPr="00085CB5" w:rsidRDefault="00085CB5" w:rsidP="00085CB5">
            <w:pPr>
              <w:spacing w:after="160"/>
              <w:rPr>
                <w:rFonts w:ascii="Verdana" w:hAnsi="Verdana"/>
                <w:sz w:val="22"/>
                <w:szCs w:val="22"/>
              </w:rPr>
            </w:pPr>
            <w:r w:rsidRPr="00085CB5">
              <w:rPr>
                <w:rFonts w:ascii="Verdana" w:hAnsi="Verdana"/>
                <w:sz w:val="22"/>
                <w:szCs w:val="22"/>
              </w:rPr>
              <w:t>5</w:t>
            </w:r>
          </w:p>
        </w:tc>
        <w:tc>
          <w:tcPr>
            <w:tcW w:w="1600" w:type="pct"/>
            <w:hideMark/>
          </w:tcPr>
          <w:p w14:paraId="5FCFE46B" w14:textId="77777777" w:rsidR="00085CB5" w:rsidRPr="00085CB5" w:rsidRDefault="00085CB5" w:rsidP="00085CB5">
            <w:pPr>
              <w:spacing w:after="160"/>
              <w:rPr>
                <w:rFonts w:ascii="Verdana" w:hAnsi="Verdana"/>
                <w:sz w:val="22"/>
                <w:szCs w:val="22"/>
              </w:rPr>
            </w:pPr>
            <w:r w:rsidRPr="00085CB5">
              <w:rPr>
                <w:rFonts w:ascii="Verdana" w:hAnsi="Verdana"/>
                <w:sz w:val="22"/>
                <w:szCs w:val="22"/>
              </w:rPr>
              <w:t>BOLIVAR</w:t>
            </w:r>
          </w:p>
        </w:tc>
        <w:tc>
          <w:tcPr>
            <w:tcW w:w="1600" w:type="pct"/>
            <w:hideMark/>
          </w:tcPr>
          <w:p w14:paraId="457AC09A" w14:textId="77777777" w:rsidR="00085CB5" w:rsidRPr="00085CB5" w:rsidRDefault="00085CB5" w:rsidP="00085CB5">
            <w:pPr>
              <w:spacing w:after="160"/>
              <w:rPr>
                <w:rFonts w:ascii="Verdana" w:hAnsi="Verdana"/>
                <w:sz w:val="22"/>
                <w:szCs w:val="22"/>
              </w:rPr>
            </w:pPr>
            <w:r w:rsidRPr="00085CB5">
              <w:rPr>
                <w:rFonts w:ascii="Verdana" w:hAnsi="Verdana"/>
                <w:sz w:val="22"/>
                <w:szCs w:val="22"/>
              </w:rPr>
              <w:t>Grupo Jurídico</w:t>
            </w:r>
          </w:p>
        </w:tc>
        <w:tc>
          <w:tcPr>
            <w:tcW w:w="1350" w:type="pct"/>
            <w:hideMark/>
          </w:tcPr>
          <w:p w14:paraId="113BA4B9"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$ 1.009.000.00</w:t>
            </w:r>
          </w:p>
        </w:tc>
      </w:tr>
      <w:tr w:rsidR="00085CB5" w:rsidRPr="00085CB5" w14:paraId="1483D469" w14:textId="77777777" w:rsidTr="00085CB5">
        <w:tc>
          <w:tcPr>
            <w:tcW w:w="2000" w:type="pct"/>
            <w:gridSpan w:val="2"/>
            <w:hideMark/>
          </w:tcPr>
          <w:p w14:paraId="63AC57EB" w14:textId="77777777" w:rsidR="00085CB5" w:rsidRPr="00085CB5" w:rsidRDefault="00085CB5" w:rsidP="00085CB5">
            <w:pPr>
              <w:spacing w:after="160"/>
              <w:rPr>
                <w:rFonts w:ascii="Verdana" w:hAnsi="Verdana"/>
                <w:sz w:val="22"/>
                <w:szCs w:val="22"/>
              </w:rPr>
            </w:pPr>
            <w:proofErr w:type="gramStart"/>
            <w:r w:rsidRPr="00085CB5">
              <w:rPr>
                <w:rFonts w:ascii="Verdana" w:hAnsi="Verdana"/>
                <w:sz w:val="22"/>
                <w:szCs w:val="22"/>
              </w:rPr>
              <w:t>Total</w:t>
            </w:r>
            <w:proofErr w:type="gramEnd"/>
            <w:r w:rsidRPr="00085CB5">
              <w:rPr>
                <w:rFonts w:ascii="Verdana" w:hAnsi="Verdana"/>
                <w:sz w:val="22"/>
                <w:szCs w:val="22"/>
              </w:rPr>
              <w:t xml:space="preserve"> Bolívar</w:t>
            </w:r>
          </w:p>
        </w:tc>
        <w:tc>
          <w:tcPr>
            <w:tcW w:w="1600" w:type="pct"/>
            <w:hideMark/>
          </w:tcPr>
          <w:p w14:paraId="65B5BFFD" w14:textId="77777777" w:rsidR="00085CB5" w:rsidRPr="00085CB5" w:rsidRDefault="00085CB5" w:rsidP="00085CB5">
            <w:pPr>
              <w:spacing w:after="160"/>
              <w:rPr>
                <w:rFonts w:ascii="Verdana" w:hAnsi="Verdana"/>
                <w:sz w:val="22"/>
                <w:szCs w:val="22"/>
              </w:rPr>
            </w:pPr>
            <w:r w:rsidRPr="00085CB5">
              <w:rPr>
                <w:rFonts w:ascii="Verdana" w:hAnsi="Verdana"/>
                <w:sz w:val="22"/>
                <w:szCs w:val="22"/>
              </w:rPr>
              <w:t>1</w:t>
            </w:r>
          </w:p>
        </w:tc>
        <w:tc>
          <w:tcPr>
            <w:tcW w:w="1350" w:type="pct"/>
            <w:hideMark/>
          </w:tcPr>
          <w:p w14:paraId="08934327" w14:textId="77777777" w:rsidR="00085CB5" w:rsidRPr="00085CB5" w:rsidRDefault="00085CB5" w:rsidP="00085CB5">
            <w:pPr>
              <w:spacing w:after="160"/>
              <w:rPr>
                <w:rFonts w:ascii="Verdana" w:hAnsi="Verdana"/>
                <w:sz w:val="22"/>
                <w:szCs w:val="22"/>
              </w:rPr>
            </w:pPr>
            <w:r w:rsidRPr="00085CB5">
              <w:rPr>
                <w:rFonts w:ascii="Verdana" w:hAnsi="Verdana"/>
                <w:sz w:val="22"/>
                <w:szCs w:val="22"/>
              </w:rPr>
              <w:t>$</w:t>
            </w:r>
            <w:r w:rsidRPr="00085CB5">
              <w:rPr>
                <w:rFonts w:ascii="Verdana" w:hAnsi="Verdana"/>
                <w:sz w:val="22"/>
                <w:szCs w:val="22"/>
                <w:u w:val="single"/>
              </w:rPr>
              <w:t> 1.009.000.00</w:t>
            </w:r>
          </w:p>
        </w:tc>
      </w:tr>
      <w:tr w:rsidR="00085CB5" w:rsidRPr="00085CB5" w14:paraId="6B264B88" w14:textId="77777777" w:rsidTr="00085CB5">
        <w:tc>
          <w:tcPr>
            <w:tcW w:w="450" w:type="pct"/>
            <w:hideMark/>
          </w:tcPr>
          <w:p w14:paraId="20787E30" w14:textId="77777777" w:rsidR="00085CB5" w:rsidRPr="00085CB5" w:rsidRDefault="00085CB5" w:rsidP="00085CB5">
            <w:pPr>
              <w:spacing w:after="160"/>
              <w:rPr>
                <w:rFonts w:ascii="Verdana" w:hAnsi="Verdana"/>
                <w:sz w:val="22"/>
                <w:szCs w:val="22"/>
              </w:rPr>
            </w:pPr>
            <w:r w:rsidRPr="00085CB5">
              <w:rPr>
                <w:rFonts w:ascii="Verdana" w:hAnsi="Verdana"/>
                <w:sz w:val="22"/>
                <w:szCs w:val="22"/>
              </w:rPr>
              <w:t>6</w:t>
            </w:r>
          </w:p>
        </w:tc>
        <w:tc>
          <w:tcPr>
            <w:tcW w:w="1600" w:type="pct"/>
            <w:hideMark/>
          </w:tcPr>
          <w:p w14:paraId="498DBA33" w14:textId="77777777" w:rsidR="00085CB5" w:rsidRPr="00085CB5" w:rsidRDefault="00085CB5" w:rsidP="00085CB5">
            <w:pPr>
              <w:spacing w:after="160"/>
              <w:rPr>
                <w:rFonts w:ascii="Verdana" w:hAnsi="Verdana"/>
                <w:sz w:val="22"/>
                <w:szCs w:val="22"/>
              </w:rPr>
            </w:pPr>
            <w:r w:rsidRPr="00085CB5">
              <w:rPr>
                <w:rFonts w:ascii="Verdana" w:hAnsi="Verdana"/>
                <w:sz w:val="22"/>
                <w:szCs w:val="22"/>
              </w:rPr>
              <w:t>BOYACA</w:t>
            </w:r>
          </w:p>
        </w:tc>
        <w:tc>
          <w:tcPr>
            <w:tcW w:w="1600" w:type="pct"/>
            <w:hideMark/>
          </w:tcPr>
          <w:p w14:paraId="5D2D0A4C" w14:textId="77777777" w:rsidR="00085CB5" w:rsidRPr="00085CB5" w:rsidRDefault="00085CB5" w:rsidP="00085CB5">
            <w:pPr>
              <w:spacing w:after="160"/>
              <w:rPr>
                <w:rFonts w:ascii="Verdana" w:hAnsi="Verdana"/>
                <w:sz w:val="22"/>
                <w:szCs w:val="22"/>
              </w:rPr>
            </w:pPr>
            <w:r w:rsidRPr="00085CB5">
              <w:rPr>
                <w:rFonts w:ascii="Verdana" w:hAnsi="Verdana"/>
                <w:sz w:val="22"/>
                <w:szCs w:val="22"/>
              </w:rPr>
              <w:t>Dirección Regional</w:t>
            </w:r>
          </w:p>
        </w:tc>
        <w:tc>
          <w:tcPr>
            <w:tcW w:w="1350" w:type="pct"/>
            <w:hideMark/>
          </w:tcPr>
          <w:p w14:paraId="23F0E24C"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$ 5.287.000,00</w:t>
            </w:r>
          </w:p>
        </w:tc>
      </w:tr>
      <w:tr w:rsidR="00085CB5" w:rsidRPr="00085CB5" w14:paraId="48119ECE" w14:textId="77777777" w:rsidTr="00085CB5">
        <w:tc>
          <w:tcPr>
            <w:tcW w:w="2000" w:type="pct"/>
            <w:gridSpan w:val="2"/>
            <w:hideMark/>
          </w:tcPr>
          <w:p w14:paraId="372C9D03" w14:textId="77777777" w:rsidR="00085CB5" w:rsidRPr="00085CB5" w:rsidRDefault="00085CB5" w:rsidP="00085CB5">
            <w:pPr>
              <w:spacing w:after="160"/>
              <w:rPr>
                <w:rFonts w:ascii="Verdana" w:hAnsi="Verdana"/>
                <w:sz w:val="22"/>
                <w:szCs w:val="22"/>
              </w:rPr>
            </w:pPr>
            <w:proofErr w:type="gramStart"/>
            <w:r w:rsidRPr="00085CB5">
              <w:rPr>
                <w:rFonts w:ascii="Verdana" w:hAnsi="Verdana"/>
                <w:sz w:val="22"/>
                <w:szCs w:val="22"/>
              </w:rPr>
              <w:t>Total</w:t>
            </w:r>
            <w:proofErr w:type="gramEnd"/>
            <w:r w:rsidRPr="00085CB5">
              <w:rPr>
                <w:rFonts w:ascii="Verdana" w:hAnsi="Verdana"/>
                <w:sz w:val="22"/>
                <w:szCs w:val="22"/>
              </w:rPr>
              <w:t xml:space="preserve"> Boyacá</w:t>
            </w:r>
          </w:p>
        </w:tc>
        <w:tc>
          <w:tcPr>
            <w:tcW w:w="1600" w:type="pct"/>
            <w:hideMark/>
          </w:tcPr>
          <w:p w14:paraId="459058A0" w14:textId="77777777" w:rsidR="00085CB5" w:rsidRPr="00085CB5" w:rsidRDefault="00085CB5" w:rsidP="00085CB5">
            <w:pPr>
              <w:spacing w:after="160"/>
              <w:rPr>
                <w:rFonts w:ascii="Verdana" w:hAnsi="Verdana"/>
                <w:sz w:val="22"/>
                <w:szCs w:val="22"/>
              </w:rPr>
            </w:pPr>
            <w:r w:rsidRPr="00085CB5">
              <w:rPr>
                <w:rFonts w:ascii="Verdana" w:hAnsi="Verdana"/>
                <w:sz w:val="22"/>
                <w:szCs w:val="22"/>
              </w:rPr>
              <w:t>1</w:t>
            </w:r>
          </w:p>
        </w:tc>
        <w:tc>
          <w:tcPr>
            <w:tcW w:w="1350" w:type="pct"/>
            <w:hideMark/>
          </w:tcPr>
          <w:p w14:paraId="4DA4D87A" w14:textId="77777777" w:rsidR="00085CB5" w:rsidRPr="00085CB5" w:rsidRDefault="00085CB5" w:rsidP="00085CB5">
            <w:pPr>
              <w:spacing w:after="160"/>
              <w:rPr>
                <w:rFonts w:ascii="Verdana" w:hAnsi="Verdana"/>
                <w:sz w:val="22"/>
                <w:szCs w:val="22"/>
              </w:rPr>
            </w:pPr>
            <w:r w:rsidRPr="00085CB5">
              <w:rPr>
                <w:rFonts w:ascii="Verdana" w:hAnsi="Verdana"/>
                <w:sz w:val="22"/>
                <w:szCs w:val="22"/>
              </w:rPr>
              <w:t>$</w:t>
            </w:r>
            <w:r w:rsidRPr="00085CB5">
              <w:rPr>
                <w:rFonts w:ascii="Verdana" w:hAnsi="Verdana"/>
                <w:sz w:val="22"/>
                <w:szCs w:val="22"/>
                <w:u w:val="single"/>
              </w:rPr>
              <w:t> 5.287.000.00</w:t>
            </w:r>
          </w:p>
        </w:tc>
      </w:tr>
      <w:tr w:rsidR="00085CB5" w:rsidRPr="00085CB5" w14:paraId="3C85BCE7" w14:textId="77777777" w:rsidTr="00085CB5">
        <w:tc>
          <w:tcPr>
            <w:tcW w:w="450" w:type="pct"/>
            <w:hideMark/>
          </w:tcPr>
          <w:p w14:paraId="6706208C" w14:textId="77777777" w:rsidR="00085CB5" w:rsidRPr="00085CB5" w:rsidRDefault="00085CB5" w:rsidP="00085CB5">
            <w:pPr>
              <w:spacing w:after="160"/>
              <w:rPr>
                <w:rFonts w:ascii="Verdana" w:hAnsi="Verdana"/>
                <w:sz w:val="22"/>
                <w:szCs w:val="22"/>
              </w:rPr>
            </w:pPr>
            <w:r w:rsidRPr="00085CB5">
              <w:rPr>
                <w:rFonts w:ascii="Verdana" w:hAnsi="Verdana"/>
                <w:sz w:val="22"/>
                <w:szCs w:val="22"/>
              </w:rPr>
              <w:t>7</w:t>
            </w:r>
          </w:p>
        </w:tc>
        <w:tc>
          <w:tcPr>
            <w:tcW w:w="1600" w:type="pct"/>
            <w:hideMark/>
          </w:tcPr>
          <w:p w14:paraId="711B8149" w14:textId="77777777" w:rsidR="00085CB5" w:rsidRPr="00085CB5" w:rsidRDefault="00085CB5" w:rsidP="00085CB5">
            <w:pPr>
              <w:spacing w:after="160"/>
              <w:rPr>
                <w:rFonts w:ascii="Verdana" w:hAnsi="Verdana"/>
                <w:sz w:val="22"/>
                <w:szCs w:val="22"/>
              </w:rPr>
            </w:pPr>
            <w:r w:rsidRPr="00085CB5">
              <w:rPr>
                <w:rFonts w:ascii="Verdana" w:hAnsi="Verdana"/>
                <w:sz w:val="22"/>
                <w:szCs w:val="22"/>
              </w:rPr>
              <w:t>CAQUETA</w:t>
            </w:r>
          </w:p>
        </w:tc>
        <w:tc>
          <w:tcPr>
            <w:tcW w:w="1600" w:type="pct"/>
            <w:hideMark/>
          </w:tcPr>
          <w:p w14:paraId="473BB2F9" w14:textId="77777777" w:rsidR="00085CB5" w:rsidRPr="00085CB5" w:rsidRDefault="00085CB5" w:rsidP="00085CB5">
            <w:pPr>
              <w:spacing w:after="160"/>
              <w:rPr>
                <w:rFonts w:ascii="Verdana" w:hAnsi="Verdana"/>
                <w:sz w:val="22"/>
                <w:szCs w:val="22"/>
              </w:rPr>
            </w:pPr>
            <w:r w:rsidRPr="00085CB5">
              <w:rPr>
                <w:rFonts w:ascii="Verdana" w:hAnsi="Verdana"/>
                <w:sz w:val="22"/>
                <w:szCs w:val="22"/>
              </w:rPr>
              <w:t>Dirección Regional</w:t>
            </w:r>
          </w:p>
        </w:tc>
        <w:tc>
          <w:tcPr>
            <w:tcW w:w="1350" w:type="pct"/>
            <w:hideMark/>
          </w:tcPr>
          <w:p w14:paraId="584DD232"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$ 2.025.000,00</w:t>
            </w:r>
          </w:p>
        </w:tc>
      </w:tr>
      <w:tr w:rsidR="00085CB5" w:rsidRPr="00085CB5" w14:paraId="71C9FDFB" w14:textId="77777777" w:rsidTr="00085CB5">
        <w:tc>
          <w:tcPr>
            <w:tcW w:w="2000" w:type="pct"/>
            <w:gridSpan w:val="2"/>
            <w:hideMark/>
          </w:tcPr>
          <w:p w14:paraId="71ACC39B" w14:textId="77777777" w:rsidR="00085CB5" w:rsidRPr="00085CB5" w:rsidRDefault="00085CB5" w:rsidP="00085CB5">
            <w:pPr>
              <w:spacing w:after="160"/>
              <w:rPr>
                <w:rFonts w:ascii="Verdana" w:hAnsi="Verdana"/>
                <w:sz w:val="22"/>
                <w:szCs w:val="22"/>
              </w:rPr>
            </w:pPr>
            <w:proofErr w:type="gramStart"/>
            <w:r w:rsidRPr="00085CB5">
              <w:rPr>
                <w:rFonts w:ascii="Verdana" w:hAnsi="Verdana"/>
                <w:sz w:val="22"/>
                <w:szCs w:val="22"/>
              </w:rPr>
              <w:t>Total</w:t>
            </w:r>
            <w:proofErr w:type="gramEnd"/>
            <w:r w:rsidRPr="00085CB5">
              <w:rPr>
                <w:rFonts w:ascii="Verdana" w:hAnsi="Verdana"/>
                <w:sz w:val="22"/>
                <w:szCs w:val="22"/>
              </w:rPr>
              <w:t xml:space="preserve"> Caquetá</w:t>
            </w:r>
          </w:p>
        </w:tc>
        <w:tc>
          <w:tcPr>
            <w:tcW w:w="1600" w:type="pct"/>
            <w:hideMark/>
          </w:tcPr>
          <w:p w14:paraId="0BD8FB69" w14:textId="77777777" w:rsidR="00085CB5" w:rsidRPr="00085CB5" w:rsidRDefault="00085CB5" w:rsidP="00085CB5">
            <w:pPr>
              <w:spacing w:after="160"/>
              <w:rPr>
                <w:rFonts w:ascii="Verdana" w:hAnsi="Verdana"/>
                <w:sz w:val="22"/>
                <w:szCs w:val="22"/>
              </w:rPr>
            </w:pPr>
            <w:r w:rsidRPr="00085CB5">
              <w:rPr>
                <w:rFonts w:ascii="Verdana" w:hAnsi="Verdana"/>
                <w:sz w:val="22"/>
                <w:szCs w:val="22"/>
              </w:rPr>
              <w:t>1</w:t>
            </w:r>
          </w:p>
        </w:tc>
        <w:tc>
          <w:tcPr>
            <w:tcW w:w="1350" w:type="pct"/>
            <w:hideMark/>
          </w:tcPr>
          <w:p w14:paraId="1E31A66A" w14:textId="77777777" w:rsidR="00085CB5" w:rsidRPr="00085CB5" w:rsidRDefault="00085CB5" w:rsidP="00085CB5">
            <w:pPr>
              <w:spacing w:after="160"/>
              <w:rPr>
                <w:rFonts w:ascii="Verdana" w:hAnsi="Verdana"/>
                <w:sz w:val="22"/>
                <w:szCs w:val="22"/>
              </w:rPr>
            </w:pPr>
            <w:r w:rsidRPr="00085CB5">
              <w:rPr>
                <w:rFonts w:ascii="Verdana" w:hAnsi="Verdana"/>
                <w:sz w:val="22"/>
                <w:szCs w:val="22"/>
              </w:rPr>
              <w:t>$</w:t>
            </w:r>
            <w:r w:rsidRPr="00085CB5">
              <w:rPr>
                <w:rFonts w:ascii="Verdana" w:hAnsi="Verdana"/>
                <w:sz w:val="22"/>
                <w:szCs w:val="22"/>
                <w:u w:val="single"/>
              </w:rPr>
              <w:t> 2.025.000.00</w:t>
            </w:r>
          </w:p>
        </w:tc>
      </w:tr>
      <w:tr w:rsidR="00085CB5" w:rsidRPr="00085CB5" w14:paraId="7E287FED" w14:textId="77777777" w:rsidTr="00085CB5">
        <w:tc>
          <w:tcPr>
            <w:tcW w:w="450" w:type="pct"/>
            <w:hideMark/>
          </w:tcPr>
          <w:p w14:paraId="6D217F57" w14:textId="77777777" w:rsidR="00085CB5" w:rsidRPr="00085CB5" w:rsidRDefault="00085CB5" w:rsidP="00085CB5">
            <w:pPr>
              <w:spacing w:after="160"/>
              <w:rPr>
                <w:rFonts w:ascii="Verdana" w:hAnsi="Verdana"/>
                <w:sz w:val="22"/>
                <w:szCs w:val="22"/>
              </w:rPr>
            </w:pPr>
            <w:r w:rsidRPr="00085CB5">
              <w:rPr>
                <w:rFonts w:ascii="Verdana" w:hAnsi="Verdana"/>
                <w:sz w:val="22"/>
                <w:szCs w:val="22"/>
              </w:rPr>
              <w:t>8</w:t>
            </w:r>
          </w:p>
        </w:tc>
        <w:tc>
          <w:tcPr>
            <w:tcW w:w="1600" w:type="pct"/>
            <w:hideMark/>
          </w:tcPr>
          <w:p w14:paraId="391F21DE" w14:textId="77777777" w:rsidR="00085CB5" w:rsidRPr="00085CB5" w:rsidRDefault="00085CB5" w:rsidP="00085CB5">
            <w:pPr>
              <w:spacing w:after="160"/>
              <w:rPr>
                <w:rFonts w:ascii="Verdana" w:hAnsi="Verdana"/>
                <w:sz w:val="22"/>
                <w:szCs w:val="22"/>
              </w:rPr>
            </w:pPr>
            <w:r w:rsidRPr="00085CB5">
              <w:rPr>
                <w:rFonts w:ascii="Verdana" w:hAnsi="Verdana"/>
                <w:sz w:val="22"/>
                <w:szCs w:val="22"/>
              </w:rPr>
              <w:t>CORDOBA</w:t>
            </w:r>
          </w:p>
        </w:tc>
        <w:tc>
          <w:tcPr>
            <w:tcW w:w="1600" w:type="pct"/>
            <w:hideMark/>
          </w:tcPr>
          <w:p w14:paraId="7A6325D3" w14:textId="77777777" w:rsidR="00085CB5" w:rsidRPr="00085CB5" w:rsidRDefault="00085CB5" w:rsidP="00085CB5">
            <w:pPr>
              <w:spacing w:after="160"/>
              <w:rPr>
                <w:rFonts w:ascii="Verdana" w:hAnsi="Verdana"/>
                <w:sz w:val="22"/>
                <w:szCs w:val="22"/>
              </w:rPr>
            </w:pPr>
            <w:r w:rsidRPr="00085CB5">
              <w:rPr>
                <w:rFonts w:ascii="Verdana" w:hAnsi="Verdana"/>
                <w:sz w:val="22"/>
                <w:szCs w:val="22"/>
              </w:rPr>
              <w:t>Grupo Jurídico</w:t>
            </w:r>
          </w:p>
        </w:tc>
        <w:tc>
          <w:tcPr>
            <w:tcW w:w="1350" w:type="pct"/>
            <w:hideMark/>
          </w:tcPr>
          <w:p w14:paraId="48AF0A3C"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$ 202.000,00</w:t>
            </w:r>
          </w:p>
        </w:tc>
      </w:tr>
      <w:tr w:rsidR="00085CB5" w:rsidRPr="00085CB5" w14:paraId="3F86906C" w14:textId="77777777" w:rsidTr="00085CB5">
        <w:tc>
          <w:tcPr>
            <w:tcW w:w="2000" w:type="pct"/>
            <w:gridSpan w:val="2"/>
            <w:hideMark/>
          </w:tcPr>
          <w:p w14:paraId="72C0A905" w14:textId="77777777" w:rsidR="00085CB5" w:rsidRPr="00085CB5" w:rsidRDefault="00085CB5" w:rsidP="00085CB5">
            <w:pPr>
              <w:spacing w:after="160"/>
              <w:rPr>
                <w:rFonts w:ascii="Verdana" w:hAnsi="Verdana"/>
                <w:sz w:val="22"/>
                <w:szCs w:val="22"/>
              </w:rPr>
            </w:pPr>
            <w:proofErr w:type="gramStart"/>
            <w:r w:rsidRPr="00085CB5">
              <w:rPr>
                <w:rFonts w:ascii="Verdana" w:hAnsi="Verdana"/>
                <w:sz w:val="22"/>
                <w:szCs w:val="22"/>
              </w:rPr>
              <w:t>Total</w:t>
            </w:r>
            <w:proofErr w:type="gramEnd"/>
            <w:r w:rsidRPr="00085CB5">
              <w:rPr>
                <w:rFonts w:ascii="Verdana" w:hAnsi="Verdana"/>
                <w:sz w:val="22"/>
                <w:szCs w:val="22"/>
              </w:rPr>
              <w:t xml:space="preserve"> Córdoba</w:t>
            </w:r>
          </w:p>
        </w:tc>
        <w:tc>
          <w:tcPr>
            <w:tcW w:w="1600" w:type="pct"/>
            <w:hideMark/>
          </w:tcPr>
          <w:p w14:paraId="642123D1" w14:textId="77777777" w:rsidR="00085CB5" w:rsidRPr="00085CB5" w:rsidRDefault="00085CB5" w:rsidP="00085CB5">
            <w:pPr>
              <w:spacing w:after="160"/>
              <w:rPr>
                <w:rFonts w:ascii="Verdana" w:hAnsi="Verdana"/>
                <w:sz w:val="22"/>
                <w:szCs w:val="22"/>
              </w:rPr>
            </w:pPr>
            <w:r w:rsidRPr="00085CB5">
              <w:rPr>
                <w:rFonts w:ascii="Verdana" w:hAnsi="Verdana"/>
                <w:sz w:val="22"/>
                <w:szCs w:val="22"/>
              </w:rPr>
              <w:t>1</w:t>
            </w:r>
          </w:p>
        </w:tc>
        <w:tc>
          <w:tcPr>
            <w:tcW w:w="1350" w:type="pct"/>
            <w:hideMark/>
          </w:tcPr>
          <w:p w14:paraId="666804A1" w14:textId="77777777" w:rsidR="00085CB5" w:rsidRPr="00085CB5" w:rsidRDefault="00085CB5" w:rsidP="00085CB5">
            <w:pPr>
              <w:spacing w:after="160"/>
              <w:rPr>
                <w:rFonts w:ascii="Verdana" w:hAnsi="Verdana"/>
                <w:sz w:val="22"/>
                <w:szCs w:val="22"/>
              </w:rPr>
            </w:pPr>
            <w:r w:rsidRPr="00085CB5">
              <w:rPr>
                <w:rFonts w:ascii="Verdana" w:hAnsi="Verdana"/>
                <w:sz w:val="22"/>
                <w:szCs w:val="22"/>
              </w:rPr>
              <w:t>$</w:t>
            </w:r>
            <w:r w:rsidRPr="00085CB5">
              <w:rPr>
                <w:rFonts w:ascii="Verdana" w:hAnsi="Verdana"/>
                <w:sz w:val="22"/>
                <w:szCs w:val="22"/>
                <w:u w:val="single"/>
              </w:rPr>
              <w:t> 202.000.00</w:t>
            </w:r>
          </w:p>
        </w:tc>
      </w:tr>
      <w:tr w:rsidR="00085CB5" w:rsidRPr="00085CB5" w14:paraId="64AEB333" w14:textId="77777777" w:rsidTr="00085CB5">
        <w:tc>
          <w:tcPr>
            <w:tcW w:w="450" w:type="pct"/>
            <w:hideMark/>
          </w:tcPr>
          <w:p w14:paraId="285F4359" w14:textId="77777777" w:rsidR="00085CB5" w:rsidRPr="00085CB5" w:rsidRDefault="00085CB5" w:rsidP="00085CB5">
            <w:pPr>
              <w:spacing w:after="160"/>
              <w:rPr>
                <w:rFonts w:ascii="Verdana" w:hAnsi="Verdana"/>
                <w:sz w:val="22"/>
                <w:szCs w:val="22"/>
              </w:rPr>
            </w:pPr>
            <w:r w:rsidRPr="00085CB5">
              <w:rPr>
                <w:rFonts w:ascii="Verdana" w:hAnsi="Verdana"/>
                <w:sz w:val="22"/>
                <w:szCs w:val="22"/>
              </w:rPr>
              <w:t>9</w:t>
            </w:r>
          </w:p>
        </w:tc>
        <w:tc>
          <w:tcPr>
            <w:tcW w:w="1600" w:type="pct"/>
            <w:hideMark/>
          </w:tcPr>
          <w:p w14:paraId="69A76514" w14:textId="77777777" w:rsidR="00085CB5" w:rsidRPr="00085CB5" w:rsidRDefault="00085CB5" w:rsidP="00085CB5">
            <w:pPr>
              <w:spacing w:after="160"/>
              <w:rPr>
                <w:rFonts w:ascii="Verdana" w:hAnsi="Verdana"/>
                <w:sz w:val="22"/>
                <w:szCs w:val="22"/>
              </w:rPr>
            </w:pPr>
            <w:r w:rsidRPr="00085CB5">
              <w:rPr>
                <w:rFonts w:ascii="Verdana" w:hAnsi="Verdana"/>
                <w:sz w:val="22"/>
                <w:szCs w:val="22"/>
              </w:rPr>
              <w:t>CUNDINAMARCA</w:t>
            </w:r>
          </w:p>
        </w:tc>
        <w:tc>
          <w:tcPr>
            <w:tcW w:w="1600" w:type="pct"/>
            <w:hideMark/>
          </w:tcPr>
          <w:p w14:paraId="55DD8F80" w14:textId="77777777" w:rsidR="00085CB5" w:rsidRPr="00085CB5" w:rsidRDefault="00085CB5" w:rsidP="00085CB5">
            <w:pPr>
              <w:spacing w:after="160"/>
              <w:rPr>
                <w:rFonts w:ascii="Verdana" w:hAnsi="Verdana"/>
                <w:sz w:val="22"/>
                <w:szCs w:val="22"/>
              </w:rPr>
            </w:pPr>
            <w:r w:rsidRPr="00085CB5">
              <w:rPr>
                <w:rFonts w:ascii="Verdana" w:hAnsi="Verdana"/>
                <w:sz w:val="22"/>
                <w:szCs w:val="22"/>
              </w:rPr>
              <w:t>Grupo Administrativo</w:t>
            </w:r>
          </w:p>
        </w:tc>
        <w:tc>
          <w:tcPr>
            <w:tcW w:w="1350" w:type="pct"/>
            <w:hideMark/>
          </w:tcPr>
          <w:p w14:paraId="2FD6F62C"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$ 1.765.000,00</w:t>
            </w:r>
          </w:p>
        </w:tc>
      </w:tr>
      <w:tr w:rsidR="00085CB5" w:rsidRPr="00085CB5" w14:paraId="3FA37916" w14:textId="77777777" w:rsidTr="00085CB5">
        <w:tc>
          <w:tcPr>
            <w:tcW w:w="450" w:type="pct"/>
            <w:hideMark/>
          </w:tcPr>
          <w:p w14:paraId="1D1D94BB" w14:textId="77777777" w:rsidR="00085CB5" w:rsidRPr="00085CB5" w:rsidRDefault="00085CB5" w:rsidP="00085CB5">
            <w:pPr>
              <w:spacing w:after="160"/>
              <w:rPr>
                <w:rFonts w:ascii="Verdana" w:hAnsi="Verdana"/>
                <w:sz w:val="22"/>
                <w:szCs w:val="22"/>
              </w:rPr>
            </w:pPr>
            <w:r w:rsidRPr="00085CB5">
              <w:rPr>
                <w:rFonts w:ascii="Verdana" w:hAnsi="Verdana"/>
                <w:sz w:val="22"/>
                <w:szCs w:val="22"/>
              </w:rPr>
              <w:lastRenderedPageBreak/>
              <w:t>10</w:t>
            </w:r>
          </w:p>
        </w:tc>
        <w:tc>
          <w:tcPr>
            <w:tcW w:w="1600" w:type="pct"/>
            <w:hideMark/>
          </w:tcPr>
          <w:p w14:paraId="12DF7E50" w14:textId="77777777" w:rsidR="00085CB5" w:rsidRPr="00085CB5" w:rsidRDefault="00085CB5" w:rsidP="00085CB5">
            <w:pPr>
              <w:spacing w:after="160"/>
              <w:rPr>
                <w:rFonts w:ascii="Verdana" w:hAnsi="Verdana"/>
                <w:sz w:val="22"/>
                <w:szCs w:val="22"/>
              </w:rPr>
            </w:pPr>
            <w:r w:rsidRPr="00085CB5">
              <w:rPr>
                <w:rFonts w:ascii="Verdana" w:hAnsi="Verdana"/>
                <w:sz w:val="22"/>
                <w:szCs w:val="22"/>
              </w:rPr>
              <w:t>CUNDINAMARCA</w:t>
            </w:r>
          </w:p>
        </w:tc>
        <w:tc>
          <w:tcPr>
            <w:tcW w:w="1600" w:type="pct"/>
            <w:hideMark/>
          </w:tcPr>
          <w:p w14:paraId="22FD7544" w14:textId="77777777" w:rsidR="00085CB5" w:rsidRPr="00085CB5" w:rsidRDefault="00085CB5" w:rsidP="00085CB5">
            <w:pPr>
              <w:spacing w:after="160"/>
              <w:rPr>
                <w:rFonts w:ascii="Verdana" w:hAnsi="Verdana"/>
                <w:sz w:val="22"/>
                <w:szCs w:val="22"/>
              </w:rPr>
            </w:pPr>
            <w:r w:rsidRPr="00085CB5">
              <w:rPr>
                <w:rFonts w:ascii="Verdana" w:hAnsi="Verdana"/>
                <w:sz w:val="22"/>
                <w:szCs w:val="22"/>
              </w:rPr>
              <w:t>Grupo jurídico</w:t>
            </w:r>
          </w:p>
        </w:tc>
        <w:tc>
          <w:tcPr>
            <w:tcW w:w="1350" w:type="pct"/>
            <w:hideMark/>
          </w:tcPr>
          <w:p w14:paraId="70888000" w14:textId="77777777" w:rsidR="00085CB5" w:rsidRPr="00085CB5" w:rsidRDefault="00085CB5" w:rsidP="00085CB5">
            <w:pPr>
              <w:spacing w:after="160"/>
              <w:rPr>
                <w:rFonts w:ascii="Verdana" w:hAnsi="Verdana"/>
                <w:sz w:val="22"/>
                <w:szCs w:val="22"/>
              </w:rPr>
            </w:pPr>
            <w:r w:rsidRPr="00085CB5">
              <w:rPr>
                <w:rFonts w:ascii="Verdana" w:hAnsi="Verdana"/>
                <w:sz w:val="22"/>
                <w:szCs w:val="22"/>
              </w:rPr>
              <w:t>$4.815.000,00</w:t>
            </w:r>
          </w:p>
        </w:tc>
      </w:tr>
      <w:tr w:rsidR="00085CB5" w:rsidRPr="00085CB5" w14:paraId="683AB8D6" w14:textId="77777777" w:rsidTr="00085CB5">
        <w:tc>
          <w:tcPr>
            <w:tcW w:w="2000" w:type="pct"/>
            <w:gridSpan w:val="2"/>
            <w:hideMark/>
          </w:tcPr>
          <w:p w14:paraId="7D6908D8" w14:textId="77777777" w:rsidR="00085CB5" w:rsidRPr="00085CB5" w:rsidRDefault="00085CB5" w:rsidP="00085CB5">
            <w:pPr>
              <w:spacing w:after="160"/>
              <w:rPr>
                <w:rFonts w:ascii="Verdana" w:hAnsi="Verdana"/>
                <w:sz w:val="22"/>
                <w:szCs w:val="22"/>
              </w:rPr>
            </w:pPr>
            <w:r w:rsidRPr="00085CB5">
              <w:rPr>
                <w:rFonts w:ascii="Verdana" w:hAnsi="Verdana"/>
                <w:sz w:val="22"/>
                <w:szCs w:val="22"/>
              </w:rPr>
              <w:t>Total</w:t>
            </w:r>
            <w:r w:rsidRPr="00085CB5">
              <w:rPr>
                <w:rFonts w:ascii="Verdana" w:hAnsi="Verdana"/>
                <w:sz w:val="22"/>
                <w:szCs w:val="22"/>
              </w:rPr>
              <w:br/>
              <w:t>Cundinamarca</w:t>
            </w:r>
          </w:p>
        </w:tc>
        <w:tc>
          <w:tcPr>
            <w:tcW w:w="1600" w:type="pct"/>
            <w:hideMark/>
          </w:tcPr>
          <w:p w14:paraId="41854E17" w14:textId="77777777" w:rsidR="00085CB5" w:rsidRPr="00085CB5" w:rsidRDefault="00085CB5" w:rsidP="00085CB5">
            <w:pPr>
              <w:spacing w:after="160"/>
              <w:rPr>
                <w:rFonts w:ascii="Verdana" w:hAnsi="Verdana"/>
                <w:sz w:val="22"/>
                <w:szCs w:val="22"/>
              </w:rPr>
            </w:pPr>
            <w:r w:rsidRPr="00085CB5">
              <w:rPr>
                <w:rFonts w:ascii="Verdana" w:hAnsi="Verdana"/>
                <w:sz w:val="22"/>
                <w:szCs w:val="22"/>
              </w:rPr>
              <w:t>2</w:t>
            </w:r>
          </w:p>
        </w:tc>
        <w:tc>
          <w:tcPr>
            <w:tcW w:w="1350" w:type="pct"/>
            <w:hideMark/>
          </w:tcPr>
          <w:p w14:paraId="32119981" w14:textId="77777777" w:rsidR="00085CB5" w:rsidRPr="00085CB5" w:rsidRDefault="00085CB5" w:rsidP="00085CB5">
            <w:pPr>
              <w:spacing w:after="160"/>
              <w:rPr>
                <w:rFonts w:ascii="Verdana" w:hAnsi="Verdana"/>
                <w:sz w:val="22"/>
                <w:szCs w:val="22"/>
              </w:rPr>
            </w:pPr>
            <w:r w:rsidRPr="00085CB5">
              <w:rPr>
                <w:rFonts w:ascii="Verdana" w:hAnsi="Verdana"/>
                <w:sz w:val="22"/>
                <w:szCs w:val="22"/>
              </w:rPr>
              <w:t>$</w:t>
            </w:r>
            <w:r w:rsidRPr="00085CB5">
              <w:rPr>
                <w:rFonts w:ascii="Verdana" w:hAnsi="Verdana"/>
                <w:sz w:val="22"/>
                <w:szCs w:val="22"/>
                <w:u w:val="single"/>
              </w:rPr>
              <w:t> 6.580.000.00</w:t>
            </w:r>
          </w:p>
        </w:tc>
      </w:tr>
      <w:tr w:rsidR="00085CB5" w:rsidRPr="00085CB5" w14:paraId="39E76D36" w14:textId="77777777" w:rsidTr="00085CB5">
        <w:tc>
          <w:tcPr>
            <w:tcW w:w="450" w:type="pct"/>
            <w:hideMark/>
          </w:tcPr>
          <w:p w14:paraId="2FD1D4D1" w14:textId="77777777" w:rsidR="00085CB5" w:rsidRPr="00085CB5" w:rsidRDefault="00085CB5" w:rsidP="00085CB5">
            <w:pPr>
              <w:spacing w:after="160"/>
              <w:rPr>
                <w:rFonts w:ascii="Verdana" w:hAnsi="Verdana"/>
                <w:sz w:val="22"/>
                <w:szCs w:val="22"/>
              </w:rPr>
            </w:pPr>
            <w:r w:rsidRPr="00085CB5">
              <w:rPr>
                <w:rFonts w:ascii="Verdana" w:hAnsi="Verdana"/>
                <w:sz w:val="22"/>
                <w:szCs w:val="22"/>
              </w:rPr>
              <w:t>11</w:t>
            </w:r>
          </w:p>
        </w:tc>
        <w:tc>
          <w:tcPr>
            <w:tcW w:w="1600" w:type="pct"/>
            <w:hideMark/>
          </w:tcPr>
          <w:p w14:paraId="1FDE1F0F" w14:textId="77777777" w:rsidR="00085CB5" w:rsidRPr="00085CB5" w:rsidRDefault="00085CB5" w:rsidP="00085CB5">
            <w:pPr>
              <w:spacing w:after="160"/>
              <w:rPr>
                <w:rFonts w:ascii="Verdana" w:hAnsi="Verdana"/>
                <w:sz w:val="22"/>
                <w:szCs w:val="22"/>
              </w:rPr>
            </w:pPr>
            <w:r w:rsidRPr="00085CB5">
              <w:rPr>
                <w:rFonts w:ascii="Verdana" w:hAnsi="Verdana"/>
                <w:sz w:val="22"/>
                <w:szCs w:val="22"/>
              </w:rPr>
              <w:t>DIRECCION</w:t>
            </w:r>
            <w:r w:rsidRPr="00085CB5">
              <w:rPr>
                <w:rFonts w:ascii="Verdana" w:hAnsi="Verdana"/>
                <w:sz w:val="22"/>
                <w:szCs w:val="22"/>
              </w:rPr>
              <w:br/>
              <w:t>GENERAL</w:t>
            </w:r>
          </w:p>
        </w:tc>
        <w:tc>
          <w:tcPr>
            <w:tcW w:w="1600" w:type="pct"/>
            <w:hideMark/>
          </w:tcPr>
          <w:p w14:paraId="275A40B7" w14:textId="77777777" w:rsidR="00085CB5" w:rsidRPr="00085CB5" w:rsidRDefault="00085CB5" w:rsidP="00085CB5">
            <w:pPr>
              <w:spacing w:after="160"/>
              <w:rPr>
                <w:rFonts w:ascii="Verdana" w:hAnsi="Verdana"/>
                <w:sz w:val="22"/>
                <w:szCs w:val="22"/>
              </w:rPr>
            </w:pPr>
            <w:r w:rsidRPr="00085CB5">
              <w:rPr>
                <w:rFonts w:ascii="Verdana" w:hAnsi="Verdana"/>
                <w:sz w:val="22"/>
                <w:szCs w:val="22"/>
              </w:rPr>
              <w:t>Dirección Administrativa</w:t>
            </w:r>
          </w:p>
        </w:tc>
        <w:tc>
          <w:tcPr>
            <w:tcW w:w="1350" w:type="pct"/>
            <w:hideMark/>
          </w:tcPr>
          <w:p w14:paraId="4C718425"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$ 7.359.000,00</w:t>
            </w:r>
          </w:p>
        </w:tc>
      </w:tr>
      <w:tr w:rsidR="00085CB5" w:rsidRPr="00085CB5" w14:paraId="7D926BA9" w14:textId="77777777" w:rsidTr="00085CB5">
        <w:tc>
          <w:tcPr>
            <w:tcW w:w="450" w:type="pct"/>
            <w:hideMark/>
          </w:tcPr>
          <w:p w14:paraId="7E558E6D" w14:textId="77777777" w:rsidR="00085CB5" w:rsidRPr="00085CB5" w:rsidRDefault="00085CB5" w:rsidP="00085CB5">
            <w:pPr>
              <w:spacing w:after="160"/>
              <w:rPr>
                <w:rFonts w:ascii="Verdana" w:hAnsi="Verdana"/>
                <w:sz w:val="22"/>
                <w:szCs w:val="22"/>
              </w:rPr>
            </w:pPr>
            <w:r w:rsidRPr="00085CB5">
              <w:rPr>
                <w:rFonts w:ascii="Verdana" w:hAnsi="Verdana"/>
                <w:sz w:val="22"/>
                <w:szCs w:val="22"/>
              </w:rPr>
              <w:t>12</w:t>
            </w:r>
          </w:p>
        </w:tc>
        <w:tc>
          <w:tcPr>
            <w:tcW w:w="1600" w:type="pct"/>
            <w:hideMark/>
          </w:tcPr>
          <w:p w14:paraId="3345D553" w14:textId="77777777" w:rsidR="00085CB5" w:rsidRPr="00085CB5" w:rsidRDefault="00085CB5" w:rsidP="00085CB5">
            <w:pPr>
              <w:spacing w:after="160"/>
              <w:rPr>
                <w:rFonts w:ascii="Verdana" w:hAnsi="Verdana"/>
                <w:sz w:val="22"/>
                <w:szCs w:val="22"/>
              </w:rPr>
            </w:pPr>
            <w:r w:rsidRPr="00085CB5">
              <w:rPr>
                <w:rFonts w:ascii="Verdana" w:hAnsi="Verdana"/>
                <w:sz w:val="22"/>
                <w:szCs w:val="22"/>
              </w:rPr>
              <w:t>DIRECCION</w:t>
            </w:r>
            <w:r w:rsidRPr="00085CB5">
              <w:rPr>
                <w:rFonts w:ascii="Verdana" w:hAnsi="Verdana"/>
                <w:sz w:val="22"/>
                <w:szCs w:val="22"/>
              </w:rPr>
              <w:br/>
              <w:t>GENERAL</w:t>
            </w:r>
          </w:p>
        </w:tc>
        <w:tc>
          <w:tcPr>
            <w:tcW w:w="1600" w:type="pct"/>
            <w:hideMark/>
          </w:tcPr>
          <w:p w14:paraId="19159005" w14:textId="77777777" w:rsidR="00085CB5" w:rsidRPr="00085CB5" w:rsidRDefault="00085CB5" w:rsidP="00085CB5">
            <w:pPr>
              <w:spacing w:after="160"/>
              <w:rPr>
                <w:rFonts w:ascii="Verdana" w:hAnsi="Verdana"/>
                <w:sz w:val="22"/>
                <w:szCs w:val="22"/>
              </w:rPr>
            </w:pPr>
            <w:r w:rsidRPr="00085CB5">
              <w:rPr>
                <w:rFonts w:ascii="Verdana" w:hAnsi="Verdana"/>
                <w:sz w:val="22"/>
                <w:szCs w:val="22"/>
              </w:rPr>
              <w:t>Oficina Asesora Jurídica</w:t>
            </w:r>
          </w:p>
        </w:tc>
        <w:tc>
          <w:tcPr>
            <w:tcW w:w="1350" w:type="pct"/>
            <w:hideMark/>
          </w:tcPr>
          <w:p w14:paraId="6B42D280"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$ 3.543.000,00</w:t>
            </w:r>
          </w:p>
        </w:tc>
      </w:tr>
      <w:tr w:rsidR="00085CB5" w:rsidRPr="00085CB5" w14:paraId="2FA3FB63" w14:textId="77777777" w:rsidTr="00085CB5">
        <w:tc>
          <w:tcPr>
            <w:tcW w:w="450" w:type="pct"/>
            <w:hideMark/>
          </w:tcPr>
          <w:p w14:paraId="753939A3" w14:textId="77777777" w:rsidR="00085CB5" w:rsidRPr="00085CB5" w:rsidRDefault="00085CB5" w:rsidP="00085CB5">
            <w:pPr>
              <w:spacing w:after="160"/>
              <w:rPr>
                <w:rFonts w:ascii="Verdana" w:hAnsi="Verdana"/>
                <w:sz w:val="22"/>
                <w:szCs w:val="22"/>
              </w:rPr>
            </w:pPr>
            <w:r w:rsidRPr="00085CB5">
              <w:rPr>
                <w:rFonts w:ascii="Verdana" w:hAnsi="Verdana"/>
                <w:sz w:val="22"/>
                <w:szCs w:val="22"/>
              </w:rPr>
              <w:t>13</w:t>
            </w:r>
          </w:p>
        </w:tc>
        <w:tc>
          <w:tcPr>
            <w:tcW w:w="1600" w:type="pct"/>
            <w:hideMark/>
          </w:tcPr>
          <w:p w14:paraId="2F651D2C" w14:textId="77777777" w:rsidR="00085CB5" w:rsidRPr="00085CB5" w:rsidRDefault="00085CB5" w:rsidP="00085CB5">
            <w:pPr>
              <w:spacing w:after="160"/>
              <w:rPr>
                <w:rFonts w:ascii="Verdana" w:hAnsi="Verdana"/>
                <w:sz w:val="22"/>
                <w:szCs w:val="22"/>
              </w:rPr>
            </w:pPr>
            <w:r w:rsidRPr="00085CB5">
              <w:rPr>
                <w:rFonts w:ascii="Verdana" w:hAnsi="Verdana"/>
                <w:sz w:val="22"/>
                <w:szCs w:val="22"/>
              </w:rPr>
              <w:t>DIRECCION</w:t>
            </w:r>
            <w:r w:rsidRPr="00085CB5">
              <w:rPr>
                <w:rFonts w:ascii="Verdana" w:hAnsi="Verdana"/>
                <w:sz w:val="22"/>
                <w:szCs w:val="22"/>
              </w:rPr>
              <w:br/>
              <w:t>GENERAL</w:t>
            </w:r>
          </w:p>
        </w:tc>
        <w:tc>
          <w:tcPr>
            <w:tcW w:w="1600" w:type="pct"/>
            <w:hideMark/>
          </w:tcPr>
          <w:p w14:paraId="551CFDAB" w14:textId="77777777" w:rsidR="00085CB5" w:rsidRPr="00085CB5" w:rsidRDefault="00085CB5" w:rsidP="00085CB5">
            <w:pPr>
              <w:spacing w:after="160"/>
              <w:rPr>
                <w:rFonts w:ascii="Verdana" w:hAnsi="Verdana"/>
                <w:sz w:val="22"/>
                <w:szCs w:val="22"/>
              </w:rPr>
            </w:pPr>
            <w:r w:rsidRPr="00085CB5">
              <w:rPr>
                <w:rFonts w:ascii="Verdana" w:hAnsi="Verdana"/>
                <w:sz w:val="22"/>
                <w:szCs w:val="22"/>
              </w:rPr>
              <w:t>Secretaria General</w:t>
            </w:r>
          </w:p>
        </w:tc>
        <w:tc>
          <w:tcPr>
            <w:tcW w:w="1350" w:type="pct"/>
            <w:hideMark/>
          </w:tcPr>
          <w:p w14:paraId="543C7D69" w14:textId="77777777" w:rsidR="00085CB5" w:rsidRPr="00085CB5" w:rsidRDefault="00085CB5" w:rsidP="00085CB5">
            <w:pPr>
              <w:spacing w:after="160"/>
              <w:rPr>
                <w:rFonts w:ascii="Verdana" w:hAnsi="Verdana"/>
                <w:sz w:val="22"/>
                <w:szCs w:val="22"/>
              </w:rPr>
            </w:pPr>
            <w:r w:rsidRPr="00085CB5">
              <w:rPr>
                <w:rFonts w:ascii="Verdana" w:hAnsi="Verdana"/>
                <w:sz w:val="22"/>
                <w:szCs w:val="22"/>
              </w:rPr>
              <w:t>$3.167.000,00</w:t>
            </w:r>
          </w:p>
        </w:tc>
      </w:tr>
      <w:tr w:rsidR="00085CB5" w:rsidRPr="00085CB5" w14:paraId="40267CB9" w14:textId="77777777" w:rsidTr="00085CB5">
        <w:tc>
          <w:tcPr>
            <w:tcW w:w="2000" w:type="pct"/>
            <w:gridSpan w:val="2"/>
            <w:hideMark/>
          </w:tcPr>
          <w:p w14:paraId="40EFE16D" w14:textId="77777777" w:rsidR="00085CB5" w:rsidRPr="00085CB5" w:rsidRDefault="00085CB5" w:rsidP="00085CB5">
            <w:pPr>
              <w:spacing w:after="160"/>
              <w:rPr>
                <w:rFonts w:ascii="Verdana" w:hAnsi="Verdana"/>
                <w:sz w:val="22"/>
                <w:szCs w:val="22"/>
              </w:rPr>
            </w:pPr>
            <w:proofErr w:type="gramStart"/>
            <w:r w:rsidRPr="00085CB5">
              <w:rPr>
                <w:rFonts w:ascii="Verdana" w:hAnsi="Verdana"/>
                <w:sz w:val="22"/>
                <w:szCs w:val="22"/>
              </w:rPr>
              <w:t>Total</w:t>
            </w:r>
            <w:proofErr w:type="gramEnd"/>
            <w:r w:rsidRPr="00085CB5">
              <w:rPr>
                <w:rFonts w:ascii="Verdana" w:hAnsi="Verdana"/>
                <w:sz w:val="22"/>
                <w:szCs w:val="22"/>
              </w:rPr>
              <w:t xml:space="preserve"> Dirección General</w:t>
            </w:r>
          </w:p>
        </w:tc>
        <w:tc>
          <w:tcPr>
            <w:tcW w:w="1600" w:type="pct"/>
            <w:hideMark/>
          </w:tcPr>
          <w:p w14:paraId="4DA7F1FB" w14:textId="77777777" w:rsidR="00085CB5" w:rsidRPr="00085CB5" w:rsidRDefault="00085CB5" w:rsidP="00085CB5">
            <w:pPr>
              <w:spacing w:after="160"/>
              <w:rPr>
                <w:rFonts w:ascii="Verdana" w:hAnsi="Verdana"/>
                <w:sz w:val="22"/>
                <w:szCs w:val="22"/>
              </w:rPr>
            </w:pPr>
            <w:r w:rsidRPr="00085CB5">
              <w:rPr>
                <w:rFonts w:ascii="Verdana" w:hAnsi="Verdana"/>
                <w:sz w:val="22"/>
                <w:szCs w:val="22"/>
              </w:rPr>
              <w:t>3</w:t>
            </w:r>
          </w:p>
        </w:tc>
        <w:tc>
          <w:tcPr>
            <w:tcW w:w="1350" w:type="pct"/>
            <w:hideMark/>
          </w:tcPr>
          <w:p w14:paraId="3EFB0CCA" w14:textId="77777777" w:rsidR="00085CB5" w:rsidRPr="00085CB5" w:rsidRDefault="00085CB5" w:rsidP="00085CB5">
            <w:pPr>
              <w:spacing w:after="160"/>
              <w:rPr>
                <w:rFonts w:ascii="Verdana" w:hAnsi="Verdana"/>
                <w:sz w:val="22"/>
                <w:szCs w:val="22"/>
              </w:rPr>
            </w:pPr>
            <w:r w:rsidRPr="00085CB5">
              <w:rPr>
                <w:rFonts w:ascii="Verdana" w:hAnsi="Verdana"/>
                <w:sz w:val="22"/>
                <w:szCs w:val="22"/>
              </w:rPr>
              <w:t>$</w:t>
            </w:r>
            <w:r w:rsidRPr="00085CB5">
              <w:rPr>
                <w:rFonts w:ascii="Verdana" w:hAnsi="Verdana"/>
                <w:sz w:val="22"/>
                <w:szCs w:val="22"/>
                <w:u w:val="single"/>
              </w:rPr>
              <w:t> 14.069.000.00</w:t>
            </w:r>
          </w:p>
        </w:tc>
      </w:tr>
      <w:tr w:rsidR="00085CB5" w:rsidRPr="00085CB5" w14:paraId="65351EE7" w14:textId="77777777" w:rsidTr="00085CB5">
        <w:tc>
          <w:tcPr>
            <w:tcW w:w="450" w:type="pct"/>
            <w:hideMark/>
          </w:tcPr>
          <w:p w14:paraId="1F8B88CB" w14:textId="77777777" w:rsidR="00085CB5" w:rsidRPr="00085CB5" w:rsidRDefault="00085CB5" w:rsidP="00085CB5">
            <w:pPr>
              <w:spacing w:after="160"/>
              <w:rPr>
                <w:rFonts w:ascii="Verdana" w:hAnsi="Verdana"/>
                <w:sz w:val="22"/>
                <w:szCs w:val="22"/>
              </w:rPr>
            </w:pPr>
            <w:r w:rsidRPr="00085CB5">
              <w:rPr>
                <w:rFonts w:ascii="Verdana" w:hAnsi="Verdana"/>
                <w:sz w:val="22"/>
                <w:szCs w:val="22"/>
              </w:rPr>
              <w:t>14</w:t>
            </w:r>
          </w:p>
        </w:tc>
        <w:tc>
          <w:tcPr>
            <w:tcW w:w="1600" w:type="pct"/>
            <w:hideMark/>
          </w:tcPr>
          <w:p w14:paraId="470BA771" w14:textId="77777777" w:rsidR="00085CB5" w:rsidRPr="00085CB5" w:rsidRDefault="00085CB5" w:rsidP="00085CB5">
            <w:pPr>
              <w:spacing w:after="160"/>
              <w:rPr>
                <w:rFonts w:ascii="Verdana" w:hAnsi="Verdana"/>
                <w:sz w:val="22"/>
                <w:szCs w:val="22"/>
              </w:rPr>
            </w:pPr>
            <w:r w:rsidRPr="00085CB5">
              <w:rPr>
                <w:rFonts w:ascii="Verdana" w:hAnsi="Verdana"/>
                <w:sz w:val="22"/>
                <w:szCs w:val="22"/>
              </w:rPr>
              <w:t>GUAJIRA</w:t>
            </w:r>
          </w:p>
        </w:tc>
        <w:tc>
          <w:tcPr>
            <w:tcW w:w="1600" w:type="pct"/>
            <w:hideMark/>
          </w:tcPr>
          <w:p w14:paraId="25236FC5" w14:textId="77777777" w:rsidR="00085CB5" w:rsidRPr="00085CB5" w:rsidRDefault="00085CB5" w:rsidP="00085CB5">
            <w:pPr>
              <w:spacing w:after="160"/>
              <w:rPr>
                <w:rFonts w:ascii="Verdana" w:hAnsi="Verdana"/>
                <w:sz w:val="22"/>
                <w:szCs w:val="22"/>
              </w:rPr>
            </w:pPr>
            <w:r w:rsidRPr="00085CB5">
              <w:rPr>
                <w:rFonts w:ascii="Verdana" w:hAnsi="Verdana"/>
                <w:sz w:val="22"/>
                <w:szCs w:val="22"/>
              </w:rPr>
              <w:t>Grupo Administrativo</w:t>
            </w:r>
          </w:p>
        </w:tc>
        <w:tc>
          <w:tcPr>
            <w:tcW w:w="1350" w:type="pct"/>
            <w:hideMark/>
          </w:tcPr>
          <w:p w14:paraId="5B83AA9D"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$ 2.541.000.00</w:t>
            </w:r>
          </w:p>
        </w:tc>
      </w:tr>
      <w:tr w:rsidR="00085CB5" w:rsidRPr="00085CB5" w14:paraId="2C3DE457" w14:textId="77777777" w:rsidTr="00085CB5">
        <w:tc>
          <w:tcPr>
            <w:tcW w:w="400" w:type="pct"/>
            <w:hideMark/>
          </w:tcPr>
          <w:p w14:paraId="41EF63E7" w14:textId="77777777" w:rsidR="00085CB5" w:rsidRPr="00085CB5" w:rsidRDefault="00085CB5" w:rsidP="00085CB5">
            <w:pPr>
              <w:spacing w:after="160"/>
              <w:rPr>
                <w:rFonts w:ascii="Verdana" w:hAnsi="Verdana"/>
                <w:sz w:val="22"/>
                <w:szCs w:val="22"/>
              </w:rPr>
            </w:pPr>
            <w:r w:rsidRPr="00085CB5">
              <w:rPr>
                <w:rFonts w:ascii="Verdana" w:hAnsi="Verdana"/>
                <w:sz w:val="22"/>
                <w:szCs w:val="22"/>
              </w:rPr>
              <w:t>15</w:t>
            </w:r>
          </w:p>
        </w:tc>
        <w:tc>
          <w:tcPr>
            <w:tcW w:w="1600" w:type="pct"/>
            <w:hideMark/>
          </w:tcPr>
          <w:p w14:paraId="17D8628C" w14:textId="77777777" w:rsidR="00085CB5" w:rsidRPr="00085CB5" w:rsidRDefault="00085CB5" w:rsidP="00085CB5">
            <w:pPr>
              <w:spacing w:after="160"/>
              <w:rPr>
                <w:rFonts w:ascii="Verdana" w:hAnsi="Verdana"/>
                <w:sz w:val="22"/>
                <w:szCs w:val="22"/>
              </w:rPr>
            </w:pPr>
            <w:r w:rsidRPr="00085CB5">
              <w:rPr>
                <w:rFonts w:ascii="Verdana" w:hAnsi="Verdana"/>
                <w:sz w:val="22"/>
                <w:szCs w:val="22"/>
              </w:rPr>
              <w:t>GUAJIRA</w:t>
            </w:r>
          </w:p>
        </w:tc>
        <w:tc>
          <w:tcPr>
            <w:tcW w:w="1600" w:type="pct"/>
            <w:hideMark/>
          </w:tcPr>
          <w:p w14:paraId="63494F3A" w14:textId="77777777" w:rsidR="00085CB5" w:rsidRPr="00085CB5" w:rsidRDefault="00085CB5" w:rsidP="00085CB5">
            <w:pPr>
              <w:spacing w:after="160"/>
              <w:rPr>
                <w:rFonts w:ascii="Verdana" w:hAnsi="Verdana"/>
                <w:sz w:val="22"/>
                <w:szCs w:val="22"/>
              </w:rPr>
            </w:pPr>
            <w:r w:rsidRPr="00085CB5">
              <w:rPr>
                <w:rFonts w:ascii="Verdana" w:hAnsi="Verdana"/>
                <w:sz w:val="22"/>
                <w:szCs w:val="22"/>
              </w:rPr>
              <w:t>Grupo jurídico</w:t>
            </w:r>
          </w:p>
        </w:tc>
        <w:tc>
          <w:tcPr>
            <w:tcW w:w="1350" w:type="pct"/>
            <w:hideMark/>
          </w:tcPr>
          <w:p w14:paraId="0E715105"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$ 2.017.000,00</w:t>
            </w:r>
          </w:p>
        </w:tc>
      </w:tr>
      <w:tr w:rsidR="00085CB5" w:rsidRPr="00085CB5" w14:paraId="06E7CB64" w14:textId="77777777" w:rsidTr="00085CB5">
        <w:tc>
          <w:tcPr>
            <w:tcW w:w="400" w:type="pct"/>
            <w:hideMark/>
          </w:tcPr>
          <w:p w14:paraId="5D6DA7EF" w14:textId="77777777" w:rsidR="00085CB5" w:rsidRPr="00085CB5" w:rsidRDefault="00085CB5" w:rsidP="00085CB5">
            <w:pPr>
              <w:spacing w:after="160"/>
              <w:rPr>
                <w:rFonts w:ascii="Verdana" w:hAnsi="Verdana"/>
                <w:sz w:val="22"/>
                <w:szCs w:val="22"/>
              </w:rPr>
            </w:pPr>
            <w:r w:rsidRPr="00085CB5">
              <w:rPr>
                <w:rFonts w:ascii="Verdana" w:hAnsi="Verdana"/>
                <w:sz w:val="22"/>
                <w:szCs w:val="22"/>
              </w:rPr>
              <w:t>16</w:t>
            </w:r>
          </w:p>
        </w:tc>
        <w:tc>
          <w:tcPr>
            <w:tcW w:w="1600" w:type="pct"/>
            <w:hideMark/>
          </w:tcPr>
          <w:p w14:paraId="52D05CDB" w14:textId="77777777" w:rsidR="00085CB5" w:rsidRPr="00085CB5" w:rsidRDefault="00085CB5" w:rsidP="00085CB5">
            <w:pPr>
              <w:spacing w:after="160"/>
              <w:rPr>
                <w:rFonts w:ascii="Verdana" w:hAnsi="Verdana"/>
                <w:sz w:val="22"/>
                <w:szCs w:val="22"/>
              </w:rPr>
            </w:pPr>
            <w:r w:rsidRPr="00085CB5">
              <w:rPr>
                <w:rFonts w:ascii="Verdana" w:hAnsi="Verdana"/>
                <w:sz w:val="22"/>
                <w:szCs w:val="22"/>
              </w:rPr>
              <w:t>GUAJIRA</w:t>
            </w:r>
          </w:p>
        </w:tc>
        <w:tc>
          <w:tcPr>
            <w:tcW w:w="1600" w:type="pct"/>
            <w:hideMark/>
          </w:tcPr>
          <w:p w14:paraId="1E872004" w14:textId="77777777" w:rsidR="00085CB5" w:rsidRPr="00085CB5" w:rsidRDefault="00085CB5" w:rsidP="00085CB5">
            <w:pPr>
              <w:spacing w:after="160"/>
              <w:rPr>
                <w:rFonts w:ascii="Verdana" w:hAnsi="Verdana"/>
                <w:sz w:val="22"/>
                <w:szCs w:val="22"/>
              </w:rPr>
            </w:pPr>
            <w:r w:rsidRPr="00085CB5">
              <w:rPr>
                <w:rFonts w:ascii="Verdana" w:hAnsi="Verdana"/>
                <w:sz w:val="22"/>
                <w:szCs w:val="22"/>
              </w:rPr>
              <w:t>Centro Zonal. Maicao</w:t>
            </w:r>
          </w:p>
        </w:tc>
        <w:tc>
          <w:tcPr>
            <w:tcW w:w="1350" w:type="pct"/>
            <w:hideMark/>
          </w:tcPr>
          <w:p w14:paraId="40E406DB"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$ 3.691.000,00</w:t>
            </w:r>
          </w:p>
        </w:tc>
      </w:tr>
      <w:tr w:rsidR="00085CB5" w:rsidRPr="00085CB5" w14:paraId="4C4840EE" w14:textId="77777777" w:rsidTr="00085CB5">
        <w:tc>
          <w:tcPr>
            <w:tcW w:w="400" w:type="pct"/>
            <w:hideMark/>
          </w:tcPr>
          <w:p w14:paraId="057267EA" w14:textId="77777777" w:rsidR="00085CB5" w:rsidRPr="00085CB5" w:rsidRDefault="00085CB5" w:rsidP="00085CB5">
            <w:pPr>
              <w:spacing w:after="160"/>
              <w:rPr>
                <w:rFonts w:ascii="Verdana" w:hAnsi="Verdana"/>
                <w:sz w:val="22"/>
                <w:szCs w:val="22"/>
              </w:rPr>
            </w:pPr>
            <w:r w:rsidRPr="00085CB5">
              <w:rPr>
                <w:rFonts w:ascii="Verdana" w:hAnsi="Verdana"/>
                <w:sz w:val="22"/>
                <w:szCs w:val="22"/>
              </w:rPr>
              <w:t>17</w:t>
            </w:r>
          </w:p>
        </w:tc>
        <w:tc>
          <w:tcPr>
            <w:tcW w:w="1600" w:type="pct"/>
            <w:hideMark/>
          </w:tcPr>
          <w:p w14:paraId="11093269" w14:textId="77777777" w:rsidR="00085CB5" w:rsidRPr="00085CB5" w:rsidRDefault="00085CB5" w:rsidP="00085CB5">
            <w:pPr>
              <w:spacing w:after="160"/>
              <w:rPr>
                <w:rFonts w:ascii="Verdana" w:hAnsi="Verdana"/>
                <w:sz w:val="22"/>
                <w:szCs w:val="22"/>
              </w:rPr>
            </w:pPr>
            <w:r w:rsidRPr="00085CB5">
              <w:rPr>
                <w:rFonts w:ascii="Verdana" w:hAnsi="Verdana"/>
                <w:sz w:val="22"/>
                <w:szCs w:val="22"/>
              </w:rPr>
              <w:t>GUAJIRA</w:t>
            </w:r>
          </w:p>
        </w:tc>
        <w:tc>
          <w:tcPr>
            <w:tcW w:w="1600" w:type="pct"/>
            <w:hideMark/>
          </w:tcPr>
          <w:p w14:paraId="28DF94AD"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xml:space="preserve">Centro Zonal. </w:t>
            </w:r>
            <w:proofErr w:type="spellStart"/>
            <w:r w:rsidRPr="00085CB5">
              <w:rPr>
                <w:rFonts w:ascii="Verdana" w:hAnsi="Verdana"/>
                <w:sz w:val="22"/>
                <w:szCs w:val="22"/>
              </w:rPr>
              <w:t>Martaure</w:t>
            </w:r>
            <w:proofErr w:type="spellEnd"/>
          </w:p>
        </w:tc>
        <w:tc>
          <w:tcPr>
            <w:tcW w:w="1350" w:type="pct"/>
            <w:hideMark/>
          </w:tcPr>
          <w:p w14:paraId="245782F9"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$ 3 691.000,00</w:t>
            </w:r>
          </w:p>
        </w:tc>
      </w:tr>
      <w:tr w:rsidR="00085CB5" w:rsidRPr="00085CB5" w14:paraId="21254387" w14:textId="77777777" w:rsidTr="00085CB5">
        <w:tc>
          <w:tcPr>
            <w:tcW w:w="400" w:type="pct"/>
            <w:hideMark/>
          </w:tcPr>
          <w:p w14:paraId="0AEFC654" w14:textId="77777777" w:rsidR="00085CB5" w:rsidRPr="00085CB5" w:rsidRDefault="00085CB5" w:rsidP="00085CB5">
            <w:pPr>
              <w:spacing w:after="160"/>
              <w:rPr>
                <w:rFonts w:ascii="Verdana" w:hAnsi="Verdana"/>
                <w:sz w:val="22"/>
                <w:szCs w:val="22"/>
              </w:rPr>
            </w:pPr>
            <w:r w:rsidRPr="00085CB5">
              <w:rPr>
                <w:rFonts w:ascii="Verdana" w:hAnsi="Verdana"/>
                <w:sz w:val="22"/>
                <w:szCs w:val="22"/>
              </w:rPr>
              <w:t>18</w:t>
            </w:r>
          </w:p>
        </w:tc>
        <w:tc>
          <w:tcPr>
            <w:tcW w:w="1600" w:type="pct"/>
            <w:hideMark/>
          </w:tcPr>
          <w:p w14:paraId="2B982C27" w14:textId="77777777" w:rsidR="00085CB5" w:rsidRPr="00085CB5" w:rsidRDefault="00085CB5" w:rsidP="00085CB5">
            <w:pPr>
              <w:spacing w:after="160"/>
              <w:rPr>
                <w:rFonts w:ascii="Verdana" w:hAnsi="Verdana"/>
                <w:sz w:val="22"/>
                <w:szCs w:val="22"/>
              </w:rPr>
            </w:pPr>
            <w:r w:rsidRPr="00085CB5">
              <w:rPr>
                <w:rFonts w:ascii="Verdana" w:hAnsi="Verdana"/>
                <w:sz w:val="22"/>
                <w:szCs w:val="22"/>
              </w:rPr>
              <w:t>GUAJIRA</w:t>
            </w:r>
          </w:p>
        </w:tc>
        <w:tc>
          <w:tcPr>
            <w:tcW w:w="1600" w:type="pct"/>
            <w:hideMark/>
          </w:tcPr>
          <w:p w14:paraId="07E2B162" w14:textId="77777777" w:rsidR="00085CB5" w:rsidRPr="00085CB5" w:rsidRDefault="00085CB5" w:rsidP="00085CB5">
            <w:pPr>
              <w:spacing w:after="160"/>
              <w:rPr>
                <w:rFonts w:ascii="Verdana" w:hAnsi="Verdana"/>
                <w:sz w:val="22"/>
                <w:szCs w:val="22"/>
              </w:rPr>
            </w:pPr>
            <w:r w:rsidRPr="00085CB5">
              <w:rPr>
                <w:rFonts w:ascii="Verdana" w:hAnsi="Verdana"/>
                <w:sz w:val="22"/>
                <w:szCs w:val="22"/>
              </w:rPr>
              <w:t>Centro Zonal Riohacha 2</w:t>
            </w:r>
          </w:p>
        </w:tc>
        <w:tc>
          <w:tcPr>
            <w:tcW w:w="1350" w:type="pct"/>
            <w:hideMark/>
          </w:tcPr>
          <w:p w14:paraId="1EBBAE95"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$ 3.691.000,00</w:t>
            </w:r>
          </w:p>
        </w:tc>
      </w:tr>
      <w:tr w:rsidR="00085CB5" w:rsidRPr="00085CB5" w14:paraId="40076D64" w14:textId="77777777" w:rsidTr="00085CB5">
        <w:tc>
          <w:tcPr>
            <w:tcW w:w="2000" w:type="pct"/>
            <w:gridSpan w:val="2"/>
            <w:hideMark/>
          </w:tcPr>
          <w:p w14:paraId="2D9C4AC4" w14:textId="77777777" w:rsidR="00085CB5" w:rsidRPr="00085CB5" w:rsidRDefault="00085CB5" w:rsidP="00085CB5">
            <w:pPr>
              <w:spacing w:after="160"/>
              <w:rPr>
                <w:rFonts w:ascii="Verdana" w:hAnsi="Verdana"/>
                <w:sz w:val="22"/>
                <w:szCs w:val="22"/>
              </w:rPr>
            </w:pPr>
            <w:proofErr w:type="gramStart"/>
            <w:r w:rsidRPr="00085CB5">
              <w:rPr>
                <w:rFonts w:ascii="Verdana" w:hAnsi="Verdana"/>
                <w:sz w:val="22"/>
                <w:szCs w:val="22"/>
              </w:rPr>
              <w:t>Total</w:t>
            </w:r>
            <w:proofErr w:type="gramEnd"/>
            <w:r w:rsidRPr="00085CB5">
              <w:rPr>
                <w:rFonts w:ascii="Verdana" w:hAnsi="Verdana"/>
                <w:sz w:val="22"/>
                <w:szCs w:val="22"/>
              </w:rPr>
              <w:t xml:space="preserve"> Guajira</w:t>
            </w:r>
          </w:p>
        </w:tc>
        <w:tc>
          <w:tcPr>
            <w:tcW w:w="1600" w:type="pct"/>
            <w:hideMark/>
          </w:tcPr>
          <w:p w14:paraId="5FED07EF" w14:textId="77777777" w:rsidR="00085CB5" w:rsidRPr="00085CB5" w:rsidRDefault="00085CB5" w:rsidP="00085CB5">
            <w:pPr>
              <w:spacing w:after="160"/>
              <w:rPr>
                <w:rFonts w:ascii="Verdana" w:hAnsi="Verdana"/>
                <w:sz w:val="22"/>
                <w:szCs w:val="22"/>
              </w:rPr>
            </w:pPr>
            <w:r w:rsidRPr="00085CB5">
              <w:rPr>
                <w:rFonts w:ascii="Verdana" w:hAnsi="Verdana"/>
                <w:sz w:val="22"/>
                <w:szCs w:val="22"/>
              </w:rPr>
              <w:t>5</w:t>
            </w:r>
          </w:p>
        </w:tc>
        <w:tc>
          <w:tcPr>
            <w:tcW w:w="1350" w:type="pct"/>
            <w:hideMark/>
          </w:tcPr>
          <w:p w14:paraId="235647A6" w14:textId="77777777" w:rsidR="00085CB5" w:rsidRPr="00085CB5" w:rsidRDefault="00085CB5" w:rsidP="00085CB5">
            <w:pPr>
              <w:spacing w:after="160"/>
              <w:rPr>
                <w:rFonts w:ascii="Verdana" w:hAnsi="Verdana"/>
                <w:sz w:val="22"/>
                <w:szCs w:val="22"/>
              </w:rPr>
            </w:pPr>
            <w:r w:rsidRPr="00085CB5">
              <w:rPr>
                <w:rFonts w:ascii="Verdana" w:hAnsi="Verdana"/>
                <w:sz w:val="22"/>
                <w:szCs w:val="22"/>
              </w:rPr>
              <w:t>$</w:t>
            </w:r>
            <w:r w:rsidRPr="00085CB5">
              <w:rPr>
                <w:rFonts w:ascii="Verdana" w:hAnsi="Verdana"/>
                <w:sz w:val="22"/>
                <w:szCs w:val="22"/>
                <w:u w:val="single"/>
              </w:rPr>
              <w:t> 15 631 000.00</w:t>
            </w:r>
          </w:p>
        </w:tc>
      </w:tr>
      <w:tr w:rsidR="00085CB5" w:rsidRPr="00085CB5" w14:paraId="679E8AEA" w14:textId="77777777" w:rsidTr="00085CB5">
        <w:tc>
          <w:tcPr>
            <w:tcW w:w="400" w:type="pct"/>
            <w:hideMark/>
          </w:tcPr>
          <w:p w14:paraId="77FC771B" w14:textId="77777777" w:rsidR="00085CB5" w:rsidRPr="00085CB5" w:rsidRDefault="00085CB5" w:rsidP="00085CB5">
            <w:pPr>
              <w:spacing w:after="160"/>
              <w:rPr>
                <w:rFonts w:ascii="Verdana" w:hAnsi="Verdana"/>
                <w:sz w:val="22"/>
                <w:szCs w:val="22"/>
              </w:rPr>
            </w:pPr>
            <w:r w:rsidRPr="00085CB5">
              <w:rPr>
                <w:rFonts w:ascii="Verdana" w:hAnsi="Verdana"/>
                <w:sz w:val="22"/>
                <w:szCs w:val="22"/>
              </w:rPr>
              <w:t>19</w:t>
            </w:r>
          </w:p>
        </w:tc>
        <w:tc>
          <w:tcPr>
            <w:tcW w:w="1600" w:type="pct"/>
            <w:hideMark/>
          </w:tcPr>
          <w:p w14:paraId="2B724896" w14:textId="77777777" w:rsidR="00085CB5" w:rsidRPr="00085CB5" w:rsidRDefault="00085CB5" w:rsidP="00085CB5">
            <w:pPr>
              <w:spacing w:after="160"/>
              <w:rPr>
                <w:rFonts w:ascii="Verdana" w:hAnsi="Verdana"/>
                <w:sz w:val="22"/>
                <w:szCs w:val="22"/>
              </w:rPr>
            </w:pPr>
            <w:r w:rsidRPr="00085CB5">
              <w:rPr>
                <w:rFonts w:ascii="Verdana" w:hAnsi="Verdana"/>
                <w:sz w:val="22"/>
                <w:szCs w:val="22"/>
              </w:rPr>
              <w:t>HUILA</w:t>
            </w:r>
          </w:p>
        </w:tc>
        <w:tc>
          <w:tcPr>
            <w:tcW w:w="1600" w:type="pct"/>
            <w:hideMark/>
          </w:tcPr>
          <w:p w14:paraId="5A576D0B" w14:textId="77777777" w:rsidR="00085CB5" w:rsidRPr="00085CB5" w:rsidRDefault="00085CB5" w:rsidP="00085CB5">
            <w:pPr>
              <w:spacing w:after="160"/>
              <w:rPr>
                <w:rFonts w:ascii="Verdana" w:hAnsi="Verdana"/>
                <w:sz w:val="22"/>
                <w:szCs w:val="22"/>
              </w:rPr>
            </w:pPr>
            <w:r w:rsidRPr="00085CB5">
              <w:rPr>
                <w:rFonts w:ascii="Verdana" w:hAnsi="Verdana"/>
                <w:sz w:val="22"/>
                <w:szCs w:val="22"/>
              </w:rPr>
              <w:t>Grupo Administrativo</w:t>
            </w:r>
          </w:p>
        </w:tc>
        <w:tc>
          <w:tcPr>
            <w:tcW w:w="1350" w:type="pct"/>
            <w:hideMark/>
          </w:tcPr>
          <w:p w14:paraId="66FF34EE"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$ 405.000,00</w:t>
            </w:r>
          </w:p>
        </w:tc>
      </w:tr>
      <w:tr w:rsidR="00085CB5" w:rsidRPr="00085CB5" w14:paraId="39838ECF" w14:textId="77777777" w:rsidTr="00085CB5">
        <w:tc>
          <w:tcPr>
            <w:tcW w:w="400" w:type="pct"/>
            <w:hideMark/>
          </w:tcPr>
          <w:p w14:paraId="484427E5" w14:textId="77777777" w:rsidR="00085CB5" w:rsidRPr="00085CB5" w:rsidRDefault="00085CB5" w:rsidP="00085CB5">
            <w:pPr>
              <w:spacing w:after="160"/>
              <w:rPr>
                <w:rFonts w:ascii="Verdana" w:hAnsi="Verdana"/>
                <w:sz w:val="22"/>
                <w:szCs w:val="22"/>
              </w:rPr>
            </w:pPr>
            <w:r w:rsidRPr="00085CB5">
              <w:rPr>
                <w:rFonts w:ascii="Verdana" w:hAnsi="Verdana"/>
                <w:sz w:val="22"/>
                <w:szCs w:val="22"/>
              </w:rPr>
              <w:t>20</w:t>
            </w:r>
          </w:p>
        </w:tc>
        <w:tc>
          <w:tcPr>
            <w:tcW w:w="1600" w:type="pct"/>
            <w:hideMark/>
          </w:tcPr>
          <w:p w14:paraId="79BB63D0" w14:textId="77777777" w:rsidR="00085CB5" w:rsidRPr="00085CB5" w:rsidRDefault="00085CB5" w:rsidP="00085CB5">
            <w:pPr>
              <w:spacing w:after="160"/>
              <w:rPr>
                <w:rFonts w:ascii="Verdana" w:hAnsi="Verdana"/>
                <w:sz w:val="22"/>
                <w:szCs w:val="22"/>
              </w:rPr>
            </w:pPr>
            <w:r w:rsidRPr="00085CB5">
              <w:rPr>
                <w:rFonts w:ascii="Verdana" w:hAnsi="Verdana"/>
                <w:sz w:val="22"/>
                <w:szCs w:val="22"/>
              </w:rPr>
              <w:t>HUILA</w:t>
            </w:r>
          </w:p>
        </w:tc>
        <w:tc>
          <w:tcPr>
            <w:tcW w:w="1600" w:type="pct"/>
            <w:hideMark/>
          </w:tcPr>
          <w:p w14:paraId="24F12AC9" w14:textId="77777777" w:rsidR="00085CB5" w:rsidRPr="00085CB5" w:rsidRDefault="00085CB5" w:rsidP="00085CB5">
            <w:pPr>
              <w:spacing w:after="160"/>
              <w:rPr>
                <w:rFonts w:ascii="Verdana" w:hAnsi="Verdana"/>
                <w:sz w:val="22"/>
                <w:szCs w:val="22"/>
              </w:rPr>
            </w:pPr>
            <w:r w:rsidRPr="00085CB5">
              <w:rPr>
                <w:rFonts w:ascii="Verdana" w:hAnsi="Verdana"/>
                <w:sz w:val="22"/>
                <w:szCs w:val="22"/>
              </w:rPr>
              <w:t>Centro Zonal. Garzón</w:t>
            </w:r>
          </w:p>
        </w:tc>
        <w:tc>
          <w:tcPr>
            <w:tcW w:w="1350" w:type="pct"/>
            <w:hideMark/>
          </w:tcPr>
          <w:p w14:paraId="53031D30"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$ 420.000,00</w:t>
            </w:r>
          </w:p>
        </w:tc>
      </w:tr>
      <w:tr w:rsidR="00085CB5" w:rsidRPr="00085CB5" w14:paraId="67294A90" w14:textId="77777777" w:rsidTr="00085CB5">
        <w:tc>
          <w:tcPr>
            <w:tcW w:w="400" w:type="pct"/>
            <w:hideMark/>
          </w:tcPr>
          <w:p w14:paraId="070A62E9" w14:textId="77777777" w:rsidR="00085CB5" w:rsidRPr="00085CB5" w:rsidRDefault="00085CB5" w:rsidP="00085CB5">
            <w:pPr>
              <w:spacing w:after="160"/>
              <w:rPr>
                <w:rFonts w:ascii="Verdana" w:hAnsi="Verdana"/>
                <w:sz w:val="22"/>
                <w:szCs w:val="22"/>
              </w:rPr>
            </w:pPr>
            <w:r w:rsidRPr="00085CB5">
              <w:rPr>
                <w:rFonts w:ascii="Verdana" w:hAnsi="Verdana"/>
                <w:sz w:val="22"/>
                <w:szCs w:val="22"/>
              </w:rPr>
              <w:t>21</w:t>
            </w:r>
          </w:p>
        </w:tc>
        <w:tc>
          <w:tcPr>
            <w:tcW w:w="1600" w:type="pct"/>
            <w:hideMark/>
          </w:tcPr>
          <w:p w14:paraId="3481319A" w14:textId="77777777" w:rsidR="00085CB5" w:rsidRPr="00085CB5" w:rsidRDefault="00085CB5" w:rsidP="00085CB5">
            <w:pPr>
              <w:spacing w:after="160"/>
              <w:rPr>
                <w:rFonts w:ascii="Verdana" w:hAnsi="Verdana"/>
                <w:sz w:val="22"/>
                <w:szCs w:val="22"/>
              </w:rPr>
            </w:pPr>
            <w:r w:rsidRPr="00085CB5">
              <w:rPr>
                <w:rFonts w:ascii="Verdana" w:hAnsi="Verdana"/>
                <w:sz w:val="22"/>
                <w:szCs w:val="22"/>
              </w:rPr>
              <w:t>HUILA</w:t>
            </w:r>
          </w:p>
        </w:tc>
        <w:tc>
          <w:tcPr>
            <w:tcW w:w="1600" w:type="pct"/>
            <w:hideMark/>
          </w:tcPr>
          <w:p w14:paraId="5B58BA2F" w14:textId="77777777" w:rsidR="00085CB5" w:rsidRPr="00085CB5" w:rsidRDefault="00085CB5" w:rsidP="00085CB5">
            <w:pPr>
              <w:spacing w:after="160"/>
              <w:rPr>
                <w:rFonts w:ascii="Verdana" w:hAnsi="Verdana"/>
                <w:sz w:val="22"/>
                <w:szCs w:val="22"/>
              </w:rPr>
            </w:pPr>
            <w:r w:rsidRPr="00085CB5">
              <w:rPr>
                <w:rFonts w:ascii="Verdana" w:hAnsi="Verdana"/>
                <w:sz w:val="22"/>
                <w:szCs w:val="22"/>
              </w:rPr>
              <w:t>Centro Zonal. La plata</w:t>
            </w:r>
          </w:p>
        </w:tc>
        <w:tc>
          <w:tcPr>
            <w:tcW w:w="1350" w:type="pct"/>
            <w:hideMark/>
          </w:tcPr>
          <w:p w14:paraId="75EB83B9"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$ 404.000,00</w:t>
            </w:r>
          </w:p>
        </w:tc>
      </w:tr>
      <w:tr w:rsidR="00085CB5" w:rsidRPr="00085CB5" w14:paraId="7D7EF6E0" w14:textId="77777777" w:rsidTr="00085CB5">
        <w:tc>
          <w:tcPr>
            <w:tcW w:w="400" w:type="pct"/>
            <w:hideMark/>
          </w:tcPr>
          <w:p w14:paraId="361E67FB" w14:textId="77777777" w:rsidR="00085CB5" w:rsidRPr="00085CB5" w:rsidRDefault="00085CB5" w:rsidP="00085CB5">
            <w:pPr>
              <w:spacing w:after="160"/>
              <w:rPr>
                <w:rFonts w:ascii="Verdana" w:hAnsi="Verdana"/>
                <w:sz w:val="22"/>
                <w:szCs w:val="22"/>
              </w:rPr>
            </w:pPr>
            <w:r w:rsidRPr="00085CB5">
              <w:rPr>
                <w:rFonts w:ascii="Verdana" w:hAnsi="Verdana"/>
                <w:sz w:val="22"/>
                <w:szCs w:val="22"/>
              </w:rPr>
              <w:t>22</w:t>
            </w:r>
          </w:p>
        </w:tc>
        <w:tc>
          <w:tcPr>
            <w:tcW w:w="1600" w:type="pct"/>
            <w:hideMark/>
          </w:tcPr>
          <w:p w14:paraId="4787D0B7" w14:textId="77777777" w:rsidR="00085CB5" w:rsidRPr="00085CB5" w:rsidRDefault="00085CB5" w:rsidP="00085CB5">
            <w:pPr>
              <w:spacing w:after="160"/>
              <w:rPr>
                <w:rFonts w:ascii="Verdana" w:hAnsi="Verdana"/>
                <w:sz w:val="22"/>
                <w:szCs w:val="22"/>
              </w:rPr>
            </w:pPr>
            <w:r w:rsidRPr="00085CB5">
              <w:rPr>
                <w:rFonts w:ascii="Verdana" w:hAnsi="Verdana"/>
                <w:sz w:val="22"/>
                <w:szCs w:val="22"/>
              </w:rPr>
              <w:t>HUILA</w:t>
            </w:r>
          </w:p>
        </w:tc>
        <w:tc>
          <w:tcPr>
            <w:tcW w:w="1600" w:type="pct"/>
            <w:hideMark/>
          </w:tcPr>
          <w:p w14:paraId="405ECFBA" w14:textId="77777777" w:rsidR="00085CB5" w:rsidRPr="00085CB5" w:rsidRDefault="00085CB5" w:rsidP="00085CB5">
            <w:pPr>
              <w:spacing w:after="160"/>
              <w:rPr>
                <w:rFonts w:ascii="Verdana" w:hAnsi="Verdana"/>
                <w:sz w:val="22"/>
                <w:szCs w:val="22"/>
              </w:rPr>
            </w:pPr>
            <w:r w:rsidRPr="00085CB5">
              <w:rPr>
                <w:rFonts w:ascii="Verdana" w:hAnsi="Verdana"/>
                <w:sz w:val="22"/>
                <w:szCs w:val="22"/>
              </w:rPr>
              <w:t>Centro Zonal Neiva 1</w:t>
            </w:r>
          </w:p>
        </w:tc>
        <w:tc>
          <w:tcPr>
            <w:tcW w:w="1350" w:type="pct"/>
            <w:hideMark/>
          </w:tcPr>
          <w:p w14:paraId="1053E4D8"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$ 1 088 000,00</w:t>
            </w:r>
          </w:p>
        </w:tc>
      </w:tr>
      <w:tr w:rsidR="00085CB5" w:rsidRPr="00085CB5" w14:paraId="63779EE6" w14:textId="77777777" w:rsidTr="00085CB5">
        <w:tc>
          <w:tcPr>
            <w:tcW w:w="400" w:type="pct"/>
            <w:hideMark/>
          </w:tcPr>
          <w:p w14:paraId="0AD1E95D" w14:textId="77777777" w:rsidR="00085CB5" w:rsidRPr="00085CB5" w:rsidRDefault="00085CB5" w:rsidP="00085CB5">
            <w:pPr>
              <w:spacing w:after="160"/>
              <w:rPr>
                <w:rFonts w:ascii="Verdana" w:hAnsi="Verdana"/>
                <w:sz w:val="22"/>
                <w:szCs w:val="22"/>
              </w:rPr>
            </w:pPr>
            <w:r w:rsidRPr="00085CB5">
              <w:rPr>
                <w:rFonts w:ascii="Verdana" w:hAnsi="Verdana"/>
                <w:sz w:val="22"/>
                <w:szCs w:val="22"/>
              </w:rPr>
              <w:t>23</w:t>
            </w:r>
          </w:p>
        </w:tc>
        <w:tc>
          <w:tcPr>
            <w:tcW w:w="1600" w:type="pct"/>
            <w:hideMark/>
          </w:tcPr>
          <w:p w14:paraId="31F23D2C" w14:textId="77777777" w:rsidR="00085CB5" w:rsidRPr="00085CB5" w:rsidRDefault="00085CB5" w:rsidP="00085CB5">
            <w:pPr>
              <w:spacing w:after="160"/>
              <w:rPr>
                <w:rFonts w:ascii="Verdana" w:hAnsi="Verdana"/>
                <w:sz w:val="22"/>
                <w:szCs w:val="22"/>
              </w:rPr>
            </w:pPr>
            <w:r w:rsidRPr="00085CB5">
              <w:rPr>
                <w:rFonts w:ascii="Verdana" w:hAnsi="Verdana"/>
                <w:sz w:val="22"/>
                <w:szCs w:val="22"/>
              </w:rPr>
              <w:t>HUILA</w:t>
            </w:r>
          </w:p>
        </w:tc>
        <w:tc>
          <w:tcPr>
            <w:tcW w:w="1600" w:type="pct"/>
            <w:hideMark/>
          </w:tcPr>
          <w:p w14:paraId="35219727" w14:textId="77777777" w:rsidR="00085CB5" w:rsidRPr="00085CB5" w:rsidRDefault="00085CB5" w:rsidP="00085CB5">
            <w:pPr>
              <w:spacing w:after="160"/>
              <w:rPr>
                <w:rFonts w:ascii="Verdana" w:hAnsi="Verdana"/>
                <w:sz w:val="22"/>
                <w:szCs w:val="22"/>
              </w:rPr>
            </w:pPr>
            <w:r w:rsidRPr="00085CB5">
              <w:rPr>
                <w:rFonts w:ascii="Verdana" w:hAnsi="Verdana"/>
                <w:sz w:val="22"/>
                <w:szCs w:val="22"/>
              </w:rPr>
              <w:t>Centro Zonal La Gaitana</w:t>
            </w:r>
          </w:p>
        </w:tc>
        <w:tc>
          <w:tcPr>
            <w:tcW w:w="1350" w:type="pct"/>
            <w:hideMark/>
          </w:tcPr>
          <w:p w14:paraId="64B088A9"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$ 807.000,00</w:t>
            </w:r>
          </w:p>
        </w:tc>
      </w:tr>
      <w:tr w:rsidR="00085CB5" w:rsidRPr="00085CB5" w14:paraId="4785B843" w14:textId="77777777" w:rsidTr="00085CB5">
        <w:tc>
          <w:tcPr>
            <w:tcW w:w="400" w:type="pct"/>
            <w:hideMark/>
          </w:tcPr>
          <w:p w14:paraId="7F17BFC8" w14:textId="77777777" w:rsidR="00085CB5" w:rsidRPr="00085CB5" w:rsidRDefault="00085CB5" w:rsidP="00085CB5">
            <w:pPr>
              <w:spacing w:after="160"/>
              <w:rPr>
                <w:rFonts w:ascii="Verdana" w:hAnsi="Verdana"/>
                <w:sz w:val="22"/>
                <w:szCs w:val="22"/>
              </w:rPr>
            </w:pPr>
            <w:r w:rsidRPr="00085CB5">
              <w:rPr>
                <w:rFonts w:ascii="Verdana" w:hAnsi="Verdana"/>
                <w:sz w:val="22"/>
                <w:szCs w:val="22"/>
              </w:rPr>
              <w:t>24</w:t>
            </w:r>
          </w:p>
        </w:tc>
        <w:tc>
          <w:tcPr>
            <w:tcW w:w="1600" w:type="pct"/>
            <w:hideMark/>
          </w:tcPr>
          <w:p w14:paraId="4D2560E1" w14:textId="77777777" w:rsidR="00085CB5" w:rsidRPr="00085CB5" w:rsidRDefault="00085CB5" w:rsidP="00085CB5">
            <w:pPr>
              <w:spacing w:after="160"/>
              <w:rPr>
                <w:rFonts w:ascii="Verdana" w:hAnsi="Verdana"/>
                <w:sz w:val="22"/>
                <w:szCs w:val="22"/>
              </w:rPr>
            </w:pPr>
            <w:r w:rsidRPr="00085CB5">
              <w:rPr>
                <w:rFonts w:ascii="Verdana" w:hAnsi="Verdana"/>
                <w:sz w:val="22"/>
                <w:szCs w:val="22"/>
              </w:rPr>
              <w:t>HUILA</w:t>
            </w:r>
          </w:p>
        </w:tc>
        <w:tc>
          <w:tcPr>
            <w:tcW w:w="1600" w:type="pct"/>
            <w:hideMark/>
          </w:tcPr>
          <w:p w14:paraId="2E027015" w14:textId="77777777" w:rsidR="00085CB5" w:rsidRPr="00085CB5" w:rsidRDefault="00085CB5" w:rsidP="00085CB5">
            <w:pPr>
              <w:spacing w:after="160"/>
              <w:rPr>
                <w:rFonts w:ascii="Verdana" w:hAnsi="Verdana"/>
                <w:sz w:val="22"/>
                <w:szCs w:val="22"/>
              </w:rPr>
            </w:pPr>
            <w:r w:rsidRPr="00085CB5">
              <w:rPr>
                <w:rFonts w:ascii="Verdana" w:hAnsi="Verdana"/>
                <w:sz w:val="22"/>
                <w:szCs w:val="22"/>
              </w:rPr>
              <w:t>Centro Zonal Pitalito</w:t>
            </w:r>
          </w:p>
        </w:tc>
        <w:tc>
          <w:tcPr>
            <w:tcW w:w="1350" w:type="pct"/>
            <w:hideMark/>
          </w:tcPr>
          <w:p w14:paraId="2E928F06"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$ 628.000,00</w:t>
            </w:r>
          </w:p>
        </w:tc>
      </w:tr>
      <w:tr w:rsidR="00085CB5" w:rsidRPr="00085CB5" w14:paraId="703D11F9" w14:textId="77777777" w:rsidTr="00085CB5">
        <w:tc>
          <w:tcPr>
            <w:tcW w:w="400" w:type="pct"/>
            <w:hideMark/>
          </w:tcPr>
          <w:p w14:paraId="6FFACF6F" w14:textId="77777777" w:rsidR="00085CB5" w:rsidRPr="00085CB5" w:rsidRDefault="00085CB5" w:rsidP="00085CB5">
            <w:pPr>
              <w:spacing w:after="160"/>
              <w:rPr>
                <w:rFonts w:ascii="Verdana" w:hAnsi="Verdana"/>
                <w:sz w:val="22"/>
                <w:szCs w:val="22"/>
              </w:rPr>
            </w:pPr>
            <w:r w:rsidRPr="00085CB5">
              <w:rPr>
                <w:rFonts w:ascii="Verdana" w:hAnsi="Verdana"/>
                <w:sz w:val="22"/>
                <w:szCs w:val="22"/>
              </w:rPr>
              <w:t>25</w:t>
            </w:r>
          </w:p>
        </w:tc>
        <w:tc>
          <w:tcPr>
            <w:tcW w:w="1600" w:type="pct"/>
            <w:hideMark/>
          </w:tcPr>
          <w:p w14:paraId="03F4C126" w14:textId="77777777" w:rsidR="00085CB5" w:rsidRPr="00085CB5" w:rsidRDefault="00085CB5" w:rsidP="00085CB5">
            <w:pPr>
              <w:spacing w:after="160"/>
              <w:rPr>
                <w:rFonts w:ascii="Verdana" w:hAnsi="Verdana"/>
                <w:sz w:val="22"/>
                <w:szCs w:val="22"/>
              </w:rPr>
            </w:pPr>
            <w:r w:rsidRPr="00085CB5">
              <w:rPr>
                <w:rFonts w:ascii="Verdana" w:hAnsi="Verdana"/>
                <w:sz w:val="22"/>
                <w:szCs w:val="22"/>
              </w:rPr>
              <w:t>HUILA</w:t>
            </w:r>
          </w:p>
        </w:tc>
        <w:tc>
          <w:tcPr>
            <w:tcW w:w="1600" w:type="pct"/>
            <w:hideMark/>
          </w:tcPr>
          <w:p w14:paraId="5FA290F7" w14:textId="77777777" w:rsidR="00085CB5" w:rsidRPr="00085CB5" w:rsidRDefault="00085CB5" w:rsidP="00085CB5">
            <w:pPr>
              <w:spacing w:after="160"/>
              <w:rPr>
                <w:rFonts w:ascii="Verdana" w:hAnsi="Verdana"/>
                <w:sz w:val="22"/>
                <w:szCs w:val="22"/>
              </w:rPr>
            </w:pPr>
            <w:r w:rsidRPr="00085CB5">
              <w:rPr>
                <w:rFonts w:ascii="Verdana" w:hAnsi="Verdana"/>
                <w:sz w:val="22"/>
                <w:szCs w:val="22"/>
              </w:rPr>
              <w:t>Grupo Jurídico</w:t>
            </w:r>
          </w:p>
        </w:tc>
        <w:tc>
          <w:tcPr>
            <w:tcW w:w="1350" w:type="pct"/>
            <w:hideMark/>
          </w:tcPr>
          <w:p w14:paraId="7AA03C7A"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$ 1.305.000,00</w:t>
            </w:r>
          </w:p>
        </w:tc>
      </w:tr>
      <w:tr w:rsidR="00085CB5" w:rsidRPr="00085CB5" w14:paraId="496CF984" w14:textId="77777777" w:rsidTr="00085CB5">
        <w:tc>
          <w:tcPr>
            <w:tcW w:w="2000" w:type="pct"/>
            <w:gridSpan w:val="2"/>
            <w:hideMark/>
          </w:tcPr>
          <w:p w14:paraId="71E76ED2" w14:textId="77777777" w:rsidR="00085CB5" w:rsidRPr="00085CB5" w:rsidRDefault="00085CB5" w:rsidP="00085CB5">
            <w:pPr>
              <w:spacing w:after="160"/>
              <w:rPr>
                <w:rFonts w:ascii="Verdana" w:hAnsi="Verdana"/>
                <w:sz w:val="22"/>
                <w:szCs w:val="22"/>
              </w:rPr>
            </w:pPr>
            <w:proofErr w:type="gramStart"/>
            <w:r w:rsidRPr="00085CB5">
              <w:rPr>
                <w:rFonts w:ascii="Verdana" w:hAnsi="Verdana"/>
                <w:sz w:val="22"/>
                <w:szCs w:val="22"/>
              </w:rPr>
              <w:t>Total</w:t>
            </w:r>
            <w:proofErr w:type="gramEnd"/>
            <w:r w:rsidRPr="00085CB5">
              <w:rPr>
                <w:rFonts w:ascii="Verdana" w:hAnsi="Verdana"/>
                <w:sz w:val="22"/>
                <w:szCs w:val="22"/>
              </w:rPr>
              <w:t xml:space="preserve"> Huila</w:t>
            </w:r>
          </w:p>
        </w:tc>
        <w:tc>
          <w:tcPr>
            <w:tcW w:w="1600" w:type="pct"/>
            <w:hideMark/>
          </w:tcPr>
          <w:p w14:paraId="569367BF" w14:textId="77777777" w:rsidR="00085CB5" w:rsidRPr="00085CB5" w:rsidRDefault="00085CB5" w:rsidP="00085CB5">
            <w:pPr>
              <w:spacing w:after="160"/>
              <w:rPr>
                <w:rFonts w:ascii="Verdana" w:hAnsi="Verdana"/>
                <w:sz w:val="22"/>
                <w:szCs w:val="22"/>
              </w:rPr>
            </w:pPr>
            <w:r w:rsidRPr="00085CB5">
              <w:rPr>
                <w:rFonts w:ascii="Verdana" w:hAnsi="Verdana"/>
                <w:sz w:val="22"/>
                <w:szCs w:val="22"/>
              </w:rPr>
              <w:t>7</w:t>
            </w:r>
          </w:p>
        </w:tc>
        <w:tc>
          <w:tcPr>
            <w:tcW w:w="1350" w:type="pct"/>
            <w:hideMark/>
          </w:tcPr>
          <w:p w14:paraId="6FFFF528" w14:textId="77777777" w:rsidR="00085CB5" w:rsidRPr="00085CB5" w:rsidRDefault="00085CB5" w:rsidP="00085CB5">
            <w:pPr>
              <w:spacing w:after="160"/>
              <w:rPr>
                <w:rFonts w:ascii="Verdana" w:hAnsi="Verdana"/>
                <w:sz w:val="22"/>
                <w:szCs w:val="22"/>
              </w:rPr>
            </w:pPr>
            <w:r w:rsidRPr="00085CB5">
              <w:rPr>
                <w:rFonts w:ascii="Verdana" w:hAnsi="Verdana"/>
                <w:sz w:val="22"/>
                <w:szCs w:val="22"/>
              </w:rPr>
              <w:t>$</w:t>
            </w:r>
            <w:r w:rsidRPr="00085CB5">
              <w:rPr>
                <w:rFonts w:ascii="Verdana" w:hAnsi="Verdana"/>
                <w:sz w:val="22"/>
                <w:szCs w:val="22"/>
                <w:u w:val="single"/>
              </w:rPr>
              <w:t> 5.057.000.00</w:t>
            </w:r>
          </w:p>
        </w:tc>
      </w:tr>
      <w:tr w:rsidR="00085CB5" w:rsidRPr="00085CB5" w14:paraId="543FE8BF" w14:textId="77777777" w:rsidTr="00085CB5">
        <w:tc>
          <w:tcPr>
            <w:tcW w:w="400" w:type="pct"/>
            <w:hideMark/>
          </w:tcPr>
          <w:p w14:paraId="74AD0BB3" w14:textId="77777777" w:rsidR="00085CB5" w:rsidRPr="00085CB5" w:rsidRDefault="00085CB5" w:rsidP="00085CB5">
            <w:pPr>
              <w:spacing w:after="160"/>
              <w:rPr>
                <w:rFonts w:ascii="Verdana" w:hAnsi="Verdana"/>
                <w:sz w:val="22"/>
                <w:szCs w:val="22"/>
              </w:rPr>
            </w:pPr>
            <w:r w:rsidRPr="00085CB5">
              <w:rPr>
                <w:rFonts w:ascii="Verdana" w:hAnsi="Verdana"/>
                <w:sz w:val="22"/>
                <w:szCs w:val="22"/>
              </w:rPr>
              <w:t>26</w:t>
            </w:r>
          </w:p>
        </w:tc>
        <w:tc>
          <w:tcPr>
            <w:tcW w:w="1600" w:type="pct"/>
            <w:hideMark/>
          </w:tcPr>
          <w:p w14:paraId="2DA6CE8F" w14:textId="77777777" w:rsidR="00085CB5" w:rsidRPr="00085CB5" w:rsidRDefault="00085CB5" w:rsidP="00085CB5">
            <w:pPr>
              <w:spacing w:after="160"/>
              <w:rPr>
                <w:rFonts w:ascii="Verdana" w:hAnsi="Verdana"/>
                <w:sz w:val="22"/>
                <w:szCs w:val="22"/>
              </w:rPr>
            </w:pPr>
            <w:r w:rsidRPr="00085CB5">
              <w:rPr>
                <w:rFonts w:ascii="Verdana" w:hAnsi="Verdana"/>
                <w:sz w:val="22"/>
                <w:szCs w:val="22"/>
              </w:rPr>
              <w:t>MAGDALENA</w:t>
            </w:r>
          </w:p>
        </w:tc>
        <w:tc>
          <w:tcPr>
            <w:tcW w:w="1600" w:type="pct"/>
            <w:hideMark/>
          </w:tcPr>
          <w:p w14:paraId="734F1997" w14:textId="77777777" w:rsidR="00085CB5" w:rsidRPr="00085CB5" w:rsidRDefault="00085CB5" w:rsidP="00085CB5">
            <w:pPr>
              <w:spacing w:after="160"/>
              <w:rPr>
                <w:rFonts w:ascii="Verdana" w:hAnsi="Verdana"/>
                <w:sz w:val="22"/>
                <w:szCs w:val="22"/>
              </w:rPr>
            </w:pPr>
            <w:r w:rsidRPr="00085CB5">
              <w:rPr>
                <w:rFonts w:ascii="Verdana" w:hAnsi="Verdana"/>
                <w:sz w:val="22"/>
                <w:szCs w:val="22"/>
              </w:rPr>
              <w:t>Grupo Jurídico</w:t>
            </w:r>
          </w:p>
        </w:tc>
        <w:tc>
          <w:tcPr>
            <w:tcW w:w="1350" w:type="pct"/>
            <w:hideMark/>
          </w:tcPr>
          <w:p w14:paraId="3C95A74C"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$ 1.676.000,00</w:t>
            </w:r>
          </w:p>
        </w:tc>
      </w:tr>
      <w:tr w:rsidR="00085CB5" w:rsidRPr="00085CB5" w14:paraId="496AB70F" w14:textId="77777777" w:rsidTr="00085CB5">
        <w:tc>
          <w:tcPr>
            <w:tcW w:w="2000" w:type="pct"/>
            <w:gridSpan w:val="2"/>
            <w:hideMark/>
          </w:tcPr>
          <w:p w14:paraId="32D0D4EF" w14:textId="77777777" w:rsidR="00085CB5" w:rsidRPr="00085CB5" w:rsidRDefault="00085CB5" w:rsidP="00085CB5">
            <w:pPr>
              <w:spacing w:after="160"/>
              <w:rPr>
                <w:rFonts w:ascii="Verdana" w:hAnsi="Verdana"/>
                <w:sz w:val="22"/>
                <w:szCs w:val="22"/>
              </w:rPr>
            </w:pPr>
            <w:proofErr w:type="gramStart"/>
            <w:r w:rsidRPr="00085CB5">
              <w:rPr>
                <w:rFonts w:ascii="Verdana" w:hAnsi="Verdana"/>
                <w:sz w:val="22"/>
                <w:szCs w:val="22"/>
              </w:rPr>
              <w:t>Total</w:t>
            </w:r>
            <w:proofErr w:type="gramEnd"/>
            <w:r w:rsidRPr="00085CB5">
              <w:rPr>
                <w:rFonts w:ascii="Verdana" w:hAnsi="Verdana"/>
                <w:sz w:val="22"/>
                <w:szCs w:val="22"/>
              </w:rPr>
              <w:t xml:space="preserve"> Magdalena</w:t>
            </w:r>
          </w:p>
        </w:tc>
        <w:tc>
          <w:tcPr>
            <w:tcW w:w="1600" w:type="pct"/>
            <w:hideMark/>
          </w:tcPr>
          <w:p w14:paraId="10859DBC" w14:textId="77777777" w:rsidR="00085CB5" w:rsidRPr="00085CB5" w:rsidRDefault="00085CB5" w:rsidP="00085CB5">
            <w:pPr>
              <w:spacing w:after="160"/>
              <w:rPr>
                <w:rFonts w:ascii="Verdana" w:hAnsi="Verdana"/>
                <w:sz w:val="22"/>
                <w:szCs w:val="22"/>
              </w:rPr>
            </w:pPr>
            <w:r w:rsidRPr="00085CB5">
              <w:rPr>
                <w:rFonts w:ascii="Verdana" w:hAnsi="Verdana"/>
                <w:sz w:val="22"/>
                <w:szCs w:val="22"/>
              </w:rPr>
              <w:t>1</w:t>
            </w:r>
          </w:p>
        </w:tc>
        <w:tc>
          <w:tcPr>
            <w:tcW w:w="1350" w:type="pct"/>
            <w:hideMark/>
          </w:tcPr>
          <w:p w14:paraId="7100DEA8" w14:textId="77777777" w:rsidR="00085CB5" w:rsidRPr="00085CB5" w:rsidRDefault="00085CB5" w:rsidP="00085CB5">
            <w:pPr>
              <w:spacing w:after="160"/>
              <w:rPr>
                <w:rFonts w:ascii="Verdana" w:hAnsi="Verdana"/>
                <w:sz w:val="22"/>
                <w:szCs w:val="22"/>
              </w:rPr>
            </w:pPr>
            <w:r w:rsidRPr="00085CB5">
              <w:rPr>
                <w:rFonts w:ascii="Verdana" w:hAnsi="Verdana"/>
                <w:sz w:val="22"/>
                <w:szCs w:val="22"/>
              </w:rPr>
              <w:t>$</w:t>
            </w:r>
            <w:r w:rsidRPr="00085CB5">
              <w:rPr>
                <w:rFonts w:ascii="Verdana" w:hAnsi="Verdana"/>
                <w:sz w:val="22"/>
                <w:szCs w:val="22"/>
                <w:u w:val="single"/>
              </w:rPr>
              <w:t> 1.676.000.00</w:t>
            </w:r>
          </w:p>
        </w:tc>
      </w:tr>
      <w:tr w:rsidR="00085CB5" w:rsidRPr="00085CB5" w14:paraId="47982619" w14:textId="77777777" w:rsidTr="00085CB5">
        <w:tc>
          <w:tcPr>
            <w:tcW w:w="400" w:type="pct"/>
            <w:hideMark/>
          </w:tcPr>
          <w:p w14:paraId="1DFDA72C" w14:textId="77777777" w:rsidR="00085CB5" w:rsidRPr="00085CB5" w:rsidRDefault="00085CB5" w:rsidP="00085CB5">
            <w:pPr>
              <w:spacing w:after="160"/>
              <w:rPr>
                <w:rFonts w:ascii="Verdana" w:hAnsi="Verdana"/>
                <w:sz w:val="22"/>
                <w:szCs w:val="22"/>
              </w:rPr>
            </w:pPr>
            <w:r w:rsidRPr="00085CB5">
              <w:rPr>
                <w:rFonts w:ascii="Verdana" w:hAnsi="Verdana"/>
                <w:sz w:val="22"/>
                <w:szCs w:val="22"/>
              </w:rPr>
              <w:t>27</w:t>
            </w:r>
          </w:p>
        </w:tc>
        <w:tc>
          <w:tcPr>
            <w:tcW w:w="1600" w:type="pct"/>
            <w:hideMark/>
          </w:tcPr>
          <w:p w14:paraId="27030BF7" w14:textId="77777777" w:rsidR="00085CB5" w:rsidRPr="00085CB5" w:rsidRDefault="00085CB5" w:rsidP="00085CB5">
            <w:pPr>
              <w:spacing w:after="160"/>
              <w:rPr>
                <w:rFonts w:ascii="Verdana" w:hAnsi="Verdana"/>
                <w:sz w:val="22"/>
                <w:szCs w:val="22"/>
              </w:rPr>
            </w:pPr>
            <w:r w:rsidRPr="00085CB5">
              <w:rPr>
                <w:rFonts w:ascii="Verdana" w:hAnsi="Verdana"/>
                <w:sz w:val="22"/>
                <w:szCs w:val="22"/>
              </w:rPr>
              <w:t>META</w:t>
            </w:r>
          </w:p>
        </w:tc>
        <w:tc>
          <w:tcPr>
            <w:tcW w:w="1600" w:type="pct"/>
            <w:hideMark/>
          </w:tcPr>
          <w:p w14:paraId="3AEED96C" w14:textId="77777777" w:rsidR="00085CB5" w:rsidRPr="00085CB5" w:rsidRDefault="00085CB5" w:rsidP="00085CB5">
            <w:pPr>
              <w:spacing w:after="160"/>
              <w:rPr>
                <w:rFonts w:ascii="Verdana" w:hAnsi="Verdana"/>
                <w:sz w:val="22"/>
                <w:szCs w:val="22"/>
              </w:rPr>
            </w:pPr>
            <w:r w:rsidRPr="00085CB5">
              <w:rPr>
                <w:rFonts w:ascii="Verdana" w:hAnsi="Verdana"/>
                <w:sz w:val="22"/>
                <w:szCs w:val="22"/>
              </w:rPr>
              <w:t>Grupo Jurídico</w:t>
            </w:r>
          </w:p>
        </w:tc>
        <w:tc>
          <w:tcPr>
            <w:tcW w:w="1350" w:type="pct"/>
            <w:hideMark/>
          </w:tcPr>
          <w:p w14:paraId="7817E424"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$ 101.000,00</w:t>
            </w:r>
          </w:p>
        </w:tc>
      </w:tr>
      <w:tr w:rsidR="00085CB5" w:rsidRPr="00085CB5" w14:paraId="421BFC38" w14:textId="77777777" w:rsidTr="00085CB5">
        <w:tc>
          <w:tcPr>
            <w:tcW w:w="2000" w:type="pct"/>
            <w:gridSpan w:val="2"/>
            <w:hideMark/>
          </w:tcPr>
          <w:p w14:paraId="32FA7203" w14:textId="77777777" w:rsidR="00085CB5" w:rsidRPr="00085CB5" w:rsidRDefault="00085CB5" w:rsidP="00085CB5">
            <w:pPr>
              <w:spacing w:after="160"/>
              <w:rPr>
                <w:rFonts w:ascii="Verdana" w:hAnsi="Verdana"/>
                <w:sz w:val="22"/>
                <w:szCs w:val="22"/>
              </w:rPr>
            </w:pPr>
            <w:proofErr w:type="gramStart"/>
            <w:r w:rsidRPr="00085CB5">
              <w:rPr>
                <w:rFonts w:ascii="Verdana" w:hAnsi="Verdana"/>
                <w:sz w:val="22"/>
                <w:szCs w:val="22"/>
              </w:rPr>
              <w:t>Total</w:t>
            </w:r>
            <w:proofErr w:type="gramEnd"/>
            <w:r w:rsidRPr="00085CB5">
              <w:rPr>
                <w:rFonts w:ascii="Verdana" w:hAnsi="Verdana"/>
                <w:sz w:val="22"/>
                <w:szCs w:val="22"/>
              </w:rPr>
              <w:t xml:space="preserve"> Meta</w:t>
            </w:r>
          </w:p>
        </w:tc>
        <w:tc>
          <w:tcPr>
            <w:tcW w:w="1600" w:type="pct"/>
            <w:hideMark/>
          </w:tcPr>
          <w:p w14:paraId="4CF4AA44" w14:textId="77777777" w:rsidR="00085CB5" w:rsidRPr="00085CB5" w:rsidRDefault="00085CB5" w:rsidP="00085CB5">
            <w:pPr>
              <w:spacing w:after="160"/>
              <w:rPr>
                <w:rFonts w:ascii="Verdana" w:hAnsi="Verdana"/>
                <w:sz w:val="22"/>
                <w:szCs w:val="22"/>
              </w:rPr>
            </w:pPr>
            <w:r w:rsidRPr="00085CB5">
              <w:rPr>
                <w:rFonts w:ascii="Verdana" w:hAnsi="Verdana"/>
                <w:sz w:val="22"/>
                <w:szCs w:val="22"/>
              </w:rPr>
              <w:t>1</w:t>
            </w:r>
          </w:p>
        </w:tc>
        <w:tc>
          <w:tcPr>
            <w:tcW w:w="1350" w:type="pct"/>
            <w:hideMark/>
          </w:tcPr>
          <w:p w14:paraId="6134CFFD" w14:textId="77777777" w:rsidR="00085CB5" w:rsidRPr="00085CB5" w:rsidRDefault="00085CB5" w:rsidP="00085CB5">
            <w:pPr>
              <w:spacing w:after="160"/>
              <w:rPr>
                <w:rFonts w:ascii="Verdana" w:hAnsi="Verdana"/>
                <w:sz w:val="22"/>
                <w:szCs w:val="22"/>
              </w:rPr>
            </w:pPr>
            <w:r w:rsidRPr="00085CB5">
              <w:rPr>
                <w:rFonts w:ascii="Verdana" w:hAnsi="Verdana"/>
                <w:sz w:val="22"/>
                <w:szCs w:val="22"/>
              </w:rPr>
              <w:t>$</w:t>
            </w:r>
            <w:r w:rsidRPr="00085CB5">
              <w:rPr>
                <w:rFonts w:ascii="Verdana" w:hAnsi="Verdana"/>
                <w:sz w:val="22"/>
                <w:szCs w:val="22"/>
                <w:u w:val="single"/>
              </w:rPr>
              <w:t> 101.000.00</w:t>
            </w:r>
          </w:p>
        </w:tc>
      </w:tr>
      <w:tr w:rsidR="00085CB5" w:rsidRPr="00085CB5" w14:paraId="361D78ED" w14:textId="77777777" w:rsidTr="00085CB5">
        <w:tc>
          <w:tcPr>
            <w:tcW w:w="400" w:type="pct"/>
            <w:hideMark/>
          </w:tcPr>
          <w:p w14:paraId="46A7CBFB" w14:textId="77777777" w:rsidR="00085CB5" w:rsidRPr="00085CB5" w:rsidRDefault="00085CB5" w:rsidP="00085CB5">
            <w:pPr>
              <w:spacing w:after="160"/>
              <w:rPr>
                <w:rFonts w:ascii="Verdana" w:hAnsi="Verdana"/>
                <w:sz w:val="22"/>
                <w:szCs w:val="22"/>
              </w:rPr>
            </w:pPr>
            <w:r w:rsidRPr="00085CB5">
              <w:rPr>
                <w:rFonts w:ascii="Verdana" w:hAnsi="Verdana"/>
                <w:sz w:val="22"/>
                <w:szCs w:val="22"/>
              </w:rPr>
              <w:t>28</w:t>
            </w:r>
          </w:p>
        </w:tc>
        <w:tc>
          <w:tcPr>
            <w:tcW w:w="1600" w:type="pct"/>
            <w:hideMark/>
          </w:tcPr>
          <w:p w14:paraId="2E493BA5" w14:textId="77777777" w:rsidR="00085CB5" w:rsidRPr="00085CB5" w:rsidRDefault="00085CB5" w:rsidP="00085CB5">
            <w:pPr>
              <w:spacing w:after="160"/>
              <w:rPr>
                <w:rFonts w:ascii="Verdana" w:hAnsi="Verdana"/>
                <w:sz w:val="22"/>
                <w:szCs w:val="22"/>
              </w:rPr>
            </w:pPr>
            <w:r w:rsidRPr="00085CB5">
              <w:rPr>
                <w:rFonts w:ascii="Verdana" w:hAnsi="Verdana"/>
                <w:sz w:val="22"/>
                <w:szCs w:val="22"/>
              </w:rPr>
              <w:t>QUINDIO</w:t>
            </w:r>
          </w:p>
        </w:tc>
        <w:tc>
          <w:tcPr>
            <w:tcW w:w="1600" w:type="pct"/>
            <w:hideMark/>
          </w:tcPr>
          <w:p w14:paraId="4A81EC27" w14:textId="77777777" w:rsidR="00085CB5" w:rsidRPr="00085CB5" w:rsidRDefault="00085CB5" w:rsidP="00085CB5">
            <w:pPr>
              <w:spacing w:after="160"/>
              <w:rPr>
                <w:rFonts w:ascii="Verdana" w:hAnsi="Verdana"/>
                <w:sz w:val="22"/>
                <w:szCs w:val="22"/>
              </w:rPr>
            </w:pPr>
            <w:r w:rsidRPr="00085CB5">
              <w:rPr>
                <w:rFonts w:ascii="Verdana" w:hAnsi="Verdana"/>
                <w:sz w:val="22"/>
                <w:szCs w:val="22"/>
              </w:rPr>
              <w:t>Grupo Administrativo</w:t>
            </w:r>
          </w:p>
        </w:tc>
        <w:tc>
          <w:tcPr>
            <w:tcW w:w="1350" w:type="pct"/>
            <w:hideMark/>
          </w:tcPr>
          <w:p w14:paraId="754D6B62"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$ 1.048.000,00</w:t>
            </w:r>
          </w:p>
        </w:tc>
      </w:tr>
      <w:tr w:rsidR="00085CB5" w:rsidRPr="00085CB5" w14:paraId="37816F69" w14:textId="77777777" w:rsidTr="00085CB5">
        <w:tc>
          <w:tcPr>
            <w:tcW w:w="2000" w:type="pct"/>
            <w:gridSpan w:val="2"/>
            <w:hideMark/>
          </w:tcPr>
          <w:p w14:paraId="23B4EC59" w14:textId="77777777" w:rsidR="00085CB5" w:rsidRPr="00085CB5" w:rsidRDefault="00085CB5" w:rsidP="00085CB5">
            <w:pPr>
              <w:spacing w:after="160"/>
              <w:rPr>
                <w:rFonts w:ascii="Verdana" w:hAnsi="Verdana"/>
                <w:sz w:val="22"/>
                <w:szCs w:val="22"/>
              </w:rPr>
            </w:pPr>
            <w:proofErr w:type="gramStart"/>
            <w:r w:rsidRPr="00085CB5">
              <w:rPr>
                <w:rFonts w:ascii="Verdana" w:hAnsi="Verdana"/>
                <w:sz w:val="22"/>
                <w:szCs w:val="22"/>
              </w:rPr>
              <w:t>Total</w:t>
            </w:r>
            <w:proofErr w:type="gramEnd"/>
            <w:r w:rsidRPr="00085CB5">
              <w:rPr>
                <w:rFonts w:ascii="Verdana" w:hAnsi="Verdana"/>
                <w:sz w:val="22"/>
                <w:szCs w:val="22"/>
              </w:rPr>
              <w:t xml:space="preserve"> Quindío</w:t>
            </w:r>
          </w:p>
        </w:tc>
        <w:tc>
          <w:tcPr>
            <w:tcW w:w="1600" w:type="pct"/>
            <w:hideMark/>
          </w:tcPr>
          <w:p w14:paraId="6EDBDA69" w14:textId="77777777" w:rsidR="00085CB5" w:rsidRPr="00085CB5" w:rsidRDefault="00085CB5" w:rsidP="00085CB5">
            <w:pPr>
              <w:spacing w:after="160"/>
              <w:rPr>
                <w:rFonts w:ascii="Verdana" w:hAnsi="Verdana"/>
                <w:sz w:val="22"/>
                <w:szCs w:val="22"/>
              </w:rPr>
            </w:pPr>
            <w:r w:rsidRPr="00085CB5">
              <w:rPr>
                <w:rFonts w:ascii="Verdana" w:hAnsi="Verdana"/>
                <w:sz w:val="22"/>
                <w:szCs w:val="22"/>
              </w:rPr>
              <w:t>1</w:t>
            </w:r>
          </w:p>
        </w:tc>
        <w:tc>
          <w:tcPr>
            <w:tcW w:w="1350" w:type="pct"/>
            <w:hideMark/>
          </w:tcPr>
          <w:p w14:paraId="0356E44F" w14:textId="77777777" w:rsidR="00085CB5" w:rsidRPr="00085CB5" w:rsidRDefault="00085CB5" w:rsidP="00085CB5">
            <w:pPr>
              <w:spacing w:after="160"/>
              <w:rPr>
                <w:rFonts w:ascii="Verdana" w:hAnsi="Verdana"/>
                <w:sz w:val="22"/>
                <w:szCs w:val="22"/>
              </w:rPr>
            </w:pPr>
            <w:r w:rsidRPr="00085CB5">
              <w:rPr>
                <w:rFonts w:ascii="Verdana" w:hAnsi="Verdana"/>
                <w:sz w:val="22"/>
                <w:szCs w:val="22"/>
              </w:rPr>
              <w:t>$</w:t>
            </w:r>
            <w:r w:rsidRPr="00085CB5">
              <w:rPr>
                <w:rFonts w:ascii="Verdana" w:hAnsi="Verdana"/>
                <w:sz w:val="22"/>
                <w:szCs w:val="22"/>
                <w:u w:val="single"/>
              </w:rPr>
              <w:t> 1.048.000.00</w:t>
            </w:r>
          </w:p>
        </w:tc>
      </w:tr>
      <w:tr w:rsidR="00085CB5" w:rsidRPr="00085CB5" w14:paraId="2B05B70A" w14:textId="77777777" w:rsidTr="00085CB5">
        <w:tc>
          <w:tcPr>
            <w:tcW w:w="400" w:type="pct"/>
            <w:hideMark/>
          </w:tcPr>
          <w:p w14:paraId="7B9BD845" w14:textId="77777777" w:rsidR="00085CB5" w:rsidRPr="00085CB5" w:rsidRDefault="00085CB5" w:rsidP="00085CB5">
            <w:pPr>
              <w:spacing w:after="160"/>
              <w:rPr>
                <w:rFonts w:ascii="Verdana" w:hAnsi="Verdana"/>
                <w:sz w:val="22"/>
                <w:szCs w:val="22"/>
              </w:rPr>
            </w:pPr>
            <w:r w:rsidRPr="00085CB5">
              <w:rPr>
                <w:rFonts w:ascii="Verdana" w:hAnsi="Verdana"/>
                <w:sz w:val="22"/>
                <w:szCs w:val="22"/>
              </w:rPr>
              <w:lastRenderedPageBreak/>
              <w:t>29</w:t>
            </w:r>
          </w:p>
        </w:tc>
        <w:tc>
          <w:tcPr>
            <w:tcW w:w="1600" w:type="pct"/>
            <w:hideMark/>
          </w:tcPr>
          <w:p w14:paraId="24C4DA0F" w14:textId="77777777" w:rsidR="00085CB5" w:rsidRPr="00085CB5" w:rsidRDefault="00085CB5" w:rsidP="00085CB5">
            <w:pPr>
              <w:spacing w:after="160"/>
              <w:rPr>
                <w:rFonts w:ascii="Verdana" w:hAnsi="Verdana"/>
                <w:sz w:val="22"/>
                <w:szCs w:val="22"/>
              </w:rPr>
            </w:pPr>
            <w:r w:rsidRPr="00085CB5">
              <w:rPr>
                <w:rFonts w:ascii="Verdana" w:hAnsi="Verdana"/>
                <w:sz w:val="22"/>
                <w:szCs w:val="22"/>
              </w:rPr>
              <w:t>SANTANDER</w:t>
            </w:r>
          </w:p>
        </w:tc>
        <w:tc>
          <w:tcPr>
            <w:tcW w:w="1600" w:type="pct"/>
            <w:hideMark/>
          </w:tcPr>
          <w:p w14:paraId="2EEE4931" w14:textId="77777777" w:rsidR="00085CB5" w:rsidRPr="00085CB5" w:rsidRDefault="00085CB5" w:rsidP="00085CB5">
            <w:pPr>
              <w:spacing w:after="160"/>
              <w:rPr>
                <w:rFonts w:ascii="Verdana" w:hAnsi="Verdana"/>
                <w:sz w:val="22"/>
                <w:szCs w:val="22"/>
              </w:rPr>
            </w:pPr>
            <w:r w:rsidRPr="00085CB5">
              <w:rPr>
                <w:rFonts w:ascii="Verdana" w:hAnsi="Verdana"/>
                <w:sz w:val="22"/>
                <w:szCs w:val="22"/>
              </w:rPr>
              <w:t>Grupo Jurídico</w:t>
            </w:r>
          </w:p>
        </w:tc>
        <w:tc>
          <w:tcPr>
            <w:tcW w:w="1350" w:type="pct"/>
            <w:hideMark/>
          </w:tcPr>
          <w:p w14:paraId="067AAB2E"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$ 505 000,00</w:t>
            </w:r>
          </w:p>
        </w:tc>
      </w:tr>
      <w:tr w:rsidR="00085CB5" w:rsidRPr="00085CB5" w14:paraId="7D717E25" w14:textId="77777777" w:rsidTr="00085CB5">
        <w:tc>
          <w:tcPr>
            <w:tcW w:w="2000" w:type="pct"/>
            <w:gridSpan w:val="2"/>
            <w:hideMark/>
          </w:tcPr>
          <w:p w14:paraId="154BBE5F" w14:textId="77777777" w:rsidR="00085CB5" w:rsidRPr="00085CB5" w:rsidRDefault="00085CB5" w:rsidP="00085CB5">
            <w:pPr>
              <w:spacing w:after="160"/>
              <w:rPr>
                <w:rFonts w:ascii="Verdana" w:hAnsi="Verdana"/>
                <w:sz w:val="22"/>
                <w:szCs w:val="22"/>
              </w:rPr>
            </w:pPr>
            <w:proofErr w:type="gramStart"/>
            <w:r w:rsidRPr="00085CB5">
              <w:rPr>
                <w:rFonts w:ascii="Verdana" w:hAnsi="Verdana"/>
                <w:sz w:val="22"/>
                <w:szCs w:val="22"/>
              </w:rPr>
              <w:t>Total</w:t>
            </w:r>
            <w:proofErr w:type="gramEnd"/>
            <w:r w:rsidRPr="00085CB5">
              <w:rPr>
                <w:rFonts w:ascii="Verdana" w:hAnsi="Verdana"/>
                <w:sz w:val="22"/>
                <w:szCs w:val="22"/>
              </w:rPr>
              <w:t xml:space="preserve"> Santander</w:t>
            </w:r>
          </w:p>
        </w:tc>
        <w:tc>
          <w:tcPr>
            <w:tcW w:w="1600" w:type="pct"/>
            <w:hideMark/>
          </w:tcPr>
          <w:p w14:paraId="15D2FDC8" w14:textId="77777777" w:rsidR="00085CB5" w:rsidRPr="00085CB5" w:rsidRDefault="00085CB5" w:rsidP="00085CB5">
            <w:pPr>
              <w:spacing w:after="160"/>
              <w:rPr>
                <w:rFonts w:ascii="Verdana" w:hAnsi="Verdana"/>
                <w:sz w:val="22"/>
                <w:szCs w:val="22"/>
              </w:rPr>
            </w:pPr>
            <w:r w:rsidRPr="00085CB5">
              <w:rPr>
                <w:rFonts w:ascii="Verdana" w:hAnsi="Verdana"/>
                <w:sz w:val="22"/>
                <w:szCs w:val="22"/>
              </w:rPr>
              <w:t>1</w:t>
            </w:r>
          </w:p>
        </w:tc>
        <w:tc>
          <w:tcPr>
            <w:tcW w:w="1350" w:type="pct"/>
            <w:hideMark/>
          </w:tcPr>
          <w:p w14:paraId="5A5EAF21" w14:textId="77777777" w:rsidR="00085CB5" w:rsidRPr="00085CB5" w:rsidRDefault="00085CB5" w:rsidP="00085CB5">
            <w:pPr>
              <w:spacing w:after="160"/>
              <w:rPr>
                <w:rFonts w:ascii="Verdana" w:hAnsi="Verdana"/>
                <w:sz w:val="22"/>
                <w:szCs w:val="22"/>
              </w:rPr>
            </w:pPr>
            <w:r w:rsidRPr="00085CB5">
              <w:rPr>
                <w:rFonts w:ascii="Verdana" w:hAnsi="Verdana"/>
                <w:sz w:val="22"/>
                <w:szCs w:val="22"/>
              </w:rPr>
              <w:t>$</w:t>
            </w:r>
            <w:r w:rsidRPr="00085CB5">
              <w:rPr>
                <w:rFonts w:ascii="Verdana" w:hAnsi="Verdana"/>
                <w:sz w:val="22"/>
                <w:szCs w:val="22"/>
                <w:u w:val="single"/>
              </w:rPr>
              <w:t> 505.000.00</w:t>
            </w:r>
          </w:p>
        </w:tc>
      </w:tr>
      <w:tr w:rsidR="00085CB5" w:rsidRPr="00085CB5" w14:paraId="400B6DE7" w14:textId="77777777" w:rsidTr="00085CB5">
        <w:tc>
          <w:tcPr>
            <w:tcW w:w="400" w:type="pct"/>
            <w:hideMark/>
          </w:tcPr>
          <w:p w14:paraId="060146A2" w14:textId="77777777" w:rsidR="00085CB5" w:rsidRPr="00085CB5" w:rsidRDefault="00085CB5" w:rsidP="00085CB5">
            <w:pPr>
              <w:spacing w:after="160"/>
              <w:rPr>
                <w:rFonts w:ascii="Verdana" w:hAnsi="Verdana"/>
                <w:sz w:val="22"/>
                <w:szCs w:val="22"/>
              </w:rPr>
            </w:pPr>
            <w:r w:rsidRPr="00085CB5">
              <w:rPr>
                <w:rFonts w:ascii="Verdana" w:hAnsi="Verdana"/>
                <w:sz w:val="22"/>
                <w:szCs w:val="22"/>
              </w:rPr>
              <w:t>30</w:t>
            </w:r>
          </w:p>
        </w:tc>
        <w:tc>
          <w:tcPr>
            <w:tcW w:w="1600" w:type="pct"/>
            <w:hideMark/>
          </w:tcPr>
          <w:p w14:paraId="79FF6B9F" w14:textId="77777777" w:rsidR="00085CB5" w:rsidRPr="00085CB5" w:rsidRDefault="00085CB5" w:rsidP="00085CB5">
            <w:pPr>
              <w:spacing w:after="160"/>
              <w:rPr>
                <w:rFonts w:ascii="Verdana" w:hAnsi="Verdana"/>
                <w:sz w:val="22"/>
                <w:szCs w:val="22"/>
              </w:rPr>
            </w:pPr>
            <w:r w:rsidRPr="00085CB5">
              <w:rPr>
                <w:rFonts w:ascii="Verdana" w:hAnsi="Verdana"/>
                <w:sz w:val="22"/>
                <w:szCs w:val="22"/>
              </w:rPr>
              <w:t>SAN ANDRES</w:t>
            </w:r>
          </w:p>
        </w:tc>
        <w:tc>
          <w:tcPr>
            <w:tcW w:w="1600" w:type="pct"/>
            <w:hideMark/>
          </w:tcPr>
          <w:p w14:paraId="56D0AA7F" w14:textId="77777777" w:rsidR="00085CB5" w:rsidRPr="00085CB5" w:rsidRDefault="00085CB5" w:rsidP="00085CB5">
            <w:pPr>
              <w:spacing w:after="160"/>
              <w:rPr>
                <w:rFonts w:ascii="Verdana" w:hAnsi="Verdana"/>
                <w:sz w:val="22"/>
                <w:szCs w:val="22"/>
              </w:rPr>
            </w:pPr>
            <w:r w:rsidRPr="00085CB5">
              <w:rPr>
                <w:rFonts w:ascii="Verdana" w:hAnsi="Verdana"/>
                <w:sz w:val="22"/>
                <w:szCs w:val="22"/>
              </w:rPr>
              <w:t>Grupo Jurídico</w:t>
            </w:r>
          </w:p>
        </w:tc>
        <w:tc>
          <w:tcPr>
            <w:tcW w:w="1350" w:type="pct"/>
            <w:hideMark/>
          </w:tcPr>
          <w:p w14:paraId="1E29AE2B"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$ 1.013.000,00</w:t>
            </w:r>
          </w:p>
        </w:tc>
      </w:tr>
      <w:tr w:rsidR="00085CB5" w:rsidRPr="00085CB5" w14:paraId="4293E6BA" w14:textId="77777777" w:rsidTr="00085CB5">
        <w:tc>
          <w:tcPr>
            <w:tcW w:w="2000" w:type="pct"/>
            <w:gridSpan w:val="2"/>
            <w:hideMark/>
          </w:tcPr>
          <w:p w14:paraId="11841F4C" w14:textId="77777777" w:rsidR="00085CB5" w:rsidRPr="00085CB5" w:rsidRDefault="00085CB5" w:rsidP="00085CB5">
            <w:pPr>
              <w:spacing w:after="160"/>
              <w:rPr>
                <w:rFonts w:ascii="Verdana" w:hAnsi="Verdana"/>
                <w:sz w:val="22"/>
                <w:szCs w:val="22"/>
              </w:rPr>
            </w:pPr>
            <w:proofErr w:type="gramStart"/>
            <w:r w:rsidRPr="00085CB5">
              <w:rPr>
                <w:rFonts w:ascii="Verdana" w:hAnsi="Verdana"/>
                <w:sz w:val="22"/>
                <w:szCs w:val="22"/>
              </w:rPr>
              <w:t>Total</w:t>
            </w:r>
            <w:proofErr w:type="gramEnd"/>
            <w:r w:rsidRPr="00085CB5">
              <w:rPr>
                <w:rFonts w:ascii="Verdana" w:hAnsi="Verdana"/>
                <w:sz w:val="22"/>
                <w:szCs w:val="22"/>
              </w:rPr>
              <w:t xml:space="preserve"> San Andrés</w:t>
            </w:r>
          </w:p>
        </w:tc>
        <w:tc>
          <w:tcPr>
            <w:tcW w:w="1600" w:type="pct"/>
            <w:hideMark/>
          </w:tcPr>
          <w:p w14:paraId="14B15B10" w14:textId="77777777" w:rsidR="00085CB5" w:rsidRPr="00085CB5" w:rsidRDefault="00085CB5" w:rsidP="00085CB5">
            <w:pPr>
              <w:spacing w:after="160"/>
              <w:rPr>
                <w:rFonts w:ascii="Verdana" w:hAnsi="Verdana"/>
                <w:sz w:val="22"/>
                <w:szCs w:val="22"/>
              </w:rPr>
            </w:pPr>
            <w:r w:rsidRPr="00085CB5">
              <w:rPr>
                <w:rFonts w:ascii="Verdana" w:hAnsi="Verdana"/>
                <w:sz w:val="22"/>
                <w:szCs w:val="22"/>
              </w:rPr>
              <w:t>1</w:t>
            </w:r>
          </w:p>
        </w:tc>
        <w:tc>
          <w:tcPr>
            <w:tcW w:w="1350" w:type="pct"/>
            <w:hideMark/>
          </w:tcPr>
          <w:p w14:paraId="72FF2DFB" w14:textId="77777777" w:rsidR="00085CB5" w:rsidRPr="00085CB5" w:rsidRDefault="00085CB5" w:rsidP="00085CB5">
            <w:pPr>
              <w:spacing w:after="160"/>
              <w:rPr>
                <w:rFonts w:ascii="Verdana" w:hAnsi="Verdana"/>
                <w:sz w:val="22"/>
                <w:szCs w:val="22"/>
              </w:rPr>
            </w:pPr>
            <w:r w:rsidRPr="00085CB5">
              <w:rPr>
                <w:rFonts w:ascii="Verdana" w:hAnsi="Verdana"/>
                <w:sz w:val="22"/>
                <w:szCs w:val="22"/>
              </w:rPr>
              <w:t>$</w:t>
            </w:r>
            <w:r w:rsidRPr="00085CB5">
              <w:rPr>
                <w:rFonts w:ascii="Verdana" w:hAnsi="Verdana"/>
                <w:sz w:val="22"/>
                <w:szCs w:val="22"/>
                <w:u w:val="single"/>
              </w:rPr>
              <w:t> 1.013.000.00</w:t>
            </w:r>
          </w:p>
        </w:tc>
      </w:tr>
      <w:tr w:rsidR="00085CB5" w:rsidRPr="00085CB5" w14:paraId="3556D1F3" w14:textId="77777777" w:rsidTr="00085CB5">
        <w:tc>
          <w:tcPr>
            <w:tcW w:w="400" w:type="pct"/>
            <w:hideMark/>
          </w:tcPr>
          <w:p w14:paraId="3F0740D1" w14:textId="77777777" w:rsidR="00085CB5" w:rsidRPr="00085CB5" w:rsidRDefault="00085CB5" w:rsidP="00085CB5">
            <w:pPr>
              <w:spacing w:after="160"/>
              <w:rPr>
                <w:rFonts w:ascii="Verdana" w:hAnsi="Verdana"/>
                <w:sz w:val="22"/>
                <w:szCs w:val="22"/>
              </w:rPr>
            </w:pPr>
            <w:r w:rsidRPr="00085CB5">
              <w:rPr>
                <w:rFonts w:ascii="Verdana" w:hAnsi="Verdana"/>
                <w:sz w:val="22"/>
                <w:szCs w:val="22"/>
              </w:rPr>
              <w:t>31</w:t>
            </w:r>
          </w:p>
        </w:tc>
        <w:tc>
          <w:tcPr>
            <w:tcW w:w="1600" w:type="pct"/>
            <w:hideMark/>
          </w:tcPr>
          <w:p w14:paraId="144E6433" w14:textId="77777777" w:rsidR="00085CB5" w:rsidRPr="00085CB5" w:rsidRDefault="00085CB5" w:rsidP="00085CB5">
            <w:pPr>
              <w:spacing w:after="160"/>
              <w:rPr>
                <w:rFonts w:ascii="Verdana" w:hAnsi="Verdana"/>
                <w:sz w:val="22"/>
                <w:szCs w:val="22"/>
              </w:rPr>
            </w:pPr>
            <w:r w:rsidRPr="00085CB5">
              <w:rPr>
                <w:rFonts w:ascii="Verdana" w:hAnsi="Verdana"/>
                <w:sz w:val="22"/>
                <w:szCs w:val="22"/>
              </w:rPr>
              <w:t>TOLIMA</w:t>
            </w:r>
          </w:p>
        </w:tc>
        <w:tc>
          <w:tcPr>
            <w:tcW w:w="1600" w:type="pct"/>
            <w:hideMark/>
          </w:tcPr>
          <w:p w14:paraId="1E66BCF0" w14:textId="77777777" w:rsidR="00085CB5" w:rsidRPr="00085CB5" w:rsidRDefault="00085CB5" w:rsidP="00085CB5">
            <w:pPr>
              <w:spacing w:after="160"/>
              <w:rPr>
                <w:rFonts w:ascii="Verdana" w:hAnsi="Verdana"/>
                <w:sz w:val="22"/>
                <w:szCs w:val="22"/>
              </w:rPr>
            </w:pPr>
            <w:r w:rsidRPr="00085CB5">
              <w:rPr>
                <w:rFonts w:ascii="Verdana" w:hAnsi="Verdana"/>
                <w:sz w:val="22"/>
                <w:szCs w:val="22"/>
              </w:rPr>
              <w:t>Dirección Regional</w:t>
            </w:r>
          </w:p>
        </w:tc>
        <w:tc>
          <w:tcPr>
            <w:tcW w:w="1350" w:type="pct"/>
            <w:hideMark/>
          </w:tcPr>
          <w:p w14:paraId="666B16CE"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$ 1.009.000,00</w:t>
            </w:r>
          </w:p>
        </w:tc>
      </w:tr>
      <w:tr w:rsidR="00085CB5" w:rsidRPr="00085CB5" w14:paraId="74C7412E" w14:textId="77777777" w:rsidTr="00085CB5">
        <w:tc>
          <w:tcPr>
            <w:tcW w:w="400" w:type="pct"/>
            <w:hideMark/>
          </w:tcPr>
          <w:p w14:paraId="5EC12D71" w14:textId="77777777" w:rsidR="00085CB5" w:rsidRPr="00085CB5" w:rsidRDefault="00085CB5" w:rsidP="00085CB5">
            <w:pPr>
              <w:spacing w:after="160"/>
              <w:rPr>
                <w:rFonts w:ascii="Verdana" w:hAnsi="Verdana"/>
                <w:sz w:val="22"/>
                <w:szCs w:val="22"/>
              </w:rPr>
            </w:pPr>
            <w:r w:rsidRPr="00085CB5">
              <w:rPr>
                <w:rFonts w:ascii="Verdana" w:hAnsi="Verdana"/>
                <w:sz w:val="22"/>
                <w:szCs w:val="22"/>
              </w:rPr>
              <w:t>32</w:t>
            </w:r>
          </w:p>
        </w:tc>
        <w:tc>
          <w:tcPr>
            <w:tcW w:w="1600" w:type="pct"/>
            <w:hideMark/>
          </w:tcPr>
          <w:p w14:paraId="33F943E9" w14:textId="77777777" w:rsidR="00085CB5" w:rsidRPr="00085CB5" w:rsidRDefault="00085CB5" w:rsidP="00085CB5">
            <w:pPr>
              <w:spacing w:after="160"/>
              <w:rPr>
                <w:rFonts w:ascii="Verdana" w:hAnsi="Verdana"/>
                <w:sz w:val="22"/>
                <w:szCs w:val="22"/>
              </w:rPr>
            </w:pPr>
            <w:r w:rsidRPr="00085CB5">
              <w:rPr>
                <w:rFonts w:ascii="Verdana" w:hAnsi="Verdana"/>
                <w:sz w:val="22"/>
                <w:szCs w:val="22"/>
              </w:rPr>
              <w:t>TOLIMA</w:t>
            </w:r>
          </w:p>
        </w:tc>
        <w:tc>
          <w:tcPr>
            <w:tcW w:w="1600" w:type="pct"/>
            <w:hideMark/>
          </w:tcPr>
          <w:p w14:paraId="7CAEFEC8" w14:textId="77777777" w:rsidR="00085CB5" w:rsidRPr="00085CB5" w:rsidRDefault="00085CB5" w:rsidP="00085CB5">
            <w:pPr>
              <w:spacing w:after="160"/>
              <w:rPr>
                <w:rFonts w:ascii="Verdana" w:hAnsi="Verdana"/>
                <w:sz w:val="22"/>
                <w:szCs w:val="22"/>
              </w:rPr>
            </w:pPr>
            <w:r w:rsidRPr="00085CB5">
              <w:rPr>
                <w:rFonts w:ascii="Verdana" w:hAnsi="Verdana"/>
                <w:sz w:val="22"/>
                <w:szCs w:val="22"/>
              </w:rPr>
              <w:t>Grupo Administrativo</w:t>
            </w:r>
          </w:p>
        </w:tc>
        <w:tc>
          <w:tcPr>
            <w:tcW w:w="1350" w:type="pct"/>
            <w:hideMark/>
          </w:tcPr>
          <w:p w14:paraId="60714740"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$ 203.000,00</w:t>
            </w:r>
          </w:p>
        </w:tc>
      </w:tr>
      <w:tr w:rsidR="00085CB5" w:rsidRPr="00085CB5" w14:paraId="3A53E057" w14:textId="77777777" w:rsidTr="00085CB5">
        <w:tc>
          <w:tcPr>
            <w:tcW w:w="400" w:type="pct"/>
            <w:hideMark/>
          </w:tcPr>
          <w:p w14:paraId="1B1C873C" w14:textId="77777777" w:rsidR="00085CB5" w:rsidRPr="00085CB5" w:rsidRDefault="00085CB5" w:rsidP="00085CB5">
            <w:pPr>
              <w:spacing w:after="160"/>
              <w:rPr>
                <w:rFonts w:ascii="Verdana" w:hAnsi="Verdana"/>
                <w:sz w:val="22"/>
                <w:szCs w:val="22"/>
              </w:rPr>
            </w:pPr>
            <w:r w:rsidRPr="00085CB5">
              <w:rPr>
                <w:rFonts w:ascii="Verdana" w:hAnsi="Verdana"/>
                <w:sz w:val="22"/>
                <w:szCs w:val="22"/>
              </w:rPr>
              <w:t>33</w:t>
            </w:r>
          </w:p>
        </w:tc>
        <w:tc>
          <w:tcPr>
            <w:tcW w:w="1600" w:type="pct"/>
            <w:hideMark/>
          </w:tcPr>
          <w:p w14:paraId="307CD6A6" w14:textId="77777777" w:rsidR="00085CB5" w:rsidRPr="00085CB5" w:rsidRDefault="00085CB5" w:rsidP="00085CB5">
            <w:pPr>
              <w:spacing w:after="160"/>
              <w:rPr>
                <w:rFonts w:ascii="Verdana" w:hAnsi="Verdana"/>
                <w:sz w:val="22"/>
                <w:szCs w:val="22"/>
              </w:rPr>
            </w:pPr>
            <w:r w:rsidRPr="00085CB5">
              <w:rPr>
                <w:rFonts w:ascii="Verdana" w:hAnsi="Verdana"/>
                <w:sz w:val="22"/>
                <w:szCs w:val="22"/>
              </w:rPr>
              <w:t>TOLIMA</w:t>
            </w:r>
          </w:p>
        </w:tc>
        <w:tc>
          <w:tcPr>
            <w:tcW w:w="1600" w:type="pct"/>
            <w:hideMark/>
          </w:tcPr>
          <w:p w14:paraId="40436D94" w14:textId="77777777" w:rsidR="00085CB5" w:rsidRPr="00085CB5" w:rsidRDefault="00085CB5" w:rsidP="00085CB5">
            <w:pPr>
              <w:spacing w:after="160"/>
              <w:rPr>
                <w:rFonts w:ascii="Verdana" w:hAnsi="Verdana"/>
                <w:sz w:val="22"/>
                <w:szCs w:val="22"/>
              </w:rPr>
            </w:pPr>
            <w:r w:rsidRPr="00085CB5">
              <w:rPr>
                <w:rFonts w:ascii="Verdana" w:hAnsi="Verdana"/>
                <w:sz w:val="22"/>
                <w:szCs w:val="22"/>
              </w:rPr>
              <w:t>Grupo Jurídico</w:t>
            </w:r>
          </w:p>
        </w:tc>
        <w:tc>
          <w:tcPr>
            <w:tcW w:w="1350" w:type="pct"/>
            <w:hideMark/>
          </w:tcPr>
          <w:p w14:paraId="75CFA758"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$ 507.000,00</w:t>
            </w:r>
          </w:p>
        </w:tc>
      </w:tr>
      <w:tr w:rsidR="00085CB5" w:rsidRPr="00085CB5" w14:paraId="60D2FE14" w14:textId="77777777" w:rsidTr="00085CB5">
        <w:tc>
          <w:tcPr>
            <w:tcW w:w="2000" w:type="pct"/>
            <w:gridSpan w:val="2"/>
            <w:hideMark/>
          </w:tcPr>
          <w:p w14:paraId="3ED24FBC" w14:textId="77777777" w:rsidR="00085CB5" w:rsidRPr="00085CB5" w:rsidRDefault="00085CB5" w:rsidP="00085CB5">
            <w:pPr>
              <w:spacing w:after="160"/>
              <w:rPr>
                <w:rFonts w:ascii="Verdana" w:hAnsi="Verdana"/>
                <w:sz w:val="22"/>
                <w:szCs w:val="22"/>
              </w:rPr>
            </w:pPr>
            <w:proofErr w:type="gramStart"/>
            <w:r w:rsidRPr="00085CB5">
              <w:rPr>
                <w:rFonts w:ascii="Verdana" w:hAnsi="Verdana"/>
                <w:sz w:val="22"/>
                <w:szCs w:val="22"/>
              </w:rPr>
              <w:t>Total</w:t>
            </w:r>
            <w:proofErr w:type="gramEnd"/>
            <w:r w:rsidRPr="00085CB5">
              <w:rPr>
                <w:rFonts w:ascii="Verdana" w:hAnsi="Verdana"/>
                <w:sz w:val="22"/>
                <w:szCs w:val="22"/>
              </w:rPr>
              <w:t xml:space="preserve"> Tolima</w:t>
            </w:r>
          </w:p>
        </w:tc>
        <w:tc>
          <w:tcPr>
            <w:tcW w:w="1600" w:type="pct"/>
            <w:hideMark/>
          </w:tcPr>
          <w:p w14:paraId="2549A8E1" w14:textId="77777777" w:rsidR="00085CB5" w:rsidRPr="00085CB5" w:rsidRDefault="00085CB5" w:rsidP="00085CB5">
            <w:pPr>
              <w:spacing w:after="160"/>
              <w:rPr>
                <w:rFonts w:ascii="Verdana" w:hAnsi="Verdana"/>
                <w:sz w:val="22"/>
                <w:szCs w:val="22"/>
              </w:rPr>
            </w:pPr>
            <w:r w:rsidRPr="00085CB5">
              <w:rPr>
                <w:rFonts w:ascii="Verdana" w:hAnsi="Verdana"/>
                <w:sz w:val="22"/>
                <w:szCs w:val="22"/>
              </w:rPr>
              <w:t>3</w:t>
            </w:r>
          </w:p>
        </w:tc>
        <w:tc>
          <w:tcPr>
            <w:tcW w:w="1350" w:type="pct"/>
            <w:hideMark/>
          </w:tcPr>
          <w:p w14:paraId="15E08174" w14:textId="77777777" w:rsidR="00085CB5" w:rsidRPr="00085CB5" w:rsidRDefault="00085CB5" w:rsidP="00085CB5">
            <w:pPr>
              <w:spacing w:after="160"/>
              <w:rPr>
                <w:rFonts w:ascii="Verdana" w:hAnsi="Verdana"/>
                <w:sz w:val="22"/>
                <w:szCs w:val="22"/>
              </w:rPr>
            </w:pPr>
            <w:r w:rsidRPr="00085CB5">
              <w:rPr>
                <w:rFonts w:ascii="Verdana" w:hAnsi="Verdana"/>
                <w:sz w:val="22"/>
                <w:szCs w:val="22"/>
              </w:rPr>
              <w:t>$</w:t>
            </w:r>
            <w:r w:rsidRPr="00085CB5">
              <w:rPr>
                <w:rFonts w:ascii="Verdana" w:hAnsi="Verdana"/>
                <w:sz w:val="22"/>
                <w:szCs w:val="22"/>
                <w:u w:val="single"/>
              </w:rPr>
              <w:t> 1.719.000.00</w:t>
            </w:r>
          </w:p>
        </w:tc>
      </w:tr>
      <w:tr w:rsidR="00085CB5" w:rsidRPr="00085CB5" w14:paraId="355495F7" w14:textId="77777777" w:rsidTr="00085CB5">
        <w:tc>
          <w:tcPr>
            <w:tcW w:w="400" w:type="pct"/>
            <w:hideMark/>
          </w:tcPr>
          <w:p w14:paraId="196A3549" w14:textId="77777777" w:rsidR="00085CB5" w:rsidRPr="00085CB5" w:rsidRDefault="00085CB5" w:rsidP="00085CB5">
            <w:pPr>
              <w:spacing w:after="160"/>
              <w:rPr>
                <w:rFonts w:ascii="Verdana" w:hAnsi="Verdana"/>
                <w:sz w:val="22"/>
                <w:szCs w:val="22"/>
              </w:rPr>
            </w:pPr>
            <w:r w:rsidRPr="00085CB5">
              <w:rPr>
                <w:rFonts w:ascii="Verdana" w:hAnsi="Verdana"/>
                <w:sz w:val="22"/>
                <w:szCs w:val="22"/>
              </w:rPr>
              <w:t>34</w:t>
            </w:r>
          </w:p>
        </w:tc>
        <w:tc>
          <w:tcPr>
            <w:tcW w:w="1600" w:type="pct"/>
            <w:hideMark/>
          </w:tcPr>
          <w:p w14:paraId="1A8AFA34" w14:textId="77777777" w:rsidR="00085CB5" w:rsidRPr="00085CB5" w:rsidRDefault="00085CB5" w:rsidP="00085CB5">
            <w:pPr>
              <w:spacing w:after="160"/>
              <w:rPr>
                <w:rFonts w:ascii="Verdana" w:hAnsi="Verdana"/>
                <w:sz w:val="22"/>
                <w:szCs w:val="22"/>
              </w:rPr>
            </w:pPr>
            <w:r w:rsidRPr="00085CB5">
              <w:rPr>
                <w:rFonts w:ascii="Verdana" w:hAnsi="Verdana"/>
                <w:sz w:val="22"/>
                <w:szCs w:val="22"/>
              </w:rPr>
              <w:t>VALLE</w:t>
            </w:r>
          </w:p>
        </w:tc>
        <w:tc>
          <w:tcPr>
            <w:tcW w:w="1600" w:type="pct"/>
            <w:hideMark/>
          </w:tcPr>
          <w:p w14:paraId="60AD57B5" w14:textId="77777777" w:rsidR="00085CB5" w:rsidRPr="00085CB5" w:rsidRDefault="00085CB5" w:rsidP="00085CB5">
            <w:pPr>
              <w:spacing w:after="160"/>
              <w:rPr>
                <w:rFonts w:ascii="Verdana" w:hAnsi="Verdana"/>
                <w:sz w:val="22"/>
                <w:szCs w:val="22"/>
              </w:rPr>
            </w:pPr>
            <w:r w:rsidRPr="00085CB5">
              <w:rPr>
                <w:rFonts w:ascii="Verdana" w:hAnsi="Verdana"/>
                <w:sz w:val="22"/>
                <w:szCs w:val="22"/>
              </w:rPr>
              <w:t>Centro Zonal Cartago</w:t>
            </w:r>
          </w:p>
        </w:tc>
        <w:tc>
          <w:tcPr>
            <w:tcW w:w="1350" w:type="pct"/>
            <w:hideMark/>
          </w:tcPr>
          <w:p w14:paraId="750AAB25" w14:textId="77777777" w:rsidR="00085CB5" w:rsidRPr="00085CB5" w:rsidRDefault="00085CB5" w:rsidP="00085CB5">
            <w:pPr>
              <w:spacing w:after="160"/>
              <w:rPr>
                <w:rFonts w:ascii="Verdana" w:hAnsi="Verdana"/>
                <w:sz w:val="22"/>
                <w:szCs w:val="22"/>
              </w:rPr>
            </w:pPr>
            <w:r w:rsidRPr="00085CB5">
              <w:rPr>
                <w:rFonts w:ascii="Verdana" w:hAnsi="Verdana"/>
                <w:sz w:val="22"/>
                <w:szCs w:val="22"/>
              </w:rPr>
              <w:t>$ 1.525,000.00</w:t>
            </w:r>
          </w:p>
        </w:tc>
      </w:tr>
      <w:tr w:rsidR="00085CB5" w:rsidRPr="00085CB5" w14:paraId="382020C4" w14:textId="77777777" w:rsidTr="00085CB5">
        <w:tc>
          <w:tcPr>
            <w:tcW w:w="2000" w:type="pct"/>
            <w:gridSpan w:val="2"/>
            <w:hideMark/>
          </w:tcPr>
          <w:p w14:paraId="0909F163" w14:textId="77777777" w:rsidR="00085CB5" w:rsidRPr="00085CB5" w:rsidRDefault="00085CB5" w:rsidP="00085CB5">
            <w:pPr>
              <w:spacing w:after="160"/>
              <w:rPr>
                <w:rFonts w:ascii="Verdana" w:hAnsi="Verdana"/>
                <w:sz w:val="22"/>
                <w:szCs w:val="22"/>
              </w:rPr>
            </w:pPr>
            <w:proofErr w:type="gramStart"/>
            <w:r w:rsidRPr="00085CB5">
              <w:rPr>
                <w:rFonts w:ascii="Verdana" w:hAnsi="Verdana"/>
                <w:sz w:val="22"/>
                <w:szCs w:val="22"/>
              </w:rPr>
              <w:t>Total</w:t>
            </w:r>
            <w:proofErr w:type="gramEnd"/>
            <w:r w:rsidRPr="00085CB5">
              <w:rPr>
                <w:rFonts w:ascii="Verdana" w:hAnsi="Verdana"/>
                <w:sz w:val="22"/>
                <w:szCs w:val="22"/>
              </w:rPr>
              <w:t xml:space="preserve"> Valle</w:t>
            </w:r>
          </w:p>
        </w:tc>
        <w:tc>
          <w:tcPr>
            <w:tcW w:w="1600" w:type="pct"/>
            <w:hideMark/>
          </w:tcPr>
          <w:p w14:paraId="5D7E0F79" w14:textId="77777777" w:rsidR="00085CB5" w:rsidRPr="00085CB5" w:rsidRDefault="00085CB5" w:rsidP="00085CB5">
            <w:pPr>
              <w:spacing w:after="160"/>
              <w:rPr>
                <w:rFonts w:ascii="Verdana" w:hAnsi="Verdana"/>
                <w:sz w:val="22"/>
                <w:szCs w:val="22"/>
              </w:rPr>
            </w:pPr>
            <w:r w:rsidRPr="00085CB5">
              <w:rPr>
                <w:rFonts w:ascii="Verdana" w:hAnsi="Verdana"/>
                <w:sz w:val="22"/>
                <w:szCs w:val="22"/>
              </w:rPr>
              <w:t>1</w:t>
            </w:r>
          </w:p>
        </w:tc>
        <w:tc>
          <w:tcPr>
            <w:tcW w:w="1350" w:type="pct"/>
            <w:hideMark/>
          </w:tcPr>
          <w:p w14:paraId="48246AC0" w14:textId="77777777" w:rsidR="00085CB5" w:rsidRPr="00085CB5" w:rsidRDefault="00085CB5" w:rsidP="00085CB5">
            <w:pPr>
              <w:spacing w:after="160"/>
              <w:rPr>
                <w:rFonts w:ascii="Verdana" w:hAnsi="Verdana"/>
                <w:sz w:val="22"/>
                <w:szCs w:val="22"/>
              </w:rPr>
            </w:pPr>
            <w:r w:rsidRPr="00085CB5">
              <w:rPr>
                <w:rFonts w:ascii="Verdana" w:hAnsi="Verdana"/>
                <w:sz w:val="22"/>
                <w:szCs w:val="22"/>
              </w:rPr>
              <w:t>$</w:t>
            </w:r>
            <w:r w:rsidRPr="00085CB5">
              <w:rPr>
                <w:rFonts w:ascii="Verdana" w:hAnsi="Verdana"/>
                <w:sz w:val="22"/>
                <w:szCs w:val="22"/>
                <w:u w:val="single"/>
              </w:rPr>
              <w:t> 1.525.000.00</w:t>
            </w:r>
          </w:p>
        </w:tc>
      </w:tr>
      <w:tr w:rsidR="00085CB5" w:rsidRPr="00085CB5" w14:paraId="3D8A3AEB" w14:textId="77777777" w:rsidTr="00085CB5">
        <w:tc>
          <w:tcPr>
            <w:tcW w:w="2000" w:type="pct"/>
            <w:gridSpan w:val="2"/>
            <w:hideMark/>
          </w:tcPr>
          <w:p w14:paraId="4395D0F3" w14:textId="77777777" w:rsidR="00085CB5" w:rsidRPr="00085CB5" w:rsidRDefault="00085CB5" w:rsidP="00085CB5">
            <w:pPr>
              <w:spacing w:after="160"/>
              <w:rPr>
                <w:rFonts w:ascii="Verdana" w:hAnsi="Verdana"/>
                <w:sz w:val="22"/>
                <w:szCs w:val="22"/>
              </w:rPr>
            </w:pPr>
            <w:proofErr w:type="gramStart"/>
            <w:r w:rsidRPr="00085CB5">
              <w:rPr>
                <w:rFonts w:ascii="Verdana" w:hAnsi="Verdana"/>
                <w:sz w:val="22"/>
                <w:szCs w:val="22"/>
              </w:rPr>
              <w:t>TOTAL</w:t>
            </w:r>
            <w:proofErr w:type="gramEnd"/>
            <w:r w:rsidRPr="00085CB5">
              <w:rPr>
                <w:rFonts w:ascii="Verdana" w:hAnsi="Verdana"/>
                <w:sz w:val="22"/>
                <w:szCs w:val="22"/>
              </w:rPr>
              <w:t xml:space="preserve"> REGIONALES: 18</w:t>
            </w:r>
          </w:p>
        </w:tc>
        <w:tc>
          <w:tcPr>
            <w:tcW w:w="1600" w:type="pct"/>
            <w:hideMark/>
          </w:tcPr>
          <w:p w14:paraId="657DDAA2" w14:textId="77777777" w:rsidR="00085CB5" w:rsidRPr="00085CB5" w:rsidRDefault="00085CB5" w:rsidP="00085CB5">
            <w:pPr>
              <w:spacing w:after="160"/>
              <w:rPr>
                <w:rFonts w:ascii="Verdana" w:hAnsi="Verdana"/>
                <w:sz w:val="22"/>
                <w:szCs w:val="22"/>
              </w:rPr>
            </w:pPr>
            <w:proofErr w:type="gramStart"/>
            <w:r w:rsidRPr="00085CB5">
              <w:rPr>
                <w:rFonts w:ascii="Verdana" w:hAnsi="Verdana"/>
                <w:b/>
                <w:bCs/>
                <w:sz w:val="22"/>
                <w:szCs w:val="22"/>
              </w:rPr>
              <w:t>Total</w:t>
            </w:r>
            <w:proofErr w:type="gramEnd"/>
            <w:r w:rsidRPr="00085CB5">
              <w:rPr>
                <w:rFonts w:ascii="Verdana" w:hAnsi="Verdana"/>
                <w:b/>
                <w:bCs/>
                <w:sz w:val="22"/>
                <w:szCs w:val="22"/>
              </w:rPr>
              <w:t xml:space="preserve"> cajas menores: 34</w:t>
            </w:r>
          </w:p>
        </w:tc>
        <w:tc>
          <w:tcPr>
            <w:tcW w:w="1350" w:type="pct"/>
            <w:hideMark/>
          </w:tcPr>
          <w:p w14:paraId="28396952" w14:textId="77777777" w:rsidR="00085CB5" w:rsidRPr="00085CB5" w:rsidRDefault="00085CB5" w:rsidP="00085CB5">
            <w:pPr>
              <w:spacing w:after="160"/>
              <w:rPr>
                <w:rFonts w:ascii="Verdana" w:hAnsi="Verdana"/>
                <w:sz w:val="22"/>
                <w:szCs w:val="22"/>
              </w:rPr>
            </w:pPr>
            <w:r w:rsidRPr="00085CB5">
              <w:rPr>
                <w:rFonts w:ascii="Verdana" w:hAnsi="Verdana"/>
                <w:b/>
                <w:bCs/>
                <w:sz w:val="22"/>
                <w:szCs w:val="22"/>
              </w:rPr>
              <w:t>$ 69.352.000.00</w:t>
            </w:r>
          </w:p>
        </w:tc>
      </w:tr>
    </w:tbl>
    <w:p w14:paraId="62EF19EE" w14:textId="77777777" w:rsidR="00F07EFD" w:rsidRPr="00F07EFD" w:rsidRDefault="00F07EFD" w:rsidP="00F07EFD">
      <w:pPr>
        <w:rPr>
          <w:rFonts w:ascii="Verdana" w:hAnsi="Verdana"/>
          <w:sz w:val="22"/>
          <w:szCs w:val="22"/>
        </w:rPr>
      </w:pPr>
    </w:p>
    <w:p w14:paraId="4FE4EF17" w14:textId="5BE6BFC6" w:rsidR="00F07EFD" w:rsidRPr="00F07EFD" w:rsidRDefault="00F07EFD" w:rsidP="00F07EFD">
      <w:pPr>
        <w:rPr>
          <w:rFonts w:ascii="Verdana" w:hAnsi="Verdana"/>
          <w:sz w:val="22"/>
          <w:szCs w:val="22"/>
        </w:rPr>
      </w:pPr>
      <w:r w:rsidRPr="00085CB5">
        <w:rPr>
          <w:rFonts w:ascii="Verdana" w:hAnsi="Verdana"/>
          <w:b/>
          <w:bCs/>
          <w:sz w:val="22"/>
          <w:szCs w:val="22"/>
        </w:rPr>
        <w:t>PARÁGRAFO:</w:t>
      </w:r>
      <w:r w:rsidRPr="00F07EFD">
        <w:rPr>
          <w:rFonts w:ascii="Verdana" w:hAnsi="Verdana"/>
          <w:sz w:val="22"/>
          <w:szCs w:val="22"/>
        </w:rPr>
        <w:t xml:space="preserve"> La cuantía máxima de cada una de las Cajas Menores incluye el Gravamen a los Movimientos Financieros (GMF), de acuerdo con los identificadores presupuestales contenidos en la estructura presupuestal para la vigencia fiscal 2016.</w:t>
      </w:r>
    </w:p>
    <w:p w14:paraId="6D85D24D" w14:textId="08C74D82" w:rsidR="00F07EFD" w:rsidRPr="00F07EFD" w:rsidRDefault="00F07EFD" w:rsidP="00F07EFD">
      <w:pPr>
        <w:rPr>
          <w:rFonts w:ascii="Verdana" w:hAnsi="Verdana"/>
          <w:sz w:val="22"/>
          <w:szCs w:val="22"/>
        </w:rPr>
      </w:pPr>
      <w:r w:rsidRPr="00085CB5">
        <w:rPr>
          <w:rFonts w:ascii="Verdana" w:hAnsi="Verdana"/>
          <w:b/>
          <w:bCs/>
          <w:sz w:val="22"/>
          <w:szCs w:val="22"/>
        </w:rPr>
        <w:t xml:space="preserve">ARTÍCULO </w:t>
      </w:r>
      <w:r w:rsidR="00085CB5" w:rsidRPr="00085CB5">
        <w:rPr>
          <w:rFonts w:ascii="Verdana" w:hAnsi="Verdana"/>
          <w:b/>
          <w:bCs/>
          <w:sz w:val="22"/>
          <w:szCs w:val="22"/>
        </w:rPr>
        <w:t>6o</w:t>
      </w:r>
      <w:r w:rsidRPr="00085CB5">
        <w:rPr>
          <w:rFonts w:ascii="Verdana" w:hAnsi="Verdana"/>
          <w:b/>
          <w:bCs/>
          <w:sz w:val="22"/>
          <w:szCs w:val="22"/>
        </w:rPr>
        <w:t>.</w:t>
      </w:r>
      <w:r w:rsidRPr="00F07EFD">
        <w:rPr>
          <w:rFonts w:ascii="Verdana" w:hAnsi="Verdana"/>
          <w:sz w:val="22"/>
          <w:szCs w:val="22"/>
        </w:rPr>
        <w:t xml:space="preserve"> DESTINACIÓN. Los recursos de las Cajas Menores deben ser utilizados para sufragar los gastos identificados y definidos en los conceptos del Presupuesto General de la Nación, según Decreto No. 2550 del 30 de diciembre de 2015, “Por el cual se liquida el Presupuesto General de la Nación para la vigencia fiscal de 2016, se detallan las apropiaciones y se clasifican y definen los gastos", que tengan el carácter de urgentes e indispensables, que sean para funcionamiento o inversión, de conformidad con el clasificador del gasto y en concordancia con los Lineamientos de Programación y Ejecución de Metas Sociales y Financieras vigentes.</w:t>
      </w:r>
    </w:p>
    <w:p w14:paraId="79913FA7" w14:textId="5816347F" w:rsidR="00BA4051" w:rsidRPr="00BA4051" w:rsidRDefault="00F07EFD" w:rsidP="00BA4051">
      <w:pPr>
        <w:rPr>
          <w:rFonts w:ascii="Verdana" w:hAnsi="Verdana"/>
          <w:sz w:val="22"/>
          <w:szCs w:val="22"/>
        </w:rPr>
      </w:pPr>
      <w:r w:rsidRPr="00BA4051">
        <w:rPr>
          <w:rFonts w:ascii="Verdana" w:hAnsi="Verdana"/>
          <w:b/>
          <w:bCs/>
          <w:sz w:val="22"/>
          <w:szCs w:val="22"/>
        </w:rPr>
        <w:t>PARÁGRAFO PRIMERO.</w:t>
      </w:r>
      <w:r w:rsidRPr="00F07EFD">
        <w:rPr>
          <w:rFonts w:ascii="Verdana" w:hAnsi="Verdana"/>
          <w:sz w:val="22"/>
          <w:szCs w:val="22"/>
        </w:rPr>
        <w:t xml:space="preserve"> </w:t>
      </w:r>
      <w:r w:rsidR="00BA4051">
        <w:rPr>
          <w:rFonts w:ascii="Verdana" w:hAnsi="Verdana"/>
          <w:sz w:val="22"/>
          <w:szCs w:val="22"/>
        </w:rPr>
        <w:t>[</w:t>
      </w:r>
      <w:r w:rsidRPr="00F07EFD">
        <w:rPr>
          <w:rFonts w:ascii="Verdana" w:hAnsi="Verdana"/>
          <w:sz w:val="22"/>
          <w:szCs w:val="22"/>
        </w:rPr>
        <w:t>Parágrafo modificado por el artículo 2 de la Resolución 4532 de 2016.</w:t>
      </w:r>
      <w:r w:rsidR="00BA4051">
        <w:rPr>
          <w:rFonts w:ascii="Verdana" w:hAnsi="Verdana"/>
          <w:sz w:val="22"/>
          <w:szCs w:val="22"/>
        </w:rPr>
        <w:t xml:space="preserve">] </w:t>
      </w:r>
      <w:r w:rsidR="00BA4051" w:rsidRPr="00BA4051">
        <w:rPr>
          <w:rFonts w:ascii="Verdana" w:hAnsi="Verdana"/>
          <w:sz w:val="22"/>
          <w:szCs w:val="22"/>
        </w:rPr>
        <w:t>Sólo se podrá efectuar el pago de Viáticos y Gastos de Viaje por Caja Menor a servidores públicos de las Direcciones Regionales y Dirección General que deban viajar en comisión de servicios urgentes.</w:t>
      </w:r>
    </w:p>
    <w:p w14:paraId="48706342" w14:textId="49CC6013" w:rsidR="00F07EFD" w:rsidRPr="00F07EFD" w:rsidRDefault="00BA4051" w:rsidP="00BA4051">
      <w:pPr>
        <w:rPr>
          <w:rFonts w:ascii="Verdana" w:hAnsi="Verdana"/>
          <w:sz w:val="22"/>
          <w:szCs w:val="22"/>
        </w:rPr>
      </w:pPr>
      <w:r w:rsidRPr="00BA4051">
        <w:rPr>
          <w:rFonts w:ascii="Verdana" w:hAnsi="Verdana"/>
          <w:sz w:val="22"/>
          <w:szCs w:val="22"/>
        </w:rPr>
        <w:t xml:space="preserve">Para el pago de Viáticos y Gastos de Viaje, se requiere que las comisiones se hayan autorizado mediante resolución suscrita por el </w:t>
      </w:r>
      <w:proofErr w:type="gramStart"/>
      <w:r w:rsidRPr="00BA4051">
        <w:rPr>
          <w:rFonts w:ascii="Verdana" w:hAnsi="Verdana"/>
          <w:sz w:val="22"/>
          <w:szCs w:val="22"/>
        </w:rPr>
        <w:t>Director Regional</w:t>
      </w:r>
      <w:proofErr w:type="gramEnd"/>
      <w:r w:rsidRPr="00BA4051">
        <w:rPr>
          <w:rFonts w:ascii="Verdana" w:hAnsi="Verdana"/>
          <w:sz w:val="22"/>
          <w:szCs w:val="22"/>
        </w:rPr>
        <w:t xml:space="preserve"> o Secretaría General. Estos recursos se deben legalizar dentro de los cinco (5) días siguientes al cumplimiento de la comisión.</w:t>
      </w:r>
    </w:p>
    <w:p w14:paraId="1A9CC3CE" w14:textId="77777777" w:rsidR="00F07EFD" w:rsidRPr="00F07EFD" w:rsidRDefault="00F07EFD" w:rsidP="00F07EFD">
      <w:pPr>
        <w:rPr>
          <w:rFonts w:ascii="Verdana" w:hAnsi="Verdana"/>
          <w:sz w:val="22"/>
          <w:szCs w:val="22"/>
        </w:rPr>
      </w:pPr>
      <w:r w:rsidRPr="00BA4051">
        <w:rPr>
          <w:rFonts w:ascii="Verdana" w:hAnsi="Verdana"/>
          <w:b/>
          <w:bCs/>
          <w:sz w:val="22"/>
          <w:szCs w:val="22"/>
        </w:rPr>
        <w:t>PARÁGRAFO SEGUNDO.</w:t>
      </w:r>
      <w:r w:rsidRPr="00F07EFD">
        <w:rPr>
          <w:rFonts w:ascii="Verdana" w:hAnsi="Verdana"/>
          <w:sz w:val="22"/>
          <w:szCs w:val="22"/>
        </w:rPr>
        <w:t xml:space="preserve"> Podrán destinarse recursos de las cajas menores para los gastos de alimentación que sean indispensables con ocasión de reuniones de trabajo requeridas para la atención exclusiva de la Dirección General, siempre que el </w:t>
      </w:r>
      <w:proofErr w:type="gramStart"/>
      <w:r w:rsidRPr="00F07EFD">
        <w:rPr>
          <w:rFonts w:ascii="Verdana" w:hAnsi="Verdana"/>
          <w:sz w:val="22"/>
          <w:szCs w:val="22"/>
        </w:rPr>
        <w:t>Director</w:t>
      </w:r>
      <w:proofErr w:type="gramEnd"/>
      <w:r w:rsidRPr="00F07EFD">
        <w:rPr>
          <w:rFonts w:ascii="Verdana" w:hAnsi="Verdana"/>
          <w:sz w:val="22"/>
          <w:szCs w:val="22"/>
        </w:rPr>
        <w:t xml:space="preserve"> asista y autorice el gasto por escrito.</w:t>
      </w:r>
    </w:p>
    <w:p w14:paraId="2F4C4621" w14:textId="55D71CC6" w:rsidR="00F07EFD" w:rsidRPr="00F07EFD" w:rsidRDefault="00F07EFD" w:rsidP="00F07EFD">
      <w:pPr>
        <w:rPr>
          <w:rFonts w:ascii="Verdana" w:hAnsi="Verdana"/>
          <w:sz w:val="22"/>
          <w:szCs w:val="22"/>
        </w:rPr>
      </w:pPr>
      <w:r w:rsidRPr="00BA4051">
        <w:rPr>
          <w:rFonts w:ascii="Verdana" w:hAnsi="Verdana"/>
          <w:b/>
          <w:bCs/>
          <w:sz w:val="22"/>
          <w:szCs w:val="22"/>
        </w:rPr>
        <w:lastRenderedPageBreak/>
        <w:t>PARÁGRAFO TERCERO.</w:t>
      </w:r>
      <w:r w:rsidRPr="00F07EFD">
        <w:rPr>
          <w:rFonts w:ascii="Verdana" w:hAnsi="Verdana"/>
          <w:sz w:val="22"/>
          <w:szCs w:val="22"/>
        </w:rPr>
        <w:t xml:space="preserve"> Para efectuar un gasto y su registro se debe tener presente el clasificador del gasto establecido en los Lineamientos de Programación y Ejecución de Metas Sociales y Financieras vigentes, verificando que exista el saldo disponible en cada identificador presupuestal.</w:t>
      </w:r>
    </w:p>
    <w:p w14:paraId="6A569A2B" w14:textId="1FE3F1E0" w:rsidR="00F07EFD" w:rsidRPr="00F07EFD" w:rsidRDefault="00F07EFD" w:rsidP="00F07EFD">
      <w:pPr>
        <w:rPr>
          <w:rFonts w:ascii="Verdana" w:hAnsi="Verdana"/>
          <w:sz w:val="22"/>
          <w:szCs w:val="22"/>
        </w:rPr>
      </w:pPr>
      <w:r w:rsidRPr="00BA4051">
        <w:rPr>
          <w:rFonts w:ascii="Verdana" w:hAnsi="Verdana"/>
          <w:b/>
          <w:bCs/>
          <w:sz w:val="22"/>
          <w:szCs w:val="22"/>
        </w:rPr>
        <w:t xml:space="preserve">ARTÍCULO </w:t>
      </w:r>
      <w:r w:rsidR="00BA4051" w:rsidRPr="00BA4051">
        <w:rPr>
          <w:rFonts w:ascii="Verdana" w:hAnsi="Verdana"/>
          <w:b/>
          <w:bCs/>
          <w:sz w:val="22"/>
          <w:szCs w:val="22"/>
        </w:rPr>
        <w:t>7o</w:t>
      </w:r>
      <w:r w:rsidRPr="00BA4051">
        <w:rPr>
          <w:rFonts w:ascii="Verdana" w:hAnsi="Verdana"/>
          <w:b/>
          <w:bCs/>
          <w:sz w:val="22"/>
          <w:szCs w:val="22"/>
        </w:rPr>
        <w:t>.</w:t>
      </w:r>
      <w:r w:rsidRPr="00F07EFD">
        <w:rPr>
          <w:rFonts w:ascii="Verdana" w:hAnsi="Verdana"/>
          <w:sz w:val="22"/>
          <w:szCs w:val="22"/>
        </w:rPr>
        <w:t xml:space="preserve"> PÓLIZA DE MANEJO. Los servidores públicos designados para el manejo de las Cajas Menores están amparados bajo la Póliza de Seguro de Manejo Global para Entidades Oficiales contratada por el ICBF, la cual ampara a todos los servidores públicos de planta.</w:t>
      </w:r>
    </w:p>
    <w:p w14:paraId="267175D0" w14:textId="2D8F136F" w:rsidR="00F07EFD" w:rsidRPr="00F07EFD" w:rsidRDefault="00F07EFD" w:rsidP="00F07EFD">
      <w:pPr>
        <w:rPr>
          <w:rFonts w:ascii="Verdana" w:hAnsi="Verdana"/>
          <w:sz w:val="22"/>
          <w:szCs w:val="22"/>
        </w:rPr>
      </w:pPr>
      <w:r w:rsidRPr="00BA4051">
        <w:rPr>
          <w:rFonts w:ascii="Verdana" w:hAnsi="Verdana"/>
          <w:b/>
          <w:bCs/>
          <w:sz w:val="22"/>
          <w:szCs w:val="22"/>
        </w:rPr>
        <w:t xml:space="preserve">ARTÍCULO </w:t>
      </w:r>
      <w:r w:rsidR="00BA4051" w:rsidRPr="00BA4051">
        <w:rPr>
          <w:rFonts w:ascii="Verdana" w:hAnsi="Verdana"/>
          <w:b/>
          <w:bCs/>
          <w:sz w:val="22"/>
          <w:szCs w:val="22"/>
        </w:rPr>
        <w:t>8o</w:t>
      </w:r>
      <w:r w:rsidRPr="00BA4051">
        <w:rPr>
          <w:rFonts w:ascii="Verdana" w:hAnsi="Verdana"/>
          <w:b/>
          <w:bCs/>
          <w:sz w:val="22"/>
          <w:szCs w:val="22"/>
        </w:rPr>
        <w:t>.</w:t>
      </w:r>
      <w:r w:rsidRPr="00F07EFD">
        <w:rPr>
          <w:rFonts w:ascii="Verdana" w:hAnsi="Verdana"/>
          <w:sz w:val="22"/>
          <w:szCs w:val="22"/>
        </w:rPr>
        <w:t xml:space="preserve"> PROHIBICIONES. No se podrán realizar con fondos de Cajas Menores las siguientes operaciones:</w:t>
      </w:r>
    </w:p>
    <w:p w14:paraId="3AAAF003" w14:textId="22C40060" w:rsidR="00F07EFD" w:rsidRPr="00BA4051" w:rsidRDefault="00F07EFD" w:rsidP="00BA4051">
      <w:pPr>
        <w:pStyle w:val="Prrafodelista"/>
        <w:numPr>
          <w:ilvl w:val="0"/>
          <w:numId w:val="5"/>
        </w:numPr>
        <w:rPr>
          <w:rFonts w:ascii="Verdana" w:hAnsi="Verdana"/>
          <w:sz w:val="22"/>
          <w:szCs w:val="22"/>
        </w:rPr>
      </w:pPr>
      <w:r w:rsidRPr="00BA4051">
        <w:rPr>
          <w:rFonts w:ascii="Verdana" w:hAnsi="Verdana"/>
          <w:sz w:val="22"/>
          <w:szCs w:val="22"/>
        </w:rPr>
        <w:t>Fraccionar compras de un mismo elemento o servicio.</w:t>
      </w:r>
    </w:p>
    <w:p w14:paraId="3B350DD3" w14:textId="5C83BB67" w:rsidR="00F07EFD" w:rsidRPr="00BA4051" w:rsidRDefault="00F07EFD" w:rsidP="00BA4051">
      <w:pPr>
        <w:pStyle w:val="Prrafodelista"/>
        <w:numPr>
          <w:ilvl w:val="0"/>
          <w:numId w:val="5"/>
        </w:numPr>
        <w:rPr>
          <w:rFonts w:ascii="Verdana" w:hAnsi="Verdana"/>
          <w:sz w:val="22"/>
          <w:szCs w:val="22"/>
        </w:rPr>
      </w:pPr>
      <w:r w:rsidRPr="00BA4051">
        <w:rPr>
          <w:rFonts w:ascii="Verdana" w:hAnsi="Verdana"/>
          <w:sz w:val="22"/>
          <w:szCs w:val="22"/>
        </w:rPr>
        <w:t>Realizar desembolsos con destino a gastos de órganos diferentes de su propia organización.</w:t>
      </w:r>
    </w:p>
    <w:p w14:paraId="6CB3D353" w14:textId="22B09644" w:rsidR="00F07EFD" w:rsidRPr="00BA4051" w:rsidRDefault="00F07EFD" w:rsidP="00BA4051">
      <w:pPr>
        <w:pStyle w:val="Prrafodelista"/>
        <w:numPr>
          <w:ilvl w:val="0"/>
          <w:numId w:val="5"/>
        </w:numPr>
        <w:rPr>
          <w:rFonts w:ascii="Verdana" w:hAnsi="Verdana"/>
          <w:sz w:val="22"/>
          <w:szCs w:val="22"/>
        </w:rPr>
      </w:pPr>
      <w:r w:rsidRPr="00BA4051">
        <w:rPr>
          <w:rFonts w:ascii="Verdana" w:hAnsi="Verdana"/>
          <w:sz w:val="22"/>
          <w:szCs w:val="22"/>
        </w:rPr>
        <w:t>Efectuar pagos de contratos cuando de conformidad con el Estatuto de Contratación Administrativa y normas que lo reglamenten deben constar por escrito.</w:t>
      </w:r>
    </w:p>
    <w:p w14:paraId="410CE588" w14:textId="2EF481C0" w:rsidR="00F07EFD" w:rsidRPr="00BA4051" w:rsidRDefault="00F07EFD" w:rsidP="00BA4051">
      <w:pPr>
        <w:pStyle w:val="Prrafodelista"/>
        <w:numPr>
          <w:ilvl w:val="0"/>
          <w:numId w:val="5"/>
        </w:numPr>
        <w:rPr>
          <w:rFonts w:ascii="Verdana" w:hAnsi="Verdana"/>
          <w:sz w:val="22"/>
          <w:szCs w:val="22"/>
        </w:rPr>
      </w:pPr>
      <w:r w:rsidRPr="00BA4051">
        <w:rPr>
          <w:rFonts w:ascii="Verdana" w:hAnsi="Verdana"/>
          <w:sz w:val="22"/>
          <w:szCs w:val="22"/>
        </w:rPr>
        <w:t xml:space="preserve">Reconocer y pagar gastos por concepto de servicios personales y las contribuciones que establece la ley sobre la nómina, cesantías y </w:t>
      </w:r>
      <w:proofErr w:type="gramStart"/>
      <w:r w:rsidRPr="00BA4051">
        <w:rPr>
          <w:rFonts w:ascii="Verdana" w:hAnsi="Verdana"/>
          <w:sz w:val="22"/>
          <w:szCs w:val="22"/>
        </w:rPr>
        <w:t>pensiones.</w:t>
      </w:r>
      <w:r w:rsidR="00BA4051" w:rsidRPr="00BA4051">
        <w:rPr>
          <w:rFonts w:ascii="Verdana" w:hAnsi="Verdana"/>
          <w:sz w:val="22"/>
          <w:szCs w:val="22"/>
        </w:rPr>
        <w:t>¿</w:t>
      </w:r>
      <w:proofErr w:type="gramEnd"/>
    </w:p>
    <w:p w14:paraId="595A9034" w14:textId="06BE56CA" w:rsidR="00F07EFD" w:rsidRPr="00BA4051" w:rsidRDefault="00F07EFD" w:rsidP="00BA4051">
      <w:pPr>
        <w:pStyle w:val="Prrafodelista"/>
        <w:numPr>
          <w:ilvl w:val="0"/>
          <w:numId w:val="5"/>
        </w:numPr>
        <w:rPr>
          <w:rFonts w:ascii="Verdana" w:hAnsi="Verdana"/>
          <w:sz w:val="22"/>
          <w:szCs w:val="22"/>
        </w:rPr>
      </w:pPr>
      <w:r w:rsidRPr="00BA4051">
        <w:rPr>
          <w:rFonts w:ascii="Verdana" w:hAnsi="Verdana"/>
          <w:sz w:val="22"/>
          <w:szCs w:val="22"/>
        </w:rPr>
        <w:t>Cambiar cheques o efectuar préstamos.</w:t>
      </w:r>
    </w:p>
    <w:p w14:paraId="76CA5756" w14:textId="5DB20295" w:rsidR="00F07EFD" w:rsidRPr="00BA4051" w:rsidRDefault="00F07EFD" w:rsidP="00BA4051">
      <w:pPr>
        <w:pStyle w:val="Prrafodelista"/>
        <w:numPr>
          <w:ilvl w:val="0"/>
          <w:numId w:val="5"/>
        </w:numPr>
        <w:rPr>
          <w:rFonts w:ascii="Verdana" w:hAnsi="Verdana"/>
          <w:sz w:val="22"/>
          <w:szCs w:val="22"/>
        </w:rPr>
      </w:pPr>
      <w:r w:rsidRPr="00BA4051">
        <w:rPr>
          <w:rFonts w:ascii="Verdana" w:hAnsi="Verdana"/>
          <w:sz w:val="22"/>
          <w:szCs w:val="22"/>
        </w:rPr>
        <w:t>Adquirir elementos cuya existencia esté comprobada en el Almacén o en el Depósito de la respectiva Dirección Regional o Dirección General.</w:t>
      </w:r>
    </w:p>
    <w:p w14:paraId="581D8905" w14:textId="092D076E" w:rsidR="00F07EFD" w:rsidRPr="00BA4051" w:rsidRDefault="00F07EFD" w:rsidP="00BA4051">
      <w:pPr>
        <w:pStyle w:val="Prrafodelista"/>
        <w:numPr>
          <w:ilvl w:val="0"/>
          <w:numId w:val="5"/>
        </w:numPr>
        <w:rPr>
          <w:rFonts w:ascii="Verdana" w:hAnsi="Verdana"/>
          <w:sz w:val="22"/>
          <w:szCs w:val="22"/>
        </w:rPr>
      </w:pPr>
      <w:r w:rsidRPr="00BA4051">
        <w:rPr>
          <w:rFonts w:ascii="Verdana" w:hAnsi="Verdana"/>
          <w:sz w:val="22"/>
          <w:szCs w:val="22"/>
        </w:rPr>
        <w:t>Efectuar gastos de servicios públicos, salvo que se trate de pagos en las Direcciones Regionales, cuya urgencia y razones se encuentren plenamente sustentadas.</w:t>
      </w:r>
    </w:p>
    <w:p w14:paraId="2B49E05D" w14:textId="7A977F17" w:rsidR="00F07EFD" w:rsidRPr="00BA4051" w:rsidRDefault="00F07EFD" w:rsidP="00BA4051">
      <w:pPr>
        <w:pStyle w:val="Prrafodelista"/>
        <w:numPr>
          <w:ilvl w:val="0"/>
          <w:numId w:val="5"/>
        </w:numPr>
        <w:rPr>
          <w:rFonts w:ascii="Verdana" w:hAnsi="Verdana"/>
          <w:sz w:val="22"/>
          <w:szCs w:val="22"/>
        </w:rPr>
      </w:pPr>
      <w:r w:rsidRPr="00BA4051">
        <w:rPr>
          <w:rFonts w:ascii="Verdana" w:hAnsi="Verdana"/>
          <w:sz w:val="22"/>
          <w:szCs w:val="22"/>
        </w:rPr>
        <w:t xml:space="preserve">Para gastos que no contengan los </w:t>
      </w:r>
      <w:proofErr w:type="gramStart"/>
      <w:r w:rsidRPr="00BA4051">
        <w:rPr>
          <w:rFonts w:ascii="Verdana" w:hAnsi="Verdana"/>
          <w:sz w:val="22"/>
          <w:szCs w:val="22"/>
        </w:rPr>
        <w:t>documentos soportes</w:t>
      </w:r>
      <w:proofErr w:type="gramEnd"/>
      <w:r w:rsidRPr="00BA4051">
        <w:rPr>
          <w:rFonts w:ascii="Verdana" w:hAnsi="Verdana"/>
          <w:sz w:val="22"/>
          <w:szCs w:val="22"/>
        </w:rPr>
        <w:t xml:space="preserve"> exigidos para su legalización, tales como facturas, resoluciones de comisión, recibos de registradora o la elaboración de una planilla de control.</w:t>
      </w:r>
    </w:p>
    <w:p w14:paraId="22E97BB7" w14:textId="2BC5FBE6" w:rsidR="00F07EFD" w:rsidRPr="00F07EFD" w:rsidRDefault="00F07EFD" w:rsidP="00F07EFD">
      <w:pPr>
        <w:rPr>
          <w:rFonts w:ascii="Verdana" w:hAnsi="Verdana"/>
          <w:sz w:val="22"/>
          <w:szCs w:val="22"/>
        </w:rPr>
      </w:pPr>
      <w:r w:rsidRPr="00BA4051">
        <w:rPr>
          <w:rFonts w:ascii="Verdana" w:hAnsi="Verdana"/>
          <w:b/>
          <w:bCs/>
          <w:sz w:val="22"/>
          <w:szCs w:val="22"/>
        </w:rPr>
        <w:t>PARÁGRAFO.</w:t>
      </w:r>
      <w:r w:rsidRPr="00F07EFD">
        <w:rPr>
          <w:rFonts w:ascii="Verdana" w:hAnsi="Verdana"/>
          <w:sz w:val="22"/>
          <w:szCs w:val="22"/>
        </w:rPr>
        <w:t xml:space="preserve"> Cuando por cualquier circunstancia una Caja Menor quede inoperante, no se podrá constituir otra o reemplazarla hasta tanto la anterior haya sido legalizada en su totalidad, en el SIIF Nación.</w:t>
      </w:r>
    </w:p>
    <w:p w14:paraId="7BFDD8FB" w14:textId="6866A657" w:rsidR="00F07EFD" w:rsidRPr="00F07EFD" w:rsidRDefault="00F07EFD" w:rsidP="00F07EFD">
      <w:pPr>
        <w:rPr>
          <w:rFonts w:ascii="Verdana" w:hAnsi="Verdana"/>
          <w:sz w:val="22"/>
          <w:szCs w:val="22"/>
        </w:rPr>
      </w:pPr>
      <w:r w:rsidRPr="00BA4051">
        <w:rPr>
          <w:rFonts w:ascii="Verdana" w:hAnsi="Verdana"/>
          <w:b/>
          <w:bCs/>
          <w:sz w:val="22"/>
          <w:szCs w:val="22"/>
        </w:rPr>
        <w:t xml:space="preserve">ARTÍCULO </w:t>
      </w:r>
      <w:r w:rsidR="00BA4051" w:rsidRPr="00BA4051">
        <w:rPr>
          <w:rFonts w:ascii="Verdana" w:hAnsi="Verdana"/>
          <w:b/>
          <w:bCs/>
          <w:sz w:val="22"/>
          <w:szCs w:val="22"/>
        </w:rPr>
        <w:t>9o</w:t>
      </w:r>
      <w:r w:rsidRPr="00BA4051">
        <w:rPr>
          <w:rFonts w:ascii="Verdana" w:hAnsi="Verdana"/>
          <w:b/>
          <w:bCs/>
          <w:sz w:val="22"/>
          <w:szCs w:val="22"/>
        </w:rPr>
        <w:t>.</w:t>
      </w:r>
      <w:r w:rsidRPr="00F07EFD">
        <w:rPr>
          <w:rFonts w:ascii="Verdana" w:hAnsi="Verdana"/>
          <w:sz w:val="22"/>
          <w:szCs w:val="22"/>
        </w:rPr>
        <w:t xml:space="preserve"> MANEJO DEL DINERO. El manejo del dinero de las Cajas Menores en las Direcciones Regionales y en la Dirección General, se hará a través de una Cuenta Corriente según lo estipulado en el artículo 2.8.5.9 del Decreto No. 1068 de 2015 y de acuerdo con la normatividad vigente expedida por el ICBF.</w:t>
      </w:r>
    </w:p>
    <w:p w14:paraId="6C1A371F" w14:textId="5A58CF16" w:rsidR="00F07EFD" w:rsidRPr="00F07EFD" w:rsidRDefault="00F07EFD" w:rsidP="00F07EFD">
      <w:pPr>
        <w:rPr>
          <w:rFonts w:ascii="Verdana" w:hAnsi="Verdana"/>
          <w:sz w:val="22"/>
          <w:szCs w:val="22"/>
        </w:rPr>
      </w:pPr>
      <w:r w:rsidRPr="00F07EFD">
        <w:rPr>
          <w:rFonts w:ascii="Verdana" w:hAnsi="Verdana"/>
          <w:sz w:val="22"/>
          <w:szCs w:val="22"/>
        </w:rPr>
        <w:t>Para la Operatividad de una Caja Menor, el funcionario responsable delegado por resolución debe estar creado ante el Ministerio de Hacienda y Crédito Público con el Perfil Gestión Caja Menor y es el principal autor del manejo de la clave de ingreso al sistema, realizando el registro diario de la información generada.</w:t>
      </w:r>
    </w:p>
    <w:p w14:paraId="44C18F9B" w14:textId="77777777" w:rsidR="00F07EFD" w:rsidRPr="00F07EFD" w:rsidRDefault="00F07EFD" w:rsidP="00F07EFD">
      <w:pPr>
        <w:rPr>
          <w:rFonts w:ascii="Verdana" w:hAnsi="Verdana"/>
          <w:sz w:val="22"/>
          <w:szCs w:val="22"/>
        </w:rPr>
      </w:pPr>
      <w:r w:rsidRPr="00F05672">
        <w:rPr>
          <w:rFonts w:ascii="Verdana" w:hAnsi="Verdana"/>
          <w:b/>
          <w:bCs/>
          <w:sz w:val="22"/>
          <w:szCs w:val="22"/>
        </w:rPr>
        <w:t>PARÁGRAFO PRIMERO.</w:t>
      </w:r>
      <w:r w:rsidRPr="00F07EFD">
        <w:rPr>
          <w:rFonts w:ascii="Verdana" w:hAnsi="Verdana"/>
          <w:sz w:val="22"/>
          <w:szCs w:val="22"/>
        </w:rPr>
        <w:t xml:space="preserve"> El </w:t>
      </w:r>
      <w:proofErr w:type="gramStart"/>
      <w:r w:rsidRPr="00F07EFD">
        <w:rPr>
          <w:rFonts w:ascii="Verdana" w:hAnsi="Verdana"/>
          <w:sz w:val="22"/>
          <w:szCs w:val="22"/>
        </w:rPr>
        <w:t>Responsable</w:t>
      </w:r>
      <w:proofErr w:type="gramEnd"/>
      <w:r w:rsidRPr="00F07EFD">
        <w:rPr>
          <w:rFonts w:ascii="Verdana" w:hAnsi="Verdana"/>
          <w:sz w:val="22"/>
          <w:szCs w:val="22"/>
        </w:rPr>
        <w:t xml:space="preserve"> de la Caja Menor - Cuentadante - sólo podrá mantener en efectivo y como máximo valor el equivalente al veinte por ciento (20%) del monto total de dicha Caja y será responsable de la custodia y disponibilidad de dichos recursos.</w:t>
      </w:r>
    </w:p>
    <w:p w14:paraId="653F13A6" w14:textId="77777777" w:rsidR="00F07EFD" w:rsidRPr="00F07EFD" w:rsidRDefault="00F07EFD" w:rsidP="00F07EFD">
      <w:pPr>
        <w:rPr>
          <w:rFonts w:ascii="Verdana" w:hAnsi="Verdana"/>
          <w:sz w:val="22"/>
          <w:szCs w:val="22"/>
        </w:rPr>
      </w:pPr>
      <w:r w:rsidRPr="00F05672">
        <w:rPr>
          <w:rFonts w:ascii="Verdana" w:hAnsi="Verdana"/>
          <w:b/>
          <w:bCs/>
          <w:sz w:val="22"/>
          <w:szCs w:val="22"/>
        </w:rPr>
        <w:lastRenderedPageBreak/>
        <w:t>PARÁGRAFO SEGUNDO.</w:t>
      </w:r>
      <w:r w:rsidRPr="00F07EFD">
        <w:rPr>
          <w:rFonts w:ascii="Verdana" w:hAnsi="Verdana"/>
          <w:sz w:val="22"/>
          <w:szCs w:val="22"/>
        </w:rPr>
        <w:t xml:space="preserve"> Para el manejo de los recursos en efectivo se deberá expedir un vale provisional a nombre del servidor público al cual se le hizo entrega del dinero, quien deberá firmar con el número de la cédula de ciudadanía, indicando además la fecha y hora de recibo. La legalización del vale provisional se deberá realizar dentro de los dos (2) días hábiles posteriores a la fecha de su expedición. El vale provisional deberá reemplazarse por los soportes documentales, como facturas, recibos de pago y los demás que cumplan con los requisitos, de acuerdo con las normas vigentes. En caso de no ser posible la presentación de los soportes en el tiempo establecido en este parágrafo, el servidor público responsable del manejo de la Caja Menor podrá ampliar el plazo de la legalización, dependiendo del caso, en máximo cuatro (4) días calendario.</w:t>
      </w:r>
    </w:p>
    <w:p w14:paraId="69B7C7F6" w14:textId="41E8542F" w:rsidR="00F07EFD" w:rsidRPr="00F07EFD" w:rsidRDefault="00F07EFD" w:rsidP="00F07EFD">
      <w:pPr>
        <w:rPr>
          <w:rFonts w:ascii="Verdana" w:hAnsi="Verdana"/>
          <w:sz w:val="22"/>
          <w:szCs w:val="22"/>
        </w:rPr>
      </w:pPr>
      <w:r w:rsidRPr="00F05672">
        <w:rPr>
          <w:rFonts w:ascii="Verdana" w:hAnsi="Verdana"/>
          <w:b/>
          <w:bCs/>
          <w:sz w:val="22"/>
          <w:szCs w:val="22"/>
        </w:rPr>
        <w:t>PARÁGRAFO TERCERO.</w:t>
      </w:r>
      <w:r w:rsidRPr="00F07EFD">
        <w:rPr>
          <w:rFonts w:ascii="Verdana" w:hAnsi="Verdana"/>
          <w:sz w:val="22"/>
          <w:szCs w:val="22"/>
        </w:rPr>
        <w:t xml:space="preserve"> El servidor público responsable de la Caja Menor no puede ejecutar gastos por un monto superior al disponible en cada ítem presupuestal ni hacer unidad de caja en el momento de efectuar el gasto.</w:t>
      </w:r>
    </w:p>
    <w:p w14:paraId="60C0632D" w14:textId="3A2A6A32" w:rsidR="00F07EFD" w:rsidRPr="00F07EFD" w:rsidRDefault="00F07EFD" w:rsidP="00F07EFD">
      <w:pPr>
        <w:rPr>
          <w:rFonts w:ascii="Verdana" w:hAnsi="Verdana"/>
          <w:sz w:val="22"/>
          <w:szCs w:val="22"/>
        </w:rPr>
      </w:pPr>
      <w:r w:rsidRPr="00F05672">
        <w:rPr>
          <w:rFonts w:ascii="Verdana" w:hAnsi="Verdana"/>
          <w:b/>
          <w:bCs/>
          <w:sz w:val="22"/>
          <w:szCs w:val="22"/>
        </w:rPr>
        <w:t xml:space="preserve">ARTÍCULO </w:t>
      </w:r>
      <w:r w:rsidR="00F05672" w:rsidRPr="00F05672">
        <w:rPr>
          <w:rFonts w:ascii="Verdana" w:hAnsi="Verdana"/>
          <w:b/>
          <w:bCs/>
          <w:sz w:val="22"/>
          <w:szCs w:val="22"/>
        </w:rPr>
        <w:t>10o</w:t>
      </w:r>
      <w:r w:rsidRPr="00F05672">
        <w:rPr>
          <w:rFonts w:ascii="Verdana" w:hAnsi="Verdana"/>
          <w:b/>
          <w:bCs/>
          <w:sz w:val="22"/>
          <w:szCs w:val="22"/>
        </w:rPr>
        <w:t>.</w:t>
      </w:r>
      <w:r w:rsidRPr="00F07EFD">
        <w:rPr>
          <w:rFonts w:ascii="Verdana" w:hAnsi="Verdana"/>
          <w:sz w:val="22"/>
          <w:szCs w:val="22"/>
        </w:rPr>
        <w:t xml:space="preserve"> REEMPLAZO TEMPORAL DEL RESPONSABLE DE LA CAJA MENOR. Cuando el responsable de la Caja Menor deba ausentarse por vacaciones, licencia, comisión o cualquier tipo de permiso, el </w:t>
      </w:r>
      <w:proofErr w:type="gramStart"/>
      <w:r w:rsidRPr="00F07EFD">
        <w:rPr>
          <w:rFonts w:ascii="Verdana" w:hAnsi="Verdana"/>
          <w:sz w:val="22"/>
          <w:szCs w:val="22"/>
        </w:rPr>
        <w:t>Director Regional</w:t>
      </w:r>
      <w:proofErr w:type="gramEnd"/>
      <w:r w:rsidRPr="00F07EFD">
        <w:rPr>
          <w:rFonts w:ascii="Verdana" w:hAnsi="Verdana"/>
          <w:sz w:val="22"/>
          <w:szCs w:val="22"/>
        </w:rPr>
        <w:t xml:space="preserve"> o el </w:t>
      </w:r>
      <w:proofErr w:type="gramStart"/>
      <w:r w:rsidRPr="00F07EFD">
        <w:rPr>
          <w:rFonts w:ascii="Verdana" w:hAnsi="Verdana"/>
          <w:sz w:val="22"/>
          <w:szCs w:val="22"/>
        </w:rPr>
        <w:t>Secretario General</w:t>
      </w:r>
      <w:proofErr w:type="gramEnd"/>
      <w:r w:rsidRPr="00F07EFD">
        <w:rPr>
          <w:rFonts w:ascii="Verdana" w:hAnsi="Verdana"/>
          <w:sz w:val="22"/>
          <w:szCs w:val="22"/>
        </w:rPr>
        <w:t>, según corresponda, mediante resolución, deberá encargar a otro servidor público con la debida capacitación que deberá constar en acta. El titular deberá entregar cuando se retire y recibir cuando se reintegre, mediante Acta y con el respectivo arqueo, los fondos existentes, y los documentos que soportan los gastos, los cuales deben ser generados desde el aplicativo SIIF Nación y según lo estipulado en el parágrafo del artículo 2.8.5.9 del Decreto 1068 del 26 de mayo de 2015.</w:t>
      </w:r>
    </w:p>
    <w:p w14:paraId="386544E9" w14:textId="23F36EC2" w:rsidR="00F07EFD" w:rsidRPr="00F07EFD" w:rsidRDefault="00F07EFD" w:rsidP="00F07EFD">
      <w:pPr>
        <w:rPr>
          <w:rFonts w:ascii="Verdana" w:hAnsi="Verdana"/>
          <w:sz w:val="22"/>
          <w:szCs w:val="22"/>
        </w:rPr>
      </w:pPr>
      <w:r w:rsidRPr="00F05672">
        <w:rPr>
          <w:rFonts w:ascii="Verdana" w:hAnsi="Verdana"/>
          <w:b/>
          <w:bCs/>
          <w:sz w:val="22"/>
          <w:szCs w:val="22"/>
        </w:rPr>
        <w:t xml:space="preserve">ARTÍCULO </w:t>
      </w:r>
      <w:r w:rsidR="00F05672" w:rsidRPr="00F05672">
        <w:rPr>
          <w:rFonts w:ascii="Verdana" w:hAnsi="Verdana"/>
          <w:b/>
          <w:bCs/>
          <w:sz w:val="22"/>
          <w:szCs w:val="22"/>
        </w:rPr>
        <w:t>11o</w:t>
      </w:r>
      <w:r w:rsidRPr="00F05672">
        <w:rPr>
          <w:rFonts w:ascii="Verdana" w:hAnsi="Verdana"/>
          <w:b/>
          <w:bCs/>
          <w:sz w:val="22"/>
          <w:szCs w:val="22"/>
        </w:rPr>
        <w:t>.</w:t>
      </w:r>
      <w:r w:rsidRPr="00F07EFD">
        <w:rPr>
          <w:rFonts w:ascii="Verdana" w:hAnsi="Verdana"/>
          <w:sz w:val="22"/>
          <w:szCs w:val="22"/>
        </w:rPr>
        <w:t xml:space="preserve"> PAGOS POR CAJA MENOR. Los pagos que se efectúen con cargo a la Caja Menor deberán estar soportados con la respectiva factura, en la que debe constar el número de identificación o NIT del beneficiario, la fecha, el concepto del gasto, el valor unitario, el valor total y demás requisitos exigidos en las normas sobre la materia. Al momento de realizar el pago se deberán aplicar los descuentos de ley a que haya lugar, del orden nacional, distrital y territorial de conformidad con lo establecido en las disposiciones legales vigentes.</w:t>
      </w:r>
    </w:p>
    <w:p w14:paraId="57903281" w14:textId="42579861" w:rsidR="00F07EFD" w:rsidRPr="00F07EFD" w:rsidRDefault="00F07EFD" w:rsidP="00F07EFD">
      <w:pPr>
        <w:rPr>
          <w:rFonts w:ascii="Verdana" w:hAnsi="Verdana"/>
          <w:sz w:val="22"/>
          <w:szCs w:val="22"/>
        </w:rPr>
      </w:pPr>
      <w:r w:rsidRPr="00F05672">
        <w:rPr>
          <w:rFonts w:ascii="Verdana" w:hAnsi="Verdana"/>
          <w:b/>
          <w:bCs/>
          <w:sz w:val="22"/>
          <w:szCs w:val="22"/>
        </w:rPr>
        <w:t>PARÁGRAFO PRIMERO.</w:t>
      </w:r>
      <w:r w:rsidRPr="00F07EFD">
        <w:rPr>
          <w:rFonts w:ascii="Verdana" w:hAnsi="Verdana"/>
          <w:sz w:val="22"/>
          <w:szCs w:val="22"/>
        </w:rPr>
        <w:t xml:space="preserve"> Los </w:t>
      </w:r>
      <w:proofErr w:type="gramStart"/>
      <w:r w:rsidRPr="00F07EFD">
        <w:rPr>
          <w:rFonts w:ascii="Verdana" w:hAnsi="Verdana"/>
          <w:sz w:val="22"/>
          <w:szCs w:val="22"/>
        </w:rPr>
        <w:t>Directores Regionales</w:t>
      </w:r>
      <w:proofErr w:type="gramEnd"/>
      <w:r w:rsidRPr="00F07EFD">
        <w:rPr>
          <w:rFonts w:ascii="Verdana" w:hAnsi="Verdana"/>
          <w:sz w:val="22"/>
          <w:szCs w:val="22"/>
        </w:rPr>
        <w:t xml:space="preserve"> o e) </w:t>
      </w:r>
      <w:proofErr w:type="gramStart"/>
      <w:r w:rsidRPr="00F07EFD">
        <w:rPr>
          <w:rFonts w:ascii="Verdana" w:hAnsi="Verdana"/>
          <w:sz w:val="22"/>
          <w:szCs w:val="22"/>
        </w:rPr>
        <w:t>Secretario General</w:t>
      </w:r>
      <w:proofErr w:type="gramEnd"/>
      <w:r w:rsidRPr="00F07EFD">
        <w:rPr>
          <w:rFonts w:ascii="Verdana" w:hAnsi="Verdana"/>
          <w:sz w:val="22"/>
          <w:szCs w:val="22"/>
        </w:rPr>
        <w:t xml:space="preserve">, según corresponda, en la Resolución de designación del </w:t>
      </w:r>
      <w:proofErr w:type="gramStart"/>
      <w:r w:rsidRPr="00F07EFD">
        <w:rPr>
          <w:rFonts w:ascii="Verdana" w:hAnsi="Verdana"/>
          <w:sz w:val="22"/>
          <w:szCs w:val="22"/>
        </w:rPr>
        <w:t>Responsable</w:t>
      </w:r>
      <w:proofErr w:type="gramEnd"/>
      <w:r w:rsidRPr="00F07EFD">
        <w:rPr>
          <w:rFonts w:ascii="Verdana" w:hAnsi="Verdana"/>
          <w:sz w:val="22"/>
          <w:szCs w:val="22"/>
        </w:rPr>
        <w:t xml:space="preserve"> para el manejo de la Caja Menor, deberá señalar el nombre del banco, el número y tipo de la cuenta en la cual se deben consignar los descuentos efectuados por las retenciones de ley.</w:t>
      </w:r>
    </w:p>
    <w:p w14:paraId="423D8700" w14:textId="1B8CD722" w:rsidR="00F07EFD" w:rsidRPr="00F07EFD" w:rsidRDefault="00F07EFD" w:rsidP="00F07EFD">
      <w:pPr>
        <w:rPr>
          <w:rFonts w:ascii="Verdana" w:hAnsi="Verdana"/>
          <w:sz w:val="22"/>
          <w:szCs w:val="22"/>
        </w:rPr>
      </w:pPr>
      <w:r w:rsidRPr="00F05672">
        <w:rPr>
          <w:rFonts w:ascii="Verdana" w:hAnsi="Verdana"/>
          <w:b/>
          <w:bCs/>
          <w:sz w:val="22"/>
          <w:szCs w:val="22"/>
        </w:rPr>
        <w:t>PARÁGRAFO SEGUNDO</w:t>
      </w:r>
      <w:r w:rsidRPr="00F07EFD">
        <w:rPr>
          <w:rFonts w:ascii="Verdana" w:hAnsi="Verdana"/>
          <w:sz w:val="22"/>
          <w:szCs w:val="22"/>
        </w:rPr>
        <w:t>. El cuentadante no deberá realizar las consignaciones de los descuentos aplicados en los Egresos de caja menor, teniendo en cuenta que los mismos quedan generados en el Sistema Integrado de Información Financiera SIIF Nación y se verán reflejadas las deducciones en el momento que se realicen los reembolsos o la legalización definitiva, por lo que, cuando el cuentadante solicite reembolso se le girará el valor neto sin deducciones.</w:t>
      </w:r>
    </w:p>
    <w:p w14:paraId="7D2D931D" w14:textId="57755A19" w:rsidR="00F07EFD" w:rsidRPr="00F07EFD" w:rsidRDefault="00F07EFD" w:rsidP="00F07EFD">
      <w:pPr>
        <w:rPr>
          <w:rFonts w:ascii="Verdana" w:hAnsi="Verdana"/>
          <w:sz w:val="22"/>
          <w:szCs w:val="22"/>
        </w:rPr>
      </w:pPr>
      <w:r w:rsidRPr="00F05672">
        <w:rPr>
          <w:rFonts w:ascii="Verdana" w:hAnsi="Verdana"/>
          <w:b/>
          <w:bCs/>
          <w:sz w:val="22"/>
          <w:szCs w:val="22"/>
        </w:rPr>
        <w:t>PARÁGRAFO TERCERO.</w:t>
      </w:r>
      <w:r w:rsidRPr="00F07EFD">
        <w:rPr>
          <w:rFonts w:ascii="Verdana" w:hAnsi="Verdana"/>
          <w:sz w:val="22"/>
          <w:szCs w:val="22"/>
        </w:rPr>
        <w:t xml:space="preserve"> La falta de pago oportuno de la retención en la fuente y demás gravámenes genera Intereses de mora y sanciones por parte de la </w:t>
      </w:r>
      <w:r w:rsidRPr="00F07EFD">
        <w:rPr>
          <w:rFonts w:ascii="Verdana" w:hAnsi="Verdana"/>
          <w:sz w:val="22"/>
          <w:szCs w:val="22"/>
        </w:rPr>
        <w:lastRenderedPageBreak/>
        <w:t>DIAN, los cuales deberán ser asumidos por el servidor público responsable de la Caja Menor que no retuvo o que no consignó oportunamente.</w:t>
      </w:r>
    </w:p>
    <w:p w14:paraId="1D2EFA58" w14:textId="6CFF96B4" w:rsidR="00F07EFD" w:rsidRPr="00F07EFD" w:rsidRDefault="00F07EFD" w:rsidP="00F07EFD">
      <w:pPr>
        <w:rPr>
          <w:rFonts w:ascii="Verdana" w:hAnsi="Verdana"/>
          <w:sz w:val="22"/>
          <w:szCs w:val="22"/>
        </w:rPr>
      </w:pPr>
      <w:r w:rsidRPr="00F05672">
        <w:rPr>
          <w:rFonts w:ascii="Verdana" w:hAnsi="Verdana"/>
          <w:b/>
          <w:bCs/>
          <w:sz w:val="22"/>
          <w:szCs w:val="22"/>
        </w:rPr>
        <w:t>PARÁGRAFO CUARTO.</w:t>
      </w:r>
      <w:r w:rsidRPr="00F07EFD">
        <w:rPr>
          <w:rFonts w:ascii="Verdana" w:hAnsi="Verdana"/>
          <w:sz w:val="22"/>
          <w:szCs w:val="22"/>
        </w:rPr>
        <w:t xml:space="preserve"> El servidor público responsable de la Pagaduría en las Direcciones Regionales y el Coordinador del Grupo Financiero Sede de la Dirección General deberán incluir estos valores en la declaración de Retención en la Fuente para ser girados a la DIAN, de acuerdo con el calendario establecido para cada vigencia fiscal.</w:t>
      </w:r>
    </w:p>
    <w:p w14:paraId="591B37C1" w14:textId="04989287" w:rsidR="00F07EFD" w:rsidRPr="00F07EFD" w:rsidRDefault="00F07EFD" w:rsidP="00F07EFD">
      <w:pPr>
        <w:rPr>
          <w:rFonts w:ascii="Verdana" w:hAnsi="Verdana"/>
          <w:sz w:val="22"/>
          <w:szCs w:val="22"/>
        </w:rPr>
      </w:pPr>
      <w:r w:rsidRPr="00F56BB0">
        <w:rPr>
          <w:rFonts w:ascii="Verdana" w:hAnsi="Verdana"/>
          <w:b/>
          <w:bCs/>
          <w:sz w:val="22"/>
          <w:szCs w:val="22"/>
        </w:rPr>
        <w:t xml:space="preserve">ARTÍCULO </w:t>
      </w:r>
      <w:r w:rsidR="00F56BB0" w:rsidRPr="00F56BB0">
        <w:rPr>
          <w:rFonts w:ascii="Verdana" w:hAnsi="Verdana"/>
          <w:b/>
          <w:bCs/>
          <w:sz w:val="22"/>
          <w:szCs w:val="22"/>
        </w:rPr>
        <w:t>12o</w:t>
      </w:r>
      <w:r w:rsidRPr="00F56BB0">
        <w:rPr>
          <w:rFonts w:ascii="Verdana" w:hAnsi="Verdana"/>
          <w:b/>
          <w:bCs/>
          <w:sz w:val="22"/>
          <w:szCs w:val="22"/>
        </w:rPr>
        <w:t>.</w:t>
      </w:r>
      <w:r w:rsidRPr="00F07EFD">
        <w:rPr>
          <w:rFonts w:ascii="Verdana" w:hAnsi="Verdana"/>
          <w:sz w:val="22"/>
          <w:szCs w:val="22"/>
        </w:rPr>
        <w:t xml:space="preserve"> REEMBOLSOS. Los reembolsos se deben hacer en forma mensual en la cuantía de los gastos realizados, sin exceder el monto previsto en el respectivo identificador presupuestal, o cuando se haya consumido más del setenta por ciento (70%) de alguno o todos los valores de los identificadores presupuestales afectados, lo que ocurra primero.</w:t>
      </w:r>
    </w:p>
    <w:p w14:paraId="46FEFAFF" w14:textId="09368B08" w:rsidR="00F07EFD" w:rsidRPr="00F56BB0" w:rsidRDefault="00F07EFD" w:rsidP="00F07EFD">
      <w:pPr>
        <w:rPr>
          <w:rFonts w:ascii="Verdana" w:hAnsi="Verdana"/>
          <w:sz w:val="22"/>
          <w:szCs w:val="22"/>
        </w:rPr>
      </w:pPr>
      <w:r w:rsidRPr="00F07EFD">
        <w:rPr>
          <w:rFonts w:ascii="Verdana" w:hAnsi="Verdana"/>
          <w:sz w:val="22"/>
          <w:szCs w:val="22"/>
        </w:rPr>
        <w:t>En el reembolso se deberán reportar los gastos realizados en todos los rubros presupuestales a fin de efectuar un corte de numeración y de fechas.</w:t>
      </w:r>
    </w:p>
    <w:p w14:paraId="15B8DE02" w14:textId="1F2449C6" w:rsidR="00F07EFD" w:rsidRPr="00F07EFD" w:rsidRDefault="00F07EFD" w:rsidP="00F07EFD">
      <w:pPr>
        <w:rPr>
          <w:rFonts w:ascii="Verdana" w:hAnsi="Verdana"/>
          <w:sz w:val="22"/>
          <w:szCs w:val="22"/>
        </w:rPr>
      </w:pPr>
      <w:r w:rsidRPr="00F56BB0">
        <w:rPr>
          <w:rFonts w:ascii="Verdana" w:hAnsi="Verdana"/>
          <w:b/>
          <w:bCs/>
          <w:sz w:val="22"/>
          <w:szCs w:val="22"/>
        </w:rPr>
        <w:t>PARÁGRAFO PRIMERO:</w:t>
      </w:r>
      <w:r w:rsidRPr="00F07EFD">
        <w:rPr>
          <w:rFonts w:ascii="Verdana" w:hAnsi="Verdana"/>
          <w:sz w:val="22"/>
          <w:szCs w:val="22"/>
        </w:rPr>
        <w:t xml:space="preserve"> Para efectos del reembolso, se exigirá el cumplimiento de los requisitos que a continuación se indican:</w:t>
      </w:r>
    </w:p>
    <w:p w14:paraId="0D073A75" w14:textId="438B9312" w:rsidR="00F07EFD" w:rsidRPr="00F56BB0" w:rsidRDefault="00F07EFD" w:rsidP="00F07EFD">
      <w:pPr>
        <w:pStyle w:val="Prrafodelista"/>
        <w:numPr>
          <w:ilvl w:val="0"/>
          <w:numId w:val="2"/>
        </w:numPr>
        <w:rPr>
          <w:rFonts w:ascii="Verdana" w:hAnsi="Verdana"/>
          <w:sz w:val="22"/>
          <w:szCs w:val="22"/>
        </w:rPr>
      </w:pPr>
      <w:r w:rsidRPr="00F56BB0">
        <w:rPr>
          <w:rFonts w:ascii="Verdana" w:hAnsi="Verdana"/>
          <w:sz w:val="22"/>
          <w:szCs w:val="22"/>
        </w:rPr>
        <w:t>Que los gastos estén agrupados por identificadores presupuestales, bien sea en el comprobante de pago o en la relación anexa, y que correspondan a los autorizados en la resolución de constitución, incluyendo el Gravamen a los Movimientos Financieros - GMF- del mes, para lo cual, se debe anexar el extracto bancario del mes correspondiente.</w:t>
      </w:r>
    </w:p>
    <w:p w14:paraId="489C65C9" w14:textId="380296D6" w:rsidR="00F07EFD" w:rsidRPr="00F56BB0" w:rsidRDefault="00F07EFD" w:rsidP="00F07EFD">
      <w:pPr>
        <w:pStyle w:val="Prrafodelista"/>
        <w:numPr>
          <w:ilvl w:val="0"/>
          <w:numId w:val="2"/>
        </w:numPr>
        <w:rPr>
          <w:rFonts w:ascii="Verdana" w:hAnsi="Verdana"/>
          <w:sz w:val="22"/>
          <w:szCs w:val="22"/>
        </w:rPr>
      </w:pPr>
      <w:r w:rsidRPr="00F56BB0">
        <w:rPr>
          <w:rFonts w:ascii="Verdana" w:hAnsi="Verdana"/>
          <w:sz w:val="22"/>
          <w:szCs w:val="22"/>
        </w:rPr>
        <w:t>Que se registre la solicitud de reembolso en el SIIF Nación.</w:t>
      </w:r>
    </w:p>
    <w:p w14:paraId="3082DCBF" w14:textId="7499444B" w:rsidR="00F07EFD" w:rsidRPr="00F56BB0" w:rsidRDefault="00F07EFD" w:rsidP="00F07EFD">
      <w:pPr>
        <w:pStyle w:val="Prrafodelista"/>
        <w:numPr>
          <w:ilvl w:val="0"/>
          <w:numId w:val="2"/>
        </w:numPr>
        <w:rPr>
          <w:rFonts w:ascii="Verdana" w:hAnsi="Verdana"/>
          <w:sz w:val="22"/>
          <w:szCs w:val="22"/>
        </w:rPr>
      </w:pPr>
      <w:r w:rsidRPr="00F56BB0">
        <w:rPr>
          <w:rFonts w:ascii="Verdana" w:hAnsi="Verdana"/>
          <w:sz w:val="22"/>
          <w:szCs w:val="22"/>
        </w:rPr>
        <w:t>Que los documentos presentados sean los originales y se encuentren firmados por los acreedores con identificación del nombre o razón social y el número del documento de identidad o NIT, objeto y cuantía.</w:t>
      </w:r>
    </w:p>
    <w:p w14:paraId="7938A8E0" w14:textId="64715B98" w:rsidR="00F07EFD" w:rsidRPr="00F56BB0" w:rsidRDefault="00F07EFD" w:rsidP="00F07EFD">
      <w:pPr>
        <w:pStyle w:val="Prrafodelista"/>
        <w:numPr>
          <w:ilvl w:val="0"/>
          <w:numId w:val="2"/>
        </w:numPr>
        <w:rPr>
          <w:rFonts w:ascii="Verdana" w:hAnsi="Verdana"/>
          <w:sz w:val="22"/>
          <w:szCs w:val="22"/>
        </w:rPr>
      </w:pPr>
      <w:r w:rsidRPr="00F56BB0">
        <w:rPr>
          <w:rFonts w:ascii="Verdana" w:hAnsi="Verdana"/>
          <w:sz w:val="22"/>
          <w:szCs w:val="22"/>
        </w:rPr>
        <w:t>Que la fecha del comprobante del gasto corresponda a la vigencia fiscal que se está legalizando.</w:t>
      </w:r>
    </w:p>
    <w:p w14:paraId="3DE3D6D7" w14:textId="56887A09" w:rsidR="00F07EFD" w:rsidRPr="00F56BB0" w:rsidRDefault="00F07EFD" w:rsidP="00F07EFD">
      <w:pPr>
        <w:pStyle w:val="Prrafodelista"/>
        <w:numPr>
          <w:ilvl w:val="0"/>
          <w:numId w:val="2"/>
        </w:numPr>
        <w:rPr>
          <w:rFonts w:ascii="Verdana" w:hAnsi="Verdana"/>
          <w:sz w:val="22"/>
          <w:szCs w:val="22"/>
        </w:rPr>
      </w:pPr>
      <w:r w:rsidRPr="00F56BB0">
        <w:rPr>
          <w:rFonts w:ascii="Verdana" w:hAnsi="Verdana"/>
          <w:sz w:val="22"/>
          <w:szCs w:val="22"/>
        </w:rPr>
        <w:t>Que el gasto se haya efectuado después de haberse constituido o reembolsado la caja menor según el caso.</w:t>
      </w:r>
    </w:p>
    <w:p w14:paraId="228FA1BC" w14:textId="1BEED2A2" w:rsidR="00F07EFD" w:rsidRPr="00F56BB0" w:rsidRDefault="00F07EFD" w:rsidP="00F56BB0">
      <w:pPr>
        <w:pStyle w:val="Prrafodelista"/>
        <w:numPr>
          <w:ilvl w:val="0"/>
          <w:numId w:val="2"/>
        </w:numPr>
        <w:rPr>
          <w:rFonts w:ascii="Verdana" w:hAnsi="Verdana"/>
          <w:sz w:val="22"/>
          <w:szCs w:val="22"/>
        </w:rPr>
      </w:pPr>
      <w:r w:rsidRPr="00F56BB0">
        <w:rPr>
          <w:rFonts w:ascii="Verdana" w:hAnsi="Verdana"/>
          <w:sz w:val="22"/>
          <w:szCs w:val="22"/>
        </w:rPr>
        <w:t>Que se haya expedido la resolución de reconocimiento del gasto, teniendo en cuenta lo dispuesto en el artículo 110 del Estatuto Orgánico del Presupuesto.</w:t>
      </w:r>
    </w:p>
    <w:p w14:paraId="49FA07E6" w14:textId="0FD157BA" w:rsidR="00F07EFD" w:rsidRPr="00F07EFD" w:rsidRDefault="00F07EFD" w:rsidP="00F07EFD">
      <w:pPr>
        <w:rPr>
          <w:rFonts w:ascii="Verdana" w:hAnsi="Verdana"/>
          <w:sz w:val="22"/>
          <w:szCs w:val="22"/>
        </w:rPr>
      </w:pPr>
      <w:r w:rsidRPr="00F56BB0">
        <w:rPr>
          <w:rFonts w:ascii="Verdana" w:hAnsi="Verdana"/>
          <w:b/>
          <w:bCs/>
          <w:sz w:val="22"/>
          <w:szCs w:val="22"/>
        </w:rPr>
        <w:t>PARÁGRAFO SEGUNDO:</w:t>
      </w:r>
      <w:r w:rsidRPr="00F07EFD">
        <w:rPr>
          <w:rFonts w:ascii="Verdana" w:hAnsi="Verdana"/>
          <w:sz w:val="22"/>
          <w:szCs w:val="22"/>
        </w:rPr>
        <w:t xml:space="preserve"> El servidor público que no efectué los reembolsos según lo estipulado en el artículo anterior incurrirá en incumplimiento de la norma lo que </w:t>
      </w:r>
      <w:proofErr w:type="gramStart"/>
      <w:r w:rsidRPr="00F07EFD">
        <w:rPr>
          <w:rFonts w:ascii="Verdana" w:hAnsi="Verdana"/>
          <w:sz w:val="22"/>
          <w:szCs w:val="22"/>
        </w:rPr>
        <w:t>conllevara</w:t>
      </w:r>
      <w:proofErr w:type="gramEnd"/>
      <w:r w:rsidRPr="00F07EFD">
        <w:rPr>
          <w:rFonts w:ascii="Verdana" w:hAnsi="Verdana"/>
          <w:sz w:val="22"/>
          <w:szCs w:val="22"/>
        </w:rPr>
        <w:t xml:space="preserve"> a sanciones disciplinarias.</w:t>
      </w:r>
    </w:p>
    <w:p w14:paraId="54910762" w14:textId="5B8D1659" w:rsidR="00F07EFD" w:rsidRPr="00F07EFD" w:rsidRDefault="00F07EFD" w:rsidP="00F07EFD">
      <w:pPr>
        <w:rPr>
          <w:rFonts w:ascii="Verdana" w:hAnsi="Verdana"/>
          <w:sz w:val="22"/>
          <w:szCs w:val="22"/>
        </w:rPr>
      </w:pPr>
      <w:r w:rsidRPr="00F56BB0">
        <w:rPr>
          <w:rFonts w:ascii="Verdana" w:hAnsi="Verdana"/>
          <w:b/>
          <w:bCs/>
          <w:sz w:val="22"/>
          <w:szCs w:val="22"/>
        </w:rPr>
        <w:t xml:space="preserve">ARTÍCULO </w:t>
      </w:r>
      <w:r w:rsidR="00F56BB0" w:rsidRPr="00F56BB0">
        <w:rPr>
          <w:rFonts w:ascii="Verdana" w:hAnsi="Verdana"/>
          <w:b/>
          <w:bCs/>
          <w:sz w:val="22"/>
          <w:szCs w:val="22"/>
        </w:rPr>
        <w:t>13o</w:t>
      </w:r>
      <w:r w:rsidRPr="00F56BB0">
        <w:rPr>
          <w:rFonts w:ascii="Verdana" w:hAnsi="Verdana"/>
          <w:b/>
          <w:bCs/>
          <w:sz w:val="22"/>
          <w:szCs w:val="22"/>
        </w:rPr>
        <w:t>.</w:t>
      </w:r>
      <w:r w:rsidRPr="00F07EFD">
        <w:rPr>
          <w:rFonts w:ascii="Verdana" w:hAnsi="Verdana"/>
          <w:sz w:val="22"/>
          <w:szCs w:val="22"/>
        </w:rPr>
        <w:t xml:space="preserve"> Legalización por cambio de responsable. En el evento en que se realice el cambio de responsable del manejo de la Caja Menor, el titular deberá hacer una legalización definitiva, reintegrando en las cuentas recaudadoras Regionales - Otros Ingresos-, el efectivo disponible resultante de la diferencia entre el valor total de la Caja Menor y los gastos efectuados según los soportes. Para la Dirección General, la consignación se hará en la cuenta del Grupo Financiero Sede de la Dirección General -Otros Ingresos-. El </w:t>
      </w:r>
      <w:proofErr w:type="gramStart"/>
      <w:r w:rsidRPr="00F07EFD">
        <w:rPr>
          <w:rFonts w:ascii="Verdana" w:hAnsi="Verdana"/>
          <w:sz w:val="22"/>
          <w:szCs w:val="22"/>
        </w:rPr>
        <w:t>Director Regional</w:t>
      </w:r>
      <w:proofErr w:type="gramEnd"/>
      <w:r w:rsidRPr="00F07EFD">
        <w:rPr>
          <w:rFonts w:ascii="Verdana" w:hAnsi="Verdana"/>
          <w:sz w:val="22"/>
          <w:szCs w:val="22"/>
        </w:rPr>
        <w:t xml:space="preserve"> o el </w:t>
      </w:r>
      <w:proofErr w:type="gramStart"/>
      <w:r w:rsidRPr="00F07EFD">
        <w:rPr>
          <w:rFonts w:ascii="Verdana" w:hAnsi="Verdana"/>
          <w:sz w:val="22"/>
          <w:szCs w:val="22"/>
        </w:rPr>
        <w:t>Secretario General</w:t>
      </w:r>
      <w:proofErr w:type="gramEnd"/>
      <w:r w:rsidRPr="00F07EFD">
        <w:rPr>
          <w:rFonts w:ascii="Verdana" w:hAnsi="Verdana"/>
          <w:sz w:val="22"/>
          <w:szCs w:val="22"/>
        </w:rPr>
        <w:t xml:space="preserve">, según corresponda constituirán nuevamente la Caja Menor </w:t>
      </w:r>
      <w:r w:rsidRPr="00F07EFD">
        <w:rPr>
          <w:rFonts w:ascii="Verdana" w:hAnsi="Verdana"/>
          <w:sz w:val="22"/>
          <w:szCs w:val="22"/>
        </w:rPr>
        <w:lastRenderedPageBreak/>
        <w:t>designando al nuevo responsable, como se estipula en el artículo 2.8.5.15 del Decreto 1068 de 2015.</w:t>
      </w:r>
    </w:p>
    <w:p w14:paraId="3E2A25F2" w14:textId="21755809" w:rsidR="00F07EFD" w:rsidRPr="00F56BB0" w:rsidRDefault="00F07EFD" w:rsidP="00F07EFD">
      <w:pPr>
        <w:rPr>
          <w:rFonts w:ascii="Verdana" w:hAnsi="Verdana"/>
          <w:sz w:val="22"/>
          <w:szCs w:val="22"/>
        </w:rPr>
      </w:pPr>
      <w:r w:rsidRPr="00F56BB0">
        <w:rPr>
          <w:rFonts w:ascii="Verdana" w:hAnsi="Verdana"/>
          <w:b/>
          <w:bCs/>
          <w:sz w:val="22"/>
          <w:szCs w:val="22"/>
        </w:rPr>
        <w:t xml:space="preserve">ARTÍCULO </w:t>
      </w:r>
      <w:r w:rsidR="00F56BB0" w:rsidRPr="00F56BB0">
        <w:rPr>
          <w:rFonts w:ascii="Verdana" w:hAnsi="Verdana"/>
          <w:b/>
          <w:bCs/>
          <w:sz w:val="22"/>
          <w:szCs w:val="22"/>
        </w:rPr>
        <w:t>14o</w:t>
      </w:r>
      <w:r w:rsidRPr="00F56BB0">
        <w:rPr>
          <w:rFonts w:ascii="Verdana" w:hAnsi="Verdana"/>
          <w:b/>
          <w:bCs/>
          <w:sz w:val="22"/>
          <w:szCs w:val="22"/>
        </w:rPr>
        <w:t>.</w:t>
      </w:r>
      <w:r w:rsidRPr="00F07EFD">
        <w:rPr>
          <w:rFonts w:ascii="Verdana" w:hAnsi="Verdana"/>
          <w:sz w:val="22"/>
          <w:szCs w:val="22"/>
        </w:rPr>
        <w:t xml:space="preserve"> LEGALIZACIÓN DEFINITIVA AL FINALIZAR LA VIGENCIA. De acuerdo con lo dispuesto en el artículo 2.8.5.13 del Decreto 1068 de 2015, la legalización y cierre de las Cajas Menores constituidas en el ICBF durante la presente vigencia fiscal se hará según cronograma establecido previamente por parte de la Dirección Financiera, fecha en la cual se deberán legalizar y cerrar la totalidad de los gastos efectuados, reintegrando en las cuentas recaudadoras Regionales -Otros Ingresos- el efectivo disponible resultante de la diferencia entre el valor total de la Caja Menor y los gastos efectuados de acuerdo con los soportes. Para la Dirección General, la consignación se hará en la cuenta del Grupo Financiero Sede de la Dirección General -Otros Ingresos-.</w:t>
      </w:r>
    </w:p>
    <w:p w14:paraId="71FE7892" w14:textId="77777777" w:rsidR="00F07EFD" w:rsidRPr="00F07EFD" w:rsidRDefault="00F07EFD" w:rsidP="00F07EFD">
      <w:pPr>
        <w:rPr>
          <w:rFonts w:ascii="Verdana" w:hAnsi="Verdana"/>
          <w:sz w:val="22"/>
          <w:szCs w:val="22"/>
        </w:rPr>
      </w:pPr>
      <w:r w:rsidRPr="00F56BB0">
        <w:rPr>
          <w:rFonts w:ascii="Verdana" w:hAnsi="Verdana"/>
          <w:b/>
          <w:bCs/>
          <w:sz w:val="22"/>
          <w:szCs w:val="22"/>
        </w:rPr>
        <w:t>PARÁGRAFO.</w:t>
      </w:r>
      <w:r w:rsidRPr="00F07EFD">
        <w:rPr>
          <w:rFonts w:ascii="Verdana" w:hAnsi="Verdana"/>
          <w:sz w:val="22"/>
          <w:szCs w:val="22"/>
        </w:rPr>
        <w:t xml:space="preserve"> El servidor público responsable de la Caja Menor en las Direcciones Regionales y en la Dirección General responderá disciplinariamente por el incumplimiento de su legalización oportuna y por el manejo del dinero que se encuentre a su cargo, sin perjuicio de las demás acciones a que hubiere lugar.</w:t>
      </w:r>
    </w:p>
    <w:p w14:paraId="5488D117" w14:textId="626F7054" w:rsidR="00F07EFD" w:rsidRPr="00F07EFD" w:rsidRDefault="00F07EFD" w:rsidP="00F07EFD">
      <w:pPr>
        <w:rPr>
          <w:rFonts w:ascii="Verdana" w:hAnsi="Verdana"/>
          <w:sz w:val="22"/>
          <w:szCs w:val="22"/>
        </w:rPr>
      </w:pPr>
      <w:r w:rsidRPr="0044045A">
        <w:rPr>
          <w:rFonts w:ascii="Verdana" w:hAnsi="Verdana"/>
          <w:b/>
          <w:bCs/>
          <w:sz w:val="22"/>
          <w:szCs w:val="22"/>
        </w:rPr>
        <w:t xml:space="preserve">ARTÍCULO </w:t>
      </w:r>
      <w:r w:rsidR="0044045A" w:rsidRPr="0044045A">
        <w:rPr>
          <w:rFonts w:ascii="Verdana" w:hAnsi="Verdana"/>
          <w:b/>
          <w:bCs/>
          <w:sz w:val="22"/>
          <w:szCs w:val="22"/>
        </w:rPr>
        <w:t>15o</w:t>
      </w:r>
      <w:r w:rsidRPr="0044045A">
        <w:rPr>
          <w:rFonts w:ascii="Verdana" w:hAnsi="Verdana"/>
          <w:b/>
          <w:bCs/>
          <w:sz w:val="22"/>
          <w:szCs w:val="22"/>
        </w:rPr>
        <w:t>.</w:t>
      </w:r>
      <w:r w:rsidRPr="00F07EFD">
        <w:rPr>
          <w:rFonts w:ascii="Verdana" w:hAnsi="Verdana"/>
          <w:sz w:val="22"/>
          <w:szCs w:val="22"/>
        </w:rPr>
        <w:t xml:space="preserve"> RESOLUCIÓN DE RECONOCIMIENTO DEL GASTO. La Resolución de Reconocimiento del Gasto de que trata el numeral 6o del Parágrafo Primero del artículo Décimo Segundo, deberá ser expedida por el </w:t>
      </w:r>
      <w:proofErr w:type="gramStart"/>
      <w:r w:rsidRPr="00F07EFD">
        <w:rPr>
          <w:rFonts w:ascii="Verdana" w:hAnsi="Verdana"/>
          <w:sz w:val="22"/>
          <w:szCs w:val="22"/>
        </w:rPr>
        <w:t>Director Regional</w:t>
      </w:r>
      <w:proofErr w:type="gramEnd"/>
      <w:r w:rsidRPr="00F07EFD">
        <w:rPr>
          <w:rFonts w:ascii="Verdana" w:hAnsi="Verdana"/>
          <w:sz w:val="22"/>
          <w:szCs w:val="22"/>
        </w:rPr>
        <w:t xml:space="preserve"> o el </w:t>
      </w:r>
      <w:proofErr w:type="gramStart"/>
      <w:r w:rsidRPr="00F07EFD">
        <w:rPr>
          <w:rFonts w:ascii="Verdana" w:hAnsi="Verdana"/>
          <w:sz w:val="22"/>
          <w:szCs w:val="22"/>
        </w:rPr>
        <w:t>Secretario General</w:t>
      </w:r>
      <w:proofErr w:type="gramEnd"/>
      <w:r w:rsidRPr="00F07EFD">
        <w:rPr>
          <w:rFonts w:ascii="Verdana" w:hAnsi="Verdana"/>
          <w:sz w:val="22"/>
          <w:szCs w:val="22"/>
        </w:rPr>
        <w:t>, según corresponda como Ordenador del Gasto, para cada uno de los reembolsos que efectúe el responsable de la Caja Menor, reconociendo la totalidad de los gastos efectuados.</w:t>
      </w:r>
    </w:p>
    <w:p w14:paraId="520C06D0" w14:textId="6181156B" w:rsidR="00F07EFD" w:rsidRPr="00F07EFD" w:rsidRDefault="00F07EFD" w:rsidP="00F07EFD">
      <w:pPr>
        <w:rPr>
          <w:rFonts w:ascii="Verdana" w:hAnsi="Verdana"/>
          <w:sz w:val="22"/>
          <w:szCs w:val="22"/>
        </w:rPr>
      </w:pPr>
      <w:r w:rsidRPr="0044045A">
        <w:rPr>
          <w:rFonts w:ascii="Verdana" w:hAnsi="Verdana"/>
          <w:b/>
          <w:bCs/>
          <w:sz w:val="22"/>
          <w:szCs w:val="22"/>
        </w:rPr>
        <w:t xml:space="preserve">ARTÍCULO </w:t>
      </w:r>
      <w:r w:rsidR="0044045A" w:rsidRPr="0044045A">
        <w:rPr>
          <w:rFonts w:ascii="Verdana" w:hAnsi="Verdana"/>
          <w:b/>
          <w:bCs/>
          <w:sz w:val="22"/>
          <w:szCs w:val="22"/>
        </w:rPr>
        <w:t>16o</w:t>
      </w:r>
      <w:r w:rsidRPr="0044045A">
        <w:rPr>
          <w:rFonts w:ascii="Verdana" w:hAnsi="Verdana"/>
          <w:b/>
          <w:bCs/>
          <w:sz w:val="22"/>
          <w:szCs w:val="22"/>
        </w:rPr>
        <w:t>.</w:t>
      </w:r>
      <w:r w:rsidRPr="00F07EFD">
        <w:rPr>
          <w:rFonts w:ascii="Verdana" w:hAnsi="Verdana"/>
          <w:sz w:val="22"/>
          <w:szCs w:val="22"/>
        </w:rPr>
        <w:t xml:space="preserve"> ARQUEO DE LAS CAJAS MENORES. El </w:t>
      </w:r>
      <w:proofErr w:type="gramStart"/>
      <w:r w:rsidRPr="00F07EFD">
        <w:rPr>
          <w:rFonts w:ascii="Verdana" w:hAnsi="Verdana"/>
          <w:sz w:val="22"/>
          <w:szCs w:val="22"/>
        </w:rPr>
        <w:t>Director Regional</w:t>
      </w:r>
      <w:proofErr w:type="gramEnd"/>
      <w:r w:rsidRPr="00F07EFD">
        <w:rPr>
          <w:rFonts w:ascii="Verdana" w:hAnsi="Verdana"/>
          <w:sz w:val="22"/>
          <w:szCs w:val="22"/>
        </w:rPr>
        <w:t xml:space="preserve"> designará, mediante resolución al responsable o responsables de los arqueos a las Cajas Menores, garantizando que éstos se realicen una vez cada dos (2) meses para las regionales que constituyeron de una (1) a tres (3) cajas menores y cada tres (3) meses para aquellas que constituyeron más de tres (3) cajas menores. Los designados pueden ser, en las Direcciones Regionales, el Coordinador Financiero, el servidor público que desempeñe las funciones de Contador o un profesional del Grupo Financiero, dependiendo del número de Cajas Menores constituidas y de su localización. En la Dirección General, el designado debe ser el servidor público que desempeñe las funciones de Contador en el Grupo Financiero Sede de la Dirección General, después de su constitución.</w:t>
      </w:r>
    </w:p>
    <w:p w14:paraId="48328E0A" w14:textId="71F3F7F2" w:rsidR="00F07EFD" w:rsidRPr="00F07EFD" w:rsidRDefault="00F07EFD" w:rsidP="00F07EFD">
      <w:pPr>
        <w:rPr>
          <w:rFonts w:ascii="Verdana" w:hAnsi="Verdana"/>
          <w:sz w:val="22"/>
          <w:szCs w:val="22"/>
        </w:rPr>
      </w:pPr>
      <w:r w:rsidRPr="00F07EFD">
        <w:rPr>
          <w:rFonts w:ascii="Verdana" w:hAnsi="Verdana"/>
          <w:sz w:val="22"/>
          <w:szCs w:val="22"/>
        </w:rPr>
        <w:t>En todas las revisiones se debe tener en cuenta que la información oficial es la que se encuentra registrada en el SIIF Nación.</w:t>
      </w:r>
    </w:p>
    <w:p w14:paraId="04AB4B4A" w14:textId="0E16C2C5" w:rsidR="00F07EFD" w:rsidRPr="00F07EFD" w:rsidRDefault="00F07EFD" w:rsidP="00F07EFD">
      <w:pPr>
        <w:rPr>
          <w:rFonts w:ascii="Verdana" w:hAnsi="Verdana"/>
          <w:sz w:val="22"/>
          <w:szCs w:val="22"/>
        </w:rPr>
      </w:pPr>
      <w:r w:rsidRPr="00F07EFD">
        <w:rPr>
          <w:rFonts w:ascii="Verdana" w:hAnsi="Verdana"/>
          <w:sz w:val="22"/>
          <w:szCs w:val="22"/>
        </w:rPr>
        <w:t>La copia de los arqueos realizados en las Direcciones Regionales y en la Dirección General debe ser enviada al Grupo de Planeación y Seguimiento Financiero y de Gestión de la Dirección Financiera, así como a la Oficina de Control Interno de la Dirección General, a más tardar el quinto día después de realizado dicho arqueo, con el fin de efectuar su correspondiente control y seguimiento.</w:t>
      </w:r>
    </w:p>
    <w:p w14:paraId="0FC329AB" w14:textId="5A77240E" w:rsidR="00F07EFD" w:rsidRPr="00F07EFD" w:rsidRDefault="00F07EFD" w:rsidP="00F07EFD">
      <w:pPr>
        <w:rPr>
          <w:rFonts w:ascii="Verdana" w:hAnsi="Verdana"/>
          <w:sz w:val="22"/>
          <w:szCs w:val="22"/>
        </w:rPr>
      </w:pPr>
      <w:r w:rsidRPr="00874D5A">
        <w:rPr>
          <w:rFonts w:ascii="Verdana" w:hAnsi="Verdana"/>
          <w:b/>
          <w:bCs/>
          <w:sz w:val="22"/>
          <w:szCs w:val="22"/>
        </w:rPr>
        <w:t>PARÁGRAFO PRIMERO.</w:t>
      </w:r>
      <w:r w:rsidRPr="00F07EFD">
        <w:rPr>
          <w:rFonts w:ascii="Verdana" w:hAnsi="Verdana"/>
          <w:sz w:val="22"/>
          <w:szCs w:val="22"/>
        </w:rPr>
        <w:t xml:space="preserve"> El servidor o servidores públicos responsables del arqueo deberán informar oportunamente al Coordinador Financiero o Administrativo en las Direcciones Regionales y a la Dirección Financiera en la Dirección General, deberá remitirse al Coordinador del Grupo Financiero y a la </w:t>
      </w:r>
      <w:r w:rsidRPr="00F07EFD">
        <w:rPr>
          <w:rFonts w:ascii="Verdana" w:hAnsi="Verdana"/>
          <w:sz w:val="22"/>
          <w:szCs w:val="22"/>
        </w:rPr>
        <w:lastRenderedPageBreak/>
        <w:t>Dirección Financiera las observaciones o inconsistencias detectadas en el manejo de dichas cajas, para tomar las medidas respectivas.</w:t>
      </w:r>
    </w:p>
    <w:p w14:paraId="7CA0D819" w14:textId="6D64834E" w:rsidR="00F07EFD" w:rsidRPr="00F07EFD" w:rsidRDefault="00F07EFD" w:rsidP="00F07EFD">
      <w:pPr>
        <w:rPr>
          <w:rFonts w:ascii="Verdana" w:hAnsi="Verdana"/>
          <w:sz w:val="22"/>
          <w:szCs w:val="22"/>
        </w:rPr>
      </w:pPr>
      <w:r w:rsidRPr="00874D5A">
        <w:rPr>
          <w:rFonts w:ascii="Verdana" w:hAnsi="Verdana"/>
          <w:b/>
          <w:bCs/>
          <w:sz w:val="22"/>
          <w:szCs w:val="22"/>
        </w:rPr>
        <w:t>PARÁGRAFO SEGUNDO.</w:t>
      </w:r>
      <w:r w:rsidRPr="00F07EFD">
        <w:rPr>
          <w:rFonts w:ascii="Verdana" w:hAnsi="Verdana"/>
          <w:sz w:val="22"/>
          <w:szCs w:val="22"/>
        </w:rPr>
        <w:t xml:space="preserve"> Los servidores públicos de la Dirección Financiera o cualquier otro servidor público en comisión de servicios y con delegación expresa, en ejercicio de las funciones de acompañamiento, seguimiento y control a las Direcciones Regionales y a la Dirección General, podrán practicar arqueos sobre las Cajas Menores constituidas para la vigencia fiscal 2016.</w:t>
      </w:r>
    </w:p>
    <w:p w14:paraId="7C320B64" w14:textId="7E8BEB19" w:rsidR="00F07EFD" w:rsidRPr="00F07EFD" w:rsidRDefault="00F07EFD" w:rsidP="00F07EFD">
      <w:pPr>
        <w:rPr>
          <w:rFonts w:ascii="Verdana" w:hAnsi="Verdana"/>
          <w:sz w:val="22"/>
          <w:szCs w:val="22"/>
        </w:rPr>
      </w:pPr>
      <w:r w:rsidRPr="00874D5A">
        <w:rPr>
          <w:rFonts w:ascii="Verdana" w:hAnsi="Verdana"/>
          <w:b/>
          <w:bCs/>
          <w:sz w:val="22"/>
          <w:szCs w:val="22"/>
        </w:rPr>
        <w:t xml:space="preserve">ARTÍCULO </w:t>
      </w:r>
      <w:r w:rsidR="00874D5A" w:rsidRPr="00874D5A">
        <w:rPr>
          <w:rFonts w:ascii="Verdana" w:hAnsi="Verdana"/>
          <w:b/>
          <w:bCs/>
          <w:sz w:val="22"/>
          <w:szCs w:val="22"/>
        </w:rPr>
        <w:t>17o.</w:t>
      </w:r>
      <w:r w:rsidRPr="00F07EFD">
        <w:rPr>
          <w:rFonts w:ascii="Verdana" w:hAnsi="Verdana"/>
          <w:sz w:val="22"/>
          <w:szCs w:val="22"/>
        </w:rPr>
        <w:t xml:space="preserve"> RESPONSABILIDAD. Los servidores públicos designados para el manejo de las Cajas Menores serán responsables de la debida aplicación de lo establecido en las normas administrativas y fiscales que rigen su manejo y, en especial, del cumplimiento del Decreto 1068 del 26 de mayo del 2015, los lineamientos establecidos en la Entidad y lo estipulado en la presente Resolución.</w:t>
      </w:r>
    </w:p>
    <w:p w14:paraId="26EBF769" w14:textId="580B6092" w:rsidR="00F07EFD" w:rsidRPr="00F07EFD" w:rsidRDefault="00F07EFD" w:rsidP="00F07EFD">
      <w:pPr>
        <w:rPr>
          <w:rFonts w:ascii="Verdana" w:hAnsi="Verdana"/>
          <w:sz w:val="22"/>
          <w:szCs w:val="22"/>
        </w:rPr>
      </w:pPr>
      <w:r w:rsidRPr="00874D5A">
        <w:rPr>
          <w:rFonts w:ascii="Verdana" w:hAnsi="Verdana"/>
          <w:b/>
          <w:bCs/>
          <w:sz w:val="22"/>
          <w:szCs w:val="22"/>
        </w:rPr>
        <w:t xml:space="preserve">ARTÍCULO </w:t>
      </w:r>
      <w:r w:rsidR="00874D5A" w:rsidRPr="00874D5A">
        <w:rPr>
          <w:rFonts w:ascii="Verdana" w:hAnsi="Verdana"/>
          <w:b/>
          <w:bCs/>
          <w:sz w:val="22"/>
          <w:szCs w:val="22"/>
        </w:rPr>
        <w:t>18o</w:t>
      </w:r>
      <w:r w:rsidRPr="00874D5A">
        <w:rPr>
          <w:rFonts w:ascii="Verdana" w:hAnsi="Verdana"/>
          <w:b/>
          <w:bCs/>
          <w:sz w:val="22"/>
          <w:szCs w:val="22"/>
        </w:rPr>
        <w:t>.</w:t>
      </w:r>
      <w:r w:rsidRPr="00F07EFD">
        <w:rPr>
          <w:rFonts w:ascii="Verdana" w:hAnsi="Verdana"/>
          <w:sz w:val="22"/>
          <w:szCs w:val="22"/>
        </w:rPr>
        <w:t xml:space="preserve"> CANCELACIÓN DE LA CAJA MENOR. Cuando se decida la cancelación de una caja menor, su titular la legalizará en forma definitiva, reintegrando el saldo de los fondos que recibió En este caso, se debe saldar la cuenta corriente.</w:t>
      </w:r>
    </w:p>
    <w:p w14:paraId="61A21B6F" w14:textId="48F157E7" w:rsidR="00F07EFD" w:rsidRPr="00F07EFD" w:rsidRDefault="00F07EFD" w:rsidP="00F07EFD">
      <w:pPr>
        <w:rPr>
          <w:rFonts w:ascii="Verdana" w:hAnsi="Verdana"/>
          <w:sz w:val="22"/>
          <w:szCs w:val="22"/>
        </w:rPr>
      </w:pPr>
      <w:r w:rsidRPr="00F07EFD">
        <w:rPr>
          <w:rFonts w:ascii="Verdana" w:hAnsi="Verdana"/>
          <w:b/>
          <w:bCs/>
          <w:sz w:val="22"/>
          <w:szCs w:val="22"/>
        </w:rPr>
        <w:t xml:space="preserve">ARTÍCULO </w:t>
      </w:r>
      <w:r w:rsidRPr="00F07EFD">
        <w:rPr>
          <w:rFonts w:ascii="Verdana" w:hAnsi="Verdana"/>
          <w:b/>
          <w:bCs/>
          <w:sz w:val="22"/>
          <w:szCs w:val="22"/>
        </w:rPr>
        <w:t>19o</w:t>
      </w:r>
      <w:r w:rsidRPr="00F07EFD">
        <w:rPr>
          <w:rFonts w:ascii="Verdana" w:hAnsi="Verdana"/>
          <w:b/>
          <w:bCs/>
          <w:sz w:val="22"/>
          <w:szCs w:val="22"/>
        </w:rPr>
        <w:t>.</w:t>
      </w:r>
      <w:r w:rsidRPr="00F07EFD">
        <w:rPr>
          <w:rFonts w:ascii="Verdana" w:hAnsi="Verdana"/>
          <w:sz w:val="22"/>
          <w:szCs w:val="22"/>
        </w:rPr>
        <w:t xml:space="preserve"> VIGILANCIA Y CONTROL. Además de la vigilancia y control que ejerce la Contraloría General de la República, de conformidad con lo estipulado en el Decreto 1068 de 2015, el control sobre las Cajas Menores lo deberá ejercer el respectivo Ordenador del Gasto en cada una de las áreas de la Dirección General y la Dirección Regional.</w:t>
      </w:r>
    </w:p>
    <w:p w14:paraId="498CA0CB" w14:textId="210E227D" w:rsidR="00F07EFD" w:rsidRPr="00F07EFD" w:rsidRDefault="00F07EFD" w:rsidP="00F07EFD">
      <w:pPr>
        <w:rPr>
          <w:rFonts w:ascii="Verdana" w:hAnsi="Verdana"/>
          <w:sz w:val="22"/>
          <w:szCs w:val="22"/>
        </w:rPr>
      </w:pPr>
      <w:r w:rsidRPr="00F07EFD">
        <w:rPr>
          <w:rFonts w:ascii="Verdana" w:hAnsi="Verdana"/>
          <w:sz w:val="22"/>
          <w:szCs w:val="22"/>
        </w:rPr>
        <w:t xml:space="preserve">Los </w:t>
      </w:r>
      <w:proofErr w:type="gramStart"/>
      <w:r w:rsidRPr="00F07EFD">
        <w:rPr>
          <w:rFonts w:ascii="Verdana" w:hAnsi="Verdana"/>
          <w:sz w:val="22"/>
          <w:szCs w:val="22"/>
        </w:rPr>
        <w:t>Responsables</w:t>
      </w:r>
      <w:proofErr w:type="gramEnd"/>
      <w:r w:rsidRPr="00F07EFD">
        <w:rPr>
          <w:rFonts w:ascii="Verdana" w:hAnsi="Verdana"/>
          <w:sz w:val="22"/>
          <w:szCs w:val="22"/>
        </w:rPr>
        <w:t xml:space="preserve"> de las Cajas Menores deberán adoptar los controles internos que garanticen el adecuado uso y manejo de los recursos, independientemente de las evaluaciones y verificaciones que compete adelantar a la Oficina de Control Interno.</w:t>
      </w:r>
    </w:p>
    <w:p w14:paraId="554FF7EF" w14:textId="75889D57" w:rsidR="00F07EFD" w:rsidRPr="00F07EFD" w:rsidRDefault="00F07EFD" w:rsidP="00F07EFD">
      <w:pPr>
        <w:rPr>
          <w:rFonts w:ascii="Verdana" w:hAnsi="Verdana"/>
          <w:sz w:val="22"/>
          <w:szCs w:val="22"/>
        </w:rPr>
      </w:pPr>
      <w:r w:rsidRPr="00F07EFD">
        <w:rPr>
          <w:rFonts w:ascii="Verdana" w:hAnsi="Verdana"/>
          <w:b/>
          <w:bCs/>
          <w:sz w:val="22"/>
          <w:szCs w:val="22"/>
        </w:rPr>
        <w:t xml:space="preserve">ARTÍCULO </w:t>
      </w:r>
      <w:r w:rsidRPr="00F07EFD">
        <w:rPr>
          <w:rFonts w:ascii="Verdana" w:hAnsi="Verdana"/>
          <w:b/>
          <w:bCs/>
          <w:sz w:val="22"/>
          <w:szCs w:val="22"/>
        </w:rPr>
        <w:t>20o</w:t>
      </w:r>
      <w:r w:rsidRPr="00F07EFD">
        <w:rPr>
          <w:rFonts w:ascii="Verdana" w:hAnsi="Verdana"/>
          <w:b/>
          <w:bCs/>
          <w:sz w:val="22"/>
          <w:szCs w:val="22"/>
        </w:rPr>
        <w:t>.</w:t>
      </w:r>
      <w:r w:rsidRPr="00F07EFD">
        <w:rPr>
          <w:rFonts w:ascii="Verdana" w:hAnsi="Verdana"/>
          <w:sz w:val="22"/>
          <w:szCs w:val="22"/>
        </w:rPr>
        <w:t xml:space="preserve"> VIGENCIA. La presente Resolución rige a partir de la fecha de su expedición y deroga las disposiciones que le sean contrarias.</w:t>
      </w:r>
    </w:p>
    <w:p w14:paraId="047E8D90" w14:textId="02CF99EB" w:rsidR="00F07EFD" w:rsidRPr="00F07EFD" w:rsidRDefault="00F07EFD" w:rsidP="00F07EFD">
      <w:pPr>
        <w:jc w:val="center"/>
        <w:rPr>
          <w:rFonts w:ascii="Verdana" w:hAnsi="Verdana"/>
          <w:b/>
          <w:bCs/>
          <w:sz w:val="22"/>
          <w:szCs w:val="22"/>
        </w:rPr>
      </w:pPr>
      <w:r w:rsidRPr="00F07EFD">
        <w:rPr>
          <w:rFonts w:ascii="Verdana" w:hAnsi="Verdana"/>
          <w:b/>
          <w:bCs/>
          <w:sz w:val="22"/>
          <w:szCs w:val="22"/>
        </w:rPr>
        <w:t>COMUNIQUESE Y CUMPLASE</w:t>
      </w:r>
      <w:r w:rsidRPr="00F07EFD">
        <w:rPr>
          <w:rFonts w:ascii="Verdana" w:hAnsi="Verdana"/>
          <w:b/>
          <w:bCs/>
          <w:sz w:val="22"/>
          <w:szCs w:val="22"/>
        </w:rPr>
        <w:t>,</w:t>
      </w:r>
    </w:p>
    <w:p w14:paraId="060972DB" w14:textId="6C5B4D72" w:rsidR="00F07EFD" w:rsidRPr="00F07EFD" w:rsidRDefault="00F07EFD" w:rsidP="00F07EFD">
      <w:pPr>
        <w:jc w:val="center"/>
        <w:rPr>
          <w:rFonts w:ascii="Verdana" w:hAnsi="Verdana"/>
          <w:sz w:val="22"/>
          <w:szCs w:val="22"/>
        </w:rPr>
      </w:pPr>
      <w:r w:rsidRPr="00F07EFD">
        <w:rPr>
          <w:rFonts w:ascii="Verdana" w:hAnsi="Verdana"/>
          <w:sz w:val="22"/>
          <w:szCs w:val="22"/>
        </w:rPr>
        <w:t xml:space="preserve">Dada en Bogotá D.C., a los 29 </w:t>
      </w:r>
      <w:r>
        <w:rPr>
          <w:rFonts w:ascii="Verdana" w:hAnsi="Verdana"/>
          <w:sz w:val="22"/>
          <w:szCs w:val="22"/>
        </w:rPr>
        <w:t xml:space="preserve">días el mes de enero de </w:t>
      </w:r>
      <w:r w:rsidRPr="00F07EFD">
        <w:rPr>
          <w:rFonts w:ascii="Verdana" w:hAnsi="Verdana"/>
          <w:sz w:val="22"/>
          <w:szCs w:val="22"/>
        </w:rPr>
        <w:t>2016</w:t>
      </w:r>
    </w:p>
    <w:p w14:paraId="1A0649D5" w14:textId="7D96CB8E" w:rsidR="00F07EFD" w:rsidRPr="00F07EFD" w:rsidRDefault="00F07EFD" w:rsidP="00F07EFD">
      <w:pPr>
        <w:jc w:val="center"/>
        <w:rPr>
          <w:rFonts w:ascii="Verdana" w:hAnsi="Verdana"/>
          <w:b/>
          <w:bCs/>
          <w:sz w:val="22"/>
          <w:szCs w:val="22"/>
        </w:rPr>
      </w:pPr>
      <w:r w:rsidRPr="00F07EFD">
        <w:rPr>
          <w:rFonts w:ascii="Verdana" w:hAnsi="Verdana"/>
          <w:b/>
          <w:bCs/>
          <w:sz w:val="22"/>
          <w:szCs w:val="22"/>
        </w:rPr>
        <w:t>CRISTINA PLAZAS MICHELSEN</w:t>
      </w:r>
    </w:p>
    <w:p w14:paraId="0D52F70F" w14:textId="6346B6CF" w:rsidR="0088588F" w:rsidRPr="00F07EFD" w:rsidRDefault="00F07EFD" w:rsidP="00F07EFD">
      <w:pPr>
        <w:jc w:val="center"/>
        <w:rPr>
          <w:rFonts w:ascii="Verdana" w:hAnsi="Verdana"/>
          <w:sz w:val="22"/>
          <w:szCs w:val="22"/>
        </w:rPr>
      </w:pPr>
      <w:r w:rsidRPr="00F07EFD">
        <w:rPr>
          <w:rFonts w:ascii="Verdana" w:hAnsi="Verdana"/>
          <w:sz w:val="22"/>
          <w:szCs w:val="22"/>
        </w:rPr>
        <w:t>DIRECTORA GENERAL</w:t>
      </w:r>
    </w:p>
    <w:sectPr w:rsidR="0088588F" w:rsidRPr="00F07EF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01959"/>
    <w:multiLevelType w:val="hybridMultilevel"/>
    <w:tmpl w:val="A27CE8F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C7B7DA8"/>
    <w:multiLevelType w:val="hybridMultilevel"/>
    <w:tmpl w:val="CA56CF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1650E91"/>
    <w:multiLevelType w:val="hybridMultilevel"/>
    <w:tmpl w:val="2BC0BC5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BA057E3"/>
    <w:multiLevelType w:val="hybridMultilevel"/>
    <w:tmpl w:val="3FF64B6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9FC7901"/>
    <w:multiLevelType w:val="hybridMultilevel"/>
    <w:tmpl w:val="CA70AD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2114548221">
    <w:abstractNumId w:val="1"/>
  </w:num>
  <w:num w:numId="2" w16cid:durableId="468399652">
    <w:abstractNumId w:val="0"/>
  </w:num>
  <w:num w:numId="3" w16cid:durableId="1301813045">
    <w:abstractNumId w:val="4"/>
  </w:num>
  <w:num w:numId="4" w16cid:durableId="21059037">
    <w:abstractNumId w:val="2"/>
  </w:num>
  <w:num w:numId="5" w16cid:durableId="258565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708"/>
    <w:rsid w:val="00015D2A"/>
    <w:rsid w:val="00085CB5"/>
    <w:rsid w:val="000B49E2"/>
    <w:rsid w:val="000E382E"/>
    <w:rsid w:val="00333987"/>
    <w:rsid w:val="0044045A"/>
    <w:rsid w:val="00474F94"/>
    <w:rsid w:val="00490B89"/>
    <w:rsid w:val="005302B4"/>
    <w:rsid w:val="00550F5C"/>
    <w:rsid w:val="00874D5A"/>
    <w:rsid w:val="0088588F"/>
    <w:rsid w:val="0089790A"/>
    <w:rsid w:val="00A52B06"/>
    <w:rsid w:val="00BA4051"/>
    <w:rsid w:val="00DC2708"/>
    <w:rsid w:val="00F05672"/>
    <w:rsid w:val="00F07EFD"/>
    <w:rsid w:val="00F56B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8A82F"/>
  <w15:chartTrackingRefBased/>
  <w15:docId w15:val="{82D48AE5-0BC3-4A66-841A-124E6216B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C27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C27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C270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C270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C2708"/>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C2708"/>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C2708"/>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C2708"/>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C2708"/>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C27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C27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C2708"/>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C2708"/>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C2708"/>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C270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C270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C270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C270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C2708"/>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C27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C270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C270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C2708"/>
    <w:pPr>
      <w:spacing w:before="160"/>
      <w:jc w:val="center"/>
    </w:pPr>
    <w:rPr>
      <w:i/>
      <w:iCs/>
      <w:color w:val="404040" w:themeColor="text1" w:themeTint="BF"/>
    </w:rPr>
  </w:style>
  <w:style w:type="character" w:customStyle="1" w:styleId="CitaCar">
    <w:name w:val="Cita Car"/>
    <w:basedOn w:val="Fuentedeprrafopredeter"/>
    <w:link w:val="Cita"/>
    <w:uiPriority w:val="29"/>
    <w:rsid w:val="00DC2708"/>
    <w:rPr>
      <w:i/>
      <w:iCs/>
      <w:color w:val="404040" w:themeColor="text1" w:themeTint="BF"/>
    </w:rPr>
  </w:style>
  <w:style w:type="paragraph" w:styleId="Prrafodelista">
    <w:name w:val="List Paragraph"/>
    <w:basedOn w:val="Normal"/>
    <w:uiPriority w:val="34"/>
    <w:qFormat/>
    <w:rsid w:val="00DC2708"/>
    <w:pPr>
      <w:ind w:left="720"/>
      <w:contextualSpacing/>
    </w:pPr>
  </w:style>
  <w:style w:type="character" w:styleId="nfasisintenso">
    <w:name w:val="Intense Emphasis"/>
    <w:basedOn w:val="Fuentedeprrafopredeter"/>
    <w:uiPriority w:val="21"/>
    <w:qFormat/>
    <w:rsid w:val="00DC2708"/>
    <w:rPr>
      <w:i/>
      <w:iCs/>
      <w:color w:val="0F4761" w:themeColor="accent1" w:themeShade="BF"/>
    </w:rPr>
  </w:style>
  <w:style w:type="paragraph" w:styleId="Citadestacada">
    <w:name w:val="Intense Quote"/>
    <w:basedOn w:val="Normal"/>
    <w:next w:val="Normal"/>
    <w:link w:val="CitadestacadaCar"/>
    <w:uiPriority w:val="30"/>
    <w:qFormat/>
    <w:rsid w:val="00DC27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C2708"/>
    <w:rPr>
      <w:i/>
      <w:iCs/>
      <w:color w:val="0F4761" w:themeColor="accent1" w:themeShade="BF"/>
    </w:rPr>
  </w:style>
  <w:style w:type="character" w:styleId="Referenciaintensa">
    <w:name w:val="Intense Reference"/>
    <w:basedOn w:val="Fuentedeprrafopredeter"/>
    <w:uiPriority w:val="32"/>
    <w:qFormat/>
    <w:rsid w:val="00DC2708"/>
    <w:rPr>
      <w:b/>
      <w:bCs/>
      <w:smallCaps/>
      <w:color w:val="0F4761" w:themeColor="accent1" w:themeShade="BF"/>
      <w:spacing w:val="5"/>
    </w:rPr>
  </w:style>
  <w:style w:type="table" w:styleId="Tablaconcuadrcula">
    <w:name w:val="Table Grid"/>
    <w:basedOn w:val="Tablanormal"/>
    <w:uiPriority w:val="39"/>
    <w:rsid w:val="00085CB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BC01C3-4242-4DC9-8B84-41EA6F7F40DD}"/>
</file>

<file path=customXml/itemProps2.xml><?xml version="1.0" encoding="utf-8"?>
<ds:datastoreItem xmlns:ds="http://schemas.openxmlformats.org/officeDocument/2006/customXml" ds:itemID="{A729900A-EE18-459F-9858-3DB86191EE85}"/>
</file>

<file path=customXml/itemProps3.xml><?xml version="1.0" encoding="utf-8"?>
<ds:datastoreItem xmlns:ds="http://schemas.openxmlformats.org/officeDocument/2006/customXml" ds:itemID="{C45F2447-6336-4B77-AE04-3D47DC7C809E}"/>
</file>

<file path=docProps/app.xml><?xml version="1.0" encoding="utf-8"?>
<Properties xmlns="http://schemas.openxmlformats.org/officeDocument/2006/extended-properties" xmlns:vt="http://schemas.openxmlformats.org/officeDocument/2006/docPropsVTypes">
  <Template>Normal</Template>
  <TotalTime>29</TotalTime>
  <Pages>10</Pages>
  <Words>3707</Words>
  <Characters>20389</Characters>
  <Application>Microsoft Office Word</Application>
  <DocSecurity>0</DocSecurity>
  <Lines>169</Lines>
  <Paragraphs>48</Paragraphs>
  <ScaleCrop>false</ScaleCrop>
  <Company/>
  <LinksUpToDate>false</LinksUpToDate>
  <CharactersWithSpaces>24048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14</cp:revision>
  <dcterms:created xsi:type="dcterms:W3CDTF">2026-02-13T21:43:00Z</dcterms:created>
  <dcterms:modified xsi:type="dcterms:W3CDTF">2026-02-13T22:12:00Z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