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C31F" w14:textId="77777777" w:rsidR="00C7782D" w:rsidRDefault="00000000">
      <w:pPr>
        <w:jc w:val="center"/>
        <w:rPr>
          <w:rFonts w:ascii="Verdana" w:eastAsia="Verdana" w:hAnsi="Verdana" w:cs="Verdana"/>
          <w:sz w:val="22"/>
          <w:szCs w:val="22"/>
        </w:rPr>
      </w:pPr>
      <w:r>
        <w:rPr>
          <w:rFonts w:ascii="Verdana" w:eastAsia="Verdana" w:hAnsi="Verdana" w:cs="Verdana"/>
          <w:b/>
          <w:bCs/>
          <w:sz w:val="22"/>
          <w:szCs w:val="22"/>
        </w:rPr>
        <w:t>RESOLUCIÓN No. 8293 de 2025</w:t>
      </w:r>
    </w:p>
    <w:p w14:paraId="7FDF538D" w14:textId="77777777" w:rsidR="00C7782D"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Fecha de Expedición: 31 de diciembre 2025</w:t>
      </w:r>
    </w:p>
    <w:p w14:paraId="35953984" w14:textId="77777777" w:rsidR="00C7782D"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Fecha de entrada en vigencia: 31 de diciembre 2025</w:t>
      </w:r>
    </w:p>
    <w:p w14:paraId="38CC4902" w14:textId="77777777" w:rsidR="00C7782D"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Estado de la vigencia:  Vigente</w:t>
      </w:r>
    </w:p>
    <w:p w14:paraId="10199338" w14:textId="77777777" w:rsidR="00C7782D" w:rsidRDefault="00C7782D">
      <w:pPr>
        <w:pBdr>
          <w:top w:val="nil"/>
          <w:left w:val="nil"/>
          <w:bottom w:val="nil"/>
          <w:right w:val="nil"/>
          <w:between w:val="nil"/>
        </w:pBdr>
        <w:spacing w:after="0" w:line="240" w:lineRule="auto"/>
        <w:rPr>
          <w:rFonts w:ascii="Verdana" w:eastAsia="Verdana" w:hAnsi="Verdana" w:cs="Verdana"/>
          <w:color w:val="000000"/>
          <w:sz w:val="22"/>
          <w:szCs w:val="22"/>
        </w:rPr>
      </w:pPr>
    </w:p>
    <w:p w14:paraId="40317561" w14:textId="77777777" w:rsidR="00C7782D"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Fecha de publicación en Diario Oficial: N/A</w:t>
      </w:r>
    </w:p>
    <w:p w14:paraId="4470E042" w14:textId="550677D0" w:rsidR="00C7782D" w:rsidRDefault="00000000">
      <w:pPr>
        <w:pBdr>
          <w:top w:val="nil"/>
          <w:left w:val="nil"/>
          <w:bottom w:val="nil"/>
          <w:right w:val="nil"/>
          <w:between w:val="nil"/>
        </w:pBdr>
        <w:spacing w:after="0" w:line="240" w:lineRule="auto"/>
        <w:rPr>
          <w:rFonts w:ascii="Verdana" w:eastAsia="Verdana" w:hAnsi="Verdana" w:cs="Verdana"/>
          <w:color w:val="000000"/>
          <w:sz w:val="22"/>
          <w:szCs w:val="22"/>
        </w:rPr>
      </w:pPr>
      <w:r>
        <w:rPr>
          <w:rFonts w:ascii="Verdana" w:eastAsia="Verdana" w:hAnsi="Verdana" w:cs="Verdana"/>
          <w:color w:val="000000"/>
          <w:sz w:val="22"/>
          <w:szCs w:val="22"/>
        </w:rPr>
        <w:t>Número del Diario Oficial:</w:t>
      </w:r>
      <w:r w:rsidR="00AC0CCF">
        <w:rPr>
          <w:rFonts w:ascii="Verdana" w:eastAsia="Verdana" w:hAnsi="Verdana" w:cs="Verdana"/>
          <w:color w:val="000000"/>
          <w:sz w:val="22"/>
          <w:szCs w:val="22"/>
        </w:rPr>
        <w:t xml:space="preserve"> </w:t>
      </w:r>
      <w:r>
        <w:rPr>
          <w:rFonts w:ascii="Verdana" w:eastAsia="Verdana" w:hAnsi="Verdana" w:cs="Verdana"/>
          <w:color w:val="000000"/>
          <w:sz w:val="22"/>
          <w:szCs w:val="22"/>
        </w:rPr>
        <w:t>N/A</w:t>
      </w:r>
    </w:p>
    <w:p w14:paraId="39580B89" w14:textId="77777777" w:rsidR="00C7782D" w:rsidRDefault="00C7782D">
      <w:pPr>
        <w:pBdr>
          <w:top w:val="nil"/>
          <w:left w:val="nil"/>
          <w:bottom w:val="nil"/>
          <w:right w:val="nil"/>
          <w:between w:val="nil"/>
        </w:pBdr>
        <w:spacing w:after="0" w:line="240" w:lineRule="auto"/>
        <w:rPr>
          <w:rFonts w:ascii="Verdana" w:eastAsia="Verdana" w:hAnsi="Verdana" w:cs="Verdana"/>
          <w:color w:val="000000"/>
          <w:sz w:val="22"/>
          <w:szCs w:val="22"/>
        </w:rPr>
      </w:pPr>
    </w:p>
    <w:p w14:paraId="01BF4C28" w14:textId="77777777" w:rsidR="00C7782D" w:rsidRDefault="00000000">
      <w:pPr>
        <w:jc w:val="center"/>
        <w:rPr>
          <w:rFonts w:ascii="Verdana" w:eastAsia="Verdana" w:hAnsi="Verdana" w:cs="Verdana"/>
          <w:b/>
          <w:bCs/>
          <w:sz w:val="22"/>
          <w:szCs w:val="22"/>
        </w:rPr>
      </w:pPr>
      <w:r>
        <w:rPr>
          <w:rFonts w:ascii="Verdana" w:eastAsia="Verdana" w:hAnsi="Verdana" w:cs="Verdana"/>
          <w:b/>
          <w:bCs/>
          <w:sz w:val="22"/>
          <w:szCs w:val="22"/>
        </w:rPr>
        <w:t>RESOLUCIÓN No. 8293 de 2025</w:t>
      </w:r>
    </w:p>
    <w:p w14:paraId="22D955A7" w14:textId="77777777" w:rsidR="00C7782D" w:rsidRDefault="00000000">
      <w:pPr>
        <w:jc w:val="center"/>
        <w:rPr>
          <w:rFonts w:ascii="Verdana" w:eastAsia="Verdana" w:hAnsi="Verdana" w:cs="Verdana"/>
          <w:sz w:val="22"/>
          <w:szCs w:val="22"/>
        </w:rPr>
      </w:pPr>
      <w:r>
        <w:rPr>
          <w:rFonts w:ascii="Verdana" w:eastAsia="Verdana" w:hAnsi="Verdana" w:cs="Verdana"/>
          <w:b/>
          <w:bCs/>
          <w:sz w:val="22"/>
          <w:szCs w:val="22"/>
        </w:rPr>
        <w:t>(31 de diciembre)</w:t>
      </w:r>
    </w:p>
    <w:p w14:paraId="06B7A737" w14:textId="77777777" w:rsidR="00C7782D" w:rsidRDefault="00000000">
      <w:pPr>
        <w:jc w:val="center"/>
        <w:rPr>
          <w:rFonts w:ascii="Verdana" w:eastAsia="Verdana" w:hAnsi="Verdana" w:cs="Verdana"/>
          <w:sz w:val="22"/>
          <w:szCs w:val="22"/>
        </w:rPr>
      </w:pPr>
      <w:r>
        <w:rPr>
          <w:rFonts w:ascii="Verdana" w:eastAsia="Verdana" w:hAnsi="Verdana" w:cs="Verdana"/>
          <w:sz w:val="22"/>
          <w:szCs w:val="22"/>
        </w:rPr>
        <w:t>“Por la cual se modifica parcialmente el artículo primero y segundo de la Resolución 6432 del 31 de diciembre del 2024, en el sentido de recortar el presupuesto asignado al ICBF para la vigencia 2025”</w:t>
      </w:r>
    </w:p>
    <w:p w14:paraId="4E968E4B" w14:textId="77777777" w:rsidR="00C7782D"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(E) DEL INSTITUTO COLOMBIANO DE BIENESTAR FAMILIAR (ICBF) “CECILIA DE LA FUENTE DE LLERAS”</w:t>
      </w:r>
    </w:p>
    <w:p w14:paraId="00DDBE9F" w14:textId="77777777" w:rsidR="00C7782D" w:rsidRDefault="00000000">
      <w:pPr>
        <w:jc w:val="center"/>
        <w:rPr>
          <w:rFonts w:ascii="Verdana" w:eastAsia="Verdana" w:hAnsi="Verdana" w:cs="Verdana"/>
          <w:sz w:val="22"/>
          <w:szCs w:val="22"/>
        </w:rPr>
      </w:pPr>
      <w:r>
        <w:rPr>
          <w:rFonts w:ascii="Verdana" w:eastAsia="Verdana" w:hAnsi="Verdana" w:cs="Verdana"/>
          <w:sz w:val="22"/>
          <w:szCs w:val="22"/>
        </w:rPr>
        <w:t>En uso de sus facultades legales y estatutarias y en especial de las conferidas por el artículo 78 de la Ley 489 de 1998, el literal b) del artículo 28 de la Ley 7 de 1979, de conformidad con la Resolución 1845 de 2025 y,</w:t>
      </w:r>
    </w:p>
    <w:p w14:paraId="55E69867" w14:textId="77777777" w:rsidR="00C7782D"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A717B91"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mediante el Decreto 1523 del 18 de diciembre de 2024, se decretó el Presupuesto de Rentas y Recursos de Capital y el presupuesto de gastos para la Vigencia Fiscal del 1° de enero al 31 de diciembre de 2025.</w:t>
      </w:r>
    </w:p>
    <w:p w14:paraId="3E9E27F1"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a través del Decreto 1621 del 30 de diciembre de 2024, el Ministerio de Hacienda y Crédito Público liquidó el Presupuesto General de la Nación para la Vigencia Fiscal de 2025, detallando las apropiaciones, clasificando y definiendo los gastos. Este Decreto incluye el Presupuesto del Instituto Colombiano de Bienestar Familiar -ICBF para la Vigencia Fiscal 2025.</w:t>
      </w:r>
    </w:p>
    <w:p w14:paraId="546F2037"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por medio de la Resolución 6432 del 31 de diciembre del 2024, la Dirección General del ICBF consolidó el presupuesto de ingresos y desagregó, distribuyó, asignó y comunicó el Presupuesto Gastos del Instituto Colombiano de Bienestar Familiar a Nivel de la Unidad Ejecutora, Sedes Regionales y Sede de la Dirección General, para la Vigencia fiscal del año 2025 por valor de DIEZ BILLONES SEISCIENTOS NOVENTA MIL SETECIENTOS CINCUENTA Y NUEVE MILLONES SETECIENTOS DOCE MIL TRESCIENTOS VEINTICINCO PESOS M/CTE (10.690.759.712.325).</w:t>
      </w:r>
    </w:p>
    <w:p w14:paraId="4633CBC0" w14:textId="77777777" w:rsidR="00C7782D" w:rsidRDefault="00C7782D">
      <w:pPr>
        <w:jc w:val="both"/>
        <w:rPr>
          <w:rFonts w:ascii="Verdana" w:eastAsia="Verdana" w:hAnsi="Verdana" w:cs="Verdana"/>
          <w:sz w:val="22"/>
          <w:szCs w:val="22"/>
        </w:rPr>
      </w:pPr>
    </w:p>
    <w:p w14:paraId="4C1C628F" w14:textId="77777777" w:rsidR="00C7782D" w:rsidRDefault="00000000">
      <w:pPr>
        <w:jc w:val="both"/>
        <w:rPr>
          <w:rFonts w:ascii="Verdana" w:eastAsia="Verdana" w:hAnsi="Verdana" w:cs="Verdana"/>
          <w:sz w:val="22"/>
          <w:szCs w:val="22"/>
        </w:rPr>
      </w:pPr>
      <w:r>
        <w:rPr>
          <w:rFonts w:ascii="Verdana" w:eastAsia="Verdana" w:hAnsi="Verdana" w:cs="Verdana"/>
          <w:sz w:val="22"/>
          <w:szCs w:val="22"/>
        </w:rPr>
        <w:lastRenderedPageBreak/>
        <w:t>Que por medio de la Resolución 0006 del 3 de enero del 2025 se corrigen unos yerros contenidos en los artículos primero y segundo de la Resolución No. 6432 del 31 de diciembre del 2024.</w:t>
      </w:r>
    </w:p>
    <w:p w14:paraId="77FDF1AC"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aunado a lo anterior, mediante las Resoluciones 1739 del 23 de abril de 2025 y 4124 del 1 de agosto de 2025, se modificaron los artículos primero y segundo de la Resolución 6432 del 31 de diciembre de 2024, con el fin de adicionar y desagregar recursos presupuestales.</w:t>
      </w:r>
    </w:p>
    <w:p w14:paraId="642D38A3"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mediante la sección 4602 del Artículo 2 del Decreto 0359 de 27 de marzo 2025, el Ministerio de Hacienda y Crédito Público liquidan adición al presupuesto de gasto o de apropiación del de ICBF por valor de CIEN MIL MILLONES DE PESOS M/CTE ($100.000.000.000).</w:t>
      </w:r>
    </w:p>
    <w:p w14:paraId="35E2A772"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por su parte, mediante el artículo primero de la Resolución 254 del 28 de agosto de 2025, la Directora General de la Agencia Presidencial de Cooperación Internacional de Colombia (APC) – Colombia efectúa una modificación al Presupuesto de Inversión contenida en el anexo del Decreto de Liquidación del Presupuesto General de la Nación para la vigencia fiscal 2025, distribuyendo para el ICBF un valor de DOS MIL TRESCIENTOS NOVENTA MILLONES CUATROCIENTOS CINCUENTA MIL TRESCIENTOS TREINTA Y NUEVE PESOS M/CTE ($2.390.450.339).</w:t>
      </w:r>
    </w:p>
    <w:p w14:paraId="533E9F46"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mediante Decreto 1484 del 31 de diciembre de 2025, se efectuó reducción en apropiaciones del Presupuesto del ICBF por valor de VEINTIOCHO MIL OCHOCIENTOS CUARENTA Y OCHO MILLONES QUINIENTOS OCHENTA Y NUEVE MIL NOVECIENTOS CUARENTA Y SIETE PESOS M/CTE ($ 28.848.589.947,00).</w:t>
      </w:r>
    </w:p>
    <w:p w14:paraId="2471189F"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teniendo en cuenta lo anterior para el cierre de la vigencia 2025 el presupuesto final asignado del ICBF es de DIEZ BILLONES SETECIENTOS SESENTA Y CUATRO MIL TRESCIENTOS UN MILLÓN QUINIENTOS SETENTA Y DOS MIL SETECIENTOS DIECISIETE ($10.764.301.572.717).</w:t>
      </w:r>
    </w:p>
    <w:p w14:paraId="21CA5D96"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Que en virtud de lo anterior se requiere modificar parcialmente el artículo primero y segundo de la Resolución 6432 de 2024, en el sentido de reducir el presupuesto asignado.</w:t>
      </w:r>
    </w:p>
    <w:p w14:paraId="6B750474" w14:textId="77777777" w:rsidR="00C7782D" w:rsidRDefault="00000000">
      <w:pPr>
        <w:jc w:val="both"/>
        <w:rPr>
          <w:rFonts w:ascii="Verdana" w:eastAsia="Verdana" w:hAnsi="Verdana" w:cs="Verdana"/>
          <w:sz w:val="22"/>
          <w:szCs w:val="22"/>
        </w:rPr>
      </w:pPr>
      <w:r>
        <w:rPr>
          <w:rFonts w:ascii="Verdana" w:eastAsia="Verdana" w:hAnsi="Verdana" w:cs="Verdana"/>
          <w:sz w:val="22"/>
          <w:szCs w:val="22"/>
        </w:rPr>
        <w:t>En mérito de lo expuesto,</w:t>
      </w:r>
    </w:p>
    <w:p w14:paraId="0338C27E" w14:textId="77777777" w:rsidR="00C7782D"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338A0210" w14:textId="77777777" w:rsidR="00C7782D" w:rsidRDefault="00000000">
      <w:pPr>
        <w:jc w:val="both"/>
        <w:rPr>
          <w:rFonts w:ascii="Verdana" w:eastAsia="Verdana" w:hAnsi="Verdana" w:cs="Verdana"/>
          <w:sz w:val="22"/>
          <w:szCs w:val="22"/>
        </w:rPr>
      </w:pPr>
      <w:r>
        <w:rPr>
          <w:rFonts w:ascii="Verdana" w:eastAsia="Verdana" w:hAnsi="Verdana" w:cs="Verdana"/>
          <w:b/>
          <w:bCs/>
          <w:sz w:val="22"/>
          <w:szCs w:val="22"/>
        </w:rPr>
        <w:t>ARTÍCULO PRIMERO.</w:t>
      </w:r>
      <w:r>
        <w:rPr>
          <w:rFonts w:ascii="Verdana" w:eastAsia="Verdana" w:hAnsi="Verdana" w:cs="Verdana"/>
          <w:sz w:val="22"/>
          <w:szCs w:val="22"/>
        </w:rPr>
        <w:t xml:space="preserve"> Modificar parcialmente el artículo primero de la Resolución 6432 de 2024, en el sentido de reducir recursos asignados, por la suma de VEINTIOCHO MIL OCHOCIENTOS CUARENTA Y OCHO MILLONES QUINIENTOS OCHENTA Y NUEVE MIL NOVECIENTOS CUARENTA Y SIETE PESOS M/CTE ($28.848.589.947,00), de conformidad con el siguiente detalle: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C7782D" w:rsidRPr="00AC0CCF" w14:paraId="780A6D6F" w14:textId="77777777">
        <w:tc>
          <w:tcPr>
            <w:tcW w:w="2942" w:type="dxa"/>
          </w:tcPr>
          <w:p w14:paraId="507DF2AF" w14:textId="77777777" w:rsidR="00C7782D" w:rsidRPr="00AC0CCF" w:rsidRDefault="00000000">
            <w:pPr>
              <w:jc w:val="both"/>
              <w:rPr>
                <w:rFonts w:ascii="Verdana" w:eastAsia="Verdana" w:hAnsi="Verdana" w:cs="Verdana"/>
                <w:b/>
                <w:bCs/>
                <w:sz w:val="18"/>
                <w:szCs w:val="18"/>
              </w:rPr>
            </w:pPr>
            <w:r w:rsidRPr="00AC0CCF">
              <w:rPr>
                <w:rFonts w:ascii="Verdana" w:eastAsia="Verdana" w:hAnsi="Verdana" w:cs="Verdana"/>
                <w:b/>
                <w:bCs/>
                <w:sz w:val="18"/>
                <w:szCs w:val="18"/>
              </w:rPr>
              <w:lastRenderedPageBreak/>
              <w:t>RUBRO</w:t>
            </w:r>
          </w:p>
        </w:tc>
        <w:tc>
          <w:tcPr>
            <w:tcW w:w="2943" w:type="dxa"/>
          </w:tcPr>
          <w:p w14:paraId="0AD41060" w14:textId="77777777" w:rsidR="00C7782D" w:rsidRPr="00AC0CCF" w:rsidRDefault="00000000">
            <w:pPr>
              <w:jc w:val="both"/>
              <w:rPr>
                <w:rFonts w:ascii="Verdana" w:eastAsia="Verdana" w:hAnsi="Verdana" w:cs="Verdana"/>
                <w:b/>
                <w:bCs/>
                <w:sz w:val="18"/>
                <w:szCs w:val="18"/>
              </w:rPr>
            </w:pPr>
            <w:r w:rsidRPr="00AC0CCF">
              <w:rPr>
                <w:rFonts w:ascii="Verdana" w:eastAsia="Verdana" w:hAnsi="Verdana" w:cs="Verdana"/>
                <w:b/>
                <w:bCs/>
                <w:sz w:val="18"/>
                <w:szCs w:val="18"/>
              </w:rPr>
              <w:t>DESCRIPCIÓN</w:t>
            </w:r>
          </w:p>
        </w:tc>
        <w:tc>
          <w:tcPr>
            <w:tcW w:w="2943" w:type="dxa"/>
          </w:tcPr>
          <w:p w14:paraId="0484DC77" w14:textId="77777777" w:rsidR="00C7782D" w:rsidRPr="00AC0CCF" w:rsidRDefault="00000000">
            <w:pPr>
              <w:jc w:val="both"/>
              <w:rPr>
                <w:rFonts w:ascii="Verdana" w:eastAsia="Verdana" w:hAnsi="Verdana" w:cs="Verdana"/>
                <w:b/>
                <w:bCs/>
                <w:sz w:val="18"/>
                <w:szCs w:val="18"/>
              </w:rPr>
            </w:pPr>
            <w:r w:rsidRPr="00AC0CCF">
              <w:rPr>
                <w:rFonts w:ascii="Verdana" w:eastAsia="Verdana" w:hAnsi="Verdana" w:cs="Verdana"/>
                <w:b/>
                <w:bCs/>
                <w:sz w:val="18"/>
                <w:szCs w:val="18"/>
              </w:rPr>
              <w:t>VALOR</w:t>
            </w:r>
          </w:p>
        </w:tc>
      </w:tr>
      <w:tr w:rsidR="00C7782D" w:rsidRPr="00AC0CCF" w14:paraId="2A473891" w14:textId="77777777">
        <w:tc>
          <w:tcPr>
            <w:tcW w:w="2942" w:type="dxa"/>
          </w:tcPr>
          <w:p w14:paraId="431541F8"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1-0-00-1</w:t>
            </w:r>
          </w:p>
        </w:tc>
        <w:tc>
          <w:tcPr>
            <w:tcW w:w="2943" w:type="dxa"/>
          </w:tcPr>
          <w:p w14:paraId="2190B0AB"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Ingresos corrientes</w:t>
            </w:r>
          </w:p>
        </w:tc>
        <w:tc>
          <w:tcPr>
            <w:tcW w:w="2943" w:type="dxa"/>
          </w:tcPr>
          <w:p w14:paraId="46D66756"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810.173</w:t>
            </w:r>
          </w:p>
        </w:tc>
      </w:tr>
      <w:tr w:rsidR="00C7782D" w:rsidRPr="00AC0CCF" w14:paraId="0DD2FBDE" w14:textId="77777777">
        <w:tc>
          <w:tcPr>
            <w:tcW w:w="2942" w:type="dxa"/>
          </w:tcPr>
          <w:p w14:paraId="0951E2DA"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3-2-10</w:t>
            </w:r>
          </w:p>
        </w:tc>
        <w:tc>
          <w:tcPr>
            <w:tcW w:w="2943" w:type="dxa"/>
          </w:tcPr>
          <w:p w14:paraId="2578864F"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Fondo contra la explotación sexual de menores</w:t>
            </w:r>
          </w:p>
        </w:tc>
        <w:tc>
          <w:tcPr>
            <w:tcW w:w="2943" w:type="dxa"/>
          </w:tcPr>
          <w:p w14:paraId="1BC5589F"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22.768.049.174</w:t>
            </w:r>
          </w:p>
          <w:p w14:paraId="7CE59005" w14:textId="77777777" w:rsidR="00C7782D" w:rsidRPr="00AC0CCF" w:rsidRDefault="00C7782D">
            <w:pPr>
              <w:jc w:val="both"/>
              <w:rPr>
                <w:rFonts w:ascii="Verdana" w:eastAsia="Verdana" w:hAnsi="Verdana" w:cs="Verdana"/>
                <w:sz w:val="18"/>
                <w:szCs w:val="18"/>
              </w:rPr>
            </w:pPr>
          </w:p>
        </w:tc>
      </w:tr>
      <w:tr w:rsidR="00C7782D" w:rsidRPr="00AC0CCF" w14:paraId="2845AA52" w14:textId="77777777">
        <w:tc>
          <w:tcPr>
            <w:tcW w:w="2942" w:type="dxa"/>
          </w:tcPr>
          <w:p w14:paraId="7215246D"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3-3-01</w:t>
            </w:r>
          </w:p>
        </w:tc>
        <w:tc>
          <w:tcPr>
            <w:tcW w:w="2943" w:type="dxa"/>
          </w:tcPr>
          <w:p w14:paraId="30234CF4"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Contribuciones parafiscales de los establecimientos públicos</w:t>
            </w:r>
          </w:p>
        </w:tc>
        <w:tc>
          <w:tcPr>
            <w:tcW w:w="2943" w:type="dxa"/>
          </w:tcPr>
          <w:p w14:paraId="554C0115" w14:textId="77777777" w:rsidR="00C7782D" w:rsidRPr="00AC0CCF" w:rsidRDefault="00000000">
            <w:pPr>
              <w:jc w:val="both"/>
              <w:rPr>
                <w:rFonts w:ascii="Verdana" w:eastAsia="Verdana" w:hAnsi="Verdana" w:cs="Verdana"/>
                <w:sz w:val="18"/>
                <w:szCs w:val="18"/>
              </w:rPr>
            </w:pPr>
            <w:r w:rsidRPr="00AC0CCF">
              <w:rPr>
                <w:rFonts w:ascii="Verdana" w:eastAsia="Verdana" w:hAnsi="Verdana" w:cs="Verdana"/>
                <w:sz w:val="18"/>
                <w:szCs w:val="18"/>
              </w:rPr>
              <w:t>6.079.730.600</w:t>
            </w:r>
          </w:p>
          <w:p w14:paraId="5FD277AA" w14:textId="77777777" w:rsidR="00C7782D" w:rsidRPr="00AC0CCF" w:rsidRDefault="00C7782D">
            <w:pPr>
              <w:jc w:val="both"/>
              <w:rPr>
                <w:rFonts w:ascii="Verdana" w:eastAsia="Verdana" w:hAnsi="Verdana" w:cs="Verdana"/>
                <w:sz w:val="18"/>
                <w:szCs w:val="18"/>
              </w:rPr>
            </w:pPr>
          </w:p>
        </w:tc>
      </w:tr>
    </w:tbl>
    <w:p w14:paraId="13A3E568" w14:textId="77777777" w:rsidR="00C7782D" w:rsidRDefault="00C7782D">
      <w:pPr>
        <w:jc w:val="both"/>
        <w:rPr>
          <w:rFonts w:ascii="Verdana" w:eastAsia="Verdana" w:hAnsi="Verdana" w:cs="Verdana"/>
          <w:b/>
          <w:bCs/>
          <w:sz w:val="22"/>
          <w:szCs w:val="22"/>
        </w:rPr>
      </w:pPr>
    </w:p>
    <w:p w14:paraId="11A4838D" w14:textId="77777777" w:rsidR="00C7782D" w:rsidRDefault="00000000">
      <w:pPr>
        <w:jc w:val="both"/>
        <w:rPr>
          <w:rFonts w:ascii="Verdana" w:eastAsia="Verdana" w:hAnsi="Verdana" w:cs="Verdana"/>
          <w:sz w:val="22"/>
          <w:szCs w:val="22"/>
        </w:rPr>
      </w:pPr>
      <w:r>
        <w:rPr>
          <w:rFonts w:ascii="Verdana" w:eastAsia="Verdana" w:hAnsi="Verdana" w:cs="Verdana"/>
          <w:b/>
          <w:bCs/>
          <w:sz w:val="22"/>
          <w:szCs w:val="22"/>
        </w:rPr>
        <w:t>ARTÍCULO SEGUNDO.</w:t>
      </w:r>
      <w:r>
        <w:rPr>
          <w:rFonts w:ascii="Verdana" w:eastAsia="Verdana" w:hAnsi="Verdana" w:cs="Verdana"/>
          <w:sz w:val="22"/>
          <w:szCs w:val="22"/>
        </w:rPr>
        <w:t xml:space="preserve"> Modificar parcialmente el artículo segundo de la Resolución 6432 de 2024, como consecuencia de la reducción de recursos dispuesta en el artículo primero de la presente Resolución, aplíquese y distribúyase dicho ajuste presupuestal en el Presupuesto de Gastos del Instituto Colombiano de Bienestar Familiar – ICBF, por la suma total de VEINTIOCHO MIL OCHOCIENTOS CUARENTA Y OCHO MILLONES QUINIENTOS OCHENTA Y NUEVE MIL NOVECIENTOS CUARENTA Y SIETE PESOS M/CTE ($28.848.589.947,00), de conformidad con el siguiente detalle:</w:t>
      </w:r>
    </w:p>
    <w:tbl>
      <w:tblPr>
        <w:tblStyle w:val="a0"/>
        <w:tblW w:w="8818" w:type="dxa"/>
        <w:tblInd w:w="0" w:type="dxa"/>
        <w:tblLayout w:type="fixed"/>
        <w:tblLook w:val="0400" w:firstRow="0" w:lastRow="0" w:firstColumn="0" w:lastColumn="0" w:noHBand="0" w:noVBand="1"/>
      </w:tblPr>
      <w:tblGrid>
        <w:gridCol w:w="469"/>
        <w:gridCol w:w="809"/>
        <w:gridCol w:w="872"/>
        <w:gridCol w:w="617"/>
        <w:gridCol w:w="845"/>
        <w:gridCol w:w="863"/>
        <w:gridCol w:w="617"/>
        <w:gridCol w:w="530"/>
        <w:gridCol w:w="1837"/>
        <w:gridCol w:w="1359"/>
      </w:tblGrid>
      <w:tr w:rsidR="00C7782D" w14:paraId="1A26A795"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7779C"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TIPO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48F2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CTA</w:t>
            </w:r>
          </w:p>
          <w:p w14:paraId="2344081C"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/PRO</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7DE36"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SUBCTA/ SUBPRO</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46E65"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OBJ/ </w:t>
            </w:r>
          </w:p>
          <w:p w14:paraId="45DBFC0C"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PROY</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12CA8"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vertAlign w:val="superscript"/>
              </w:rPr>
              <w:t xml:space="preserve">ORD/ </w:t>
            </w:r>
            <w:r w:rsidRPr="00AC0CCF">
              <w:rPr>
                <w:rFonts w:ascii="Verdana" w:eastAsia="Verdana" w:hAnsi="Verdana" w:cs="Verdana"/>
                <w:b/>
                <w:bCs/>
                <w:sz w:val="14"/>
                <w:szCs w:val="14"/>
              </w:rPr>
              <w:t>SPRY </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AE9C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SUBORD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70201"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ITEM </w:t>
            </w: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4DF97"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REC </w:t>
            </w: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28E2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Descripción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54AE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VALOR</w:t>
            </w:r>
          </w:p>
        </w:tc>
      </w:tr>
      <w:tr w:rsidR="00C7782D" w14:paraId="4FF435ED"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7ACA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8A032"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68A37"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1109D"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70617"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17CE5"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11D2E"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94C31"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CF5E1"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Funcionamiento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178C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6.079.730.600</w:t>
            </w:r>
          </w:p>
        </w:tc>
      </w:tr>
      <w:tr w:rsidR="00C7782D" w14:paraId="700ADD16"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59CB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8F2B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51E97"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37035"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46391"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C8200"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4090D"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C0366"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B4B6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Gastos de personal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97999"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5.000.000.000</w:t>
            </w:r>
          </w:p>
        </w:tc>
      </w:tr>
      <w:tr w:rsidR="00C7782D" w14:paraId="45A9B05A" w14:textId="77777777">
        <w:trPr>
          <w:trHeight w:val="408"/>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09498"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171F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D2BF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BFDB8"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139A9"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DDC9D"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5532A"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47430"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A07B7"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Planta de personal  permanente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6CCB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5.000.000.000</w:t>
            </w:r>
          </w:p>
        </w:tc>
      </w:tr>
      <w:tr w:rsidR="00C7782D" w14:paraId="208E3ABD" w14:textId="77777777">
        <w:trPr>
          <w:trHeight w:val="348"/>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F34E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E45D6"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9DF2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204A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84FD4"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B72D4"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0D766"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46096"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A302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Salario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579CA"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5.000.000.000</w:t>
            </w:r>
          </w:p>
        </w:tc>
      </w:tr>
      <w:tr w:rsidR="00C7782D" w14:paraId="13D4EFD3"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01DE9" w14:textId="77777777" w:rsidR="00C7782D" w:rsidRPr="00AC0CCF" w:rsidRDefault="00C7782D">
            <w:pPr>
              <w:jc w:val="both"/>
              <w:rPr>
                <w:rFonts w:ascii="Verdana" w:eastAsia="Verdana" w:hAnsi="Verdana" w:cs="Verdana"/>
                <w:sz w:val="14"/>
                <w:szCs w:val="14"/>
              </w:rPr>
            </w:pP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81E6D"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430EF"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62BE6"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EDFC2"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B0113"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50973"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8489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27 </w:t>
            </w: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4703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Rentas Parafiscales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2A947"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5.000.000.000</w:t>
            </w:r>
          </w:p>
        </w:tc>
      </w:tr>
      <w:tr w:rsidR="00C7782D" w14:paraId="7A80D702"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11BC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2E4D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03 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15C87"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773C5"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12667"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B3575"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E7CAF"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1FB5F"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5556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vertAlign w:val="superscript"/>
              </w:rPr>
              <w:t xml:space="preserve">Transferencias </w:t>
            </w:r>
            <w:r w:rsidRPr="00AC0CCF">
              <w:rPr>
                <w:rFonts w:ascii="Verdana" w:eastAsia="Verdana" w:hAnsi="Verdana" w:cs="Verdana"/>
                <w:sz w:val="14"/>
                <w:szCs w:val="14"/>
              </w:rPr>
              <w:t>corrientes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983C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1.000.000.000</w:t>
            </w:r>
          </w:p>
        </w:tc>
      </w:tr>
      <w:tr w:rsidR="00C7782D" w14:paraId="0ECF06D1"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55BA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97C6B"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03 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6E68C"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03 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73BE2"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141B0"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1EF0D"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CB80F"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E1EB2"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C674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entidades del gobierno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22B97"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1.000.000.000</w:t>
            </w:r>
          </w:p>
        </w:tc>
      </w:tr>
      <w:tr w:rsidR="00C7782D" w14:paraId="5EA8DDE3" w14:textId="77777777">
        <w:trPr>
          <w:trHeight w:val="35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533E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5E72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03 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2D8FB"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03 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AE608"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79A60"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A03B4"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CFE62"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7E850"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848D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órganos del pgn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00D3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1.000.000.000</w:t>
            </w:r>
          </w:p>
        </w:tc>
      </w:tr>
      <w:tr w:rsidR="00C7782D" w14:paraId="799A9406" w14:textId="77777777">
        <w:trPr>
          <w:trHeight w:val="576"/>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529B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DA8D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03 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43B9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03 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FF69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4B33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999</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AFD39"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143CE"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31657"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060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Otras transferencias - distribución previo  concepto dgppn</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C64FA"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1.000.000.000</w:t>
            </w:r>
          </w:p>
        </w:tc>
      </w:tr>
      <w:tr w:rsidR="00C7782D" w14:paraId="4805E5B5"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95C7" w14:textId="77777777" w:rsidR="00C7782D" w:rsidRPr="00AC0CCF" w:rsidRDefault="00C7782D">
            <w:pPr>
              <w:jc w:val="both"/>
              <w:rPr>
                <w:rFonts w:ascii="Verdana" w:eastAsia="Verdana" w:hAnsi="Verdana" w:cs="Verdana"/>
                <w:sz w:val="14"/>
                <w:szCs w:val="14"/>
              </w:rPr>
            </w:pP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7C6D8"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3EDE3"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9F7C2"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2933D"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742C2"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8DDC7"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0D1D7"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27 </w:t>
            </w: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F07E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Rentas Parafiscales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04C2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1.000.000.000</w:t>
            </w:r>
          </w:p>
        </w:tc>
      </w:tr>
      <w:tr w:rsidR="00C7782D" w14:paraId="3A6B9F37" w14:textId="77777777">
        <w:trPr>
          <w:trHeight w:val="408"/>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A287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lastRenderedPageBreak/>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05E8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06 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6A148"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60AE4"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CAE77"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DB257"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FACC3"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3AA1A"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518B8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Adquisición de activos  financieros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36D7A"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79.730.600</w:t>
            </w:r>
          </w:p>
        </w:tc>
      </w:tr>
      <w:tr w:rsidR="00C7782D" w14:paraId="607F5CD2"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CCC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8F426"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06 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B0C3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FFBC9"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B2025"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CE1EA"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3A9DF"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89E04"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2B64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Concesión de préstamos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8805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79.730.600</w:t>
            </w:r>
          </w:p>
        </w:tc>
      </w:tr>
      <w:tr w:rsidR="00C7782D" w14:paraId="59F49CB9" w14:textId="77777777">
        <w:trPr>
          <w:trHeight w:val="348"/>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8C36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C009B"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06 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0262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3A88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04 </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49257"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EEAE6"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6447C"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E1519"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C47E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personas naturales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06C3A"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79.730.600</w:t>
            </w:r>
          </w:p>
        </w:tc>
      </w:tr>
      <w:tr w:rsidR="00C7782D" w14:paraId="46EBB867" w14:textId="77777777">
        <w:trPr>
          <w:trHeight w:val="408"/>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D5321"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A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ADE6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06 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1C3F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01 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8CD2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04 </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4126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004 </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22E0B"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D19CF"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414C8"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E1CCA"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vertAlign w:val="superscript"/>
              </w:rPr>
              <w:t xml:space="preserve">Préstamos por </w:t>
            </w:r>
            <w:r w:rsidRPr="00AC0CCF">
              <w:rPr>
                <w:rFonts w:ascii="Verdana" w:eastAsia="Verdana" w:hAnsi="Verdana" w:cs="Verdana"/>
                <w:sz w:val="14"/>
                <w:szCs w:val="14"/>
              </w:rPr>
              <w:t>calamidad doméstica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34CF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79.730.600</w:t>
            </w:r>
          </w:p>
        </w:tc>
      </w:tr>
      <w:tr w:rsidR="00C7782D" w14:paraId="779E216C"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E351D" w14:textId="77777777" w:rsidR="00C7782D" w:rsidRPr="00AC0CCF" w:rsidRDefault="00C7782D">
            <w:pPr>
              <w:jc w:val="both"/>
              <w:rPr>
                <w:rFonts w:ascii="Verdana" w:eastAsia="Verdana" w:hAnsi="Verdana" w:cs="Verdana"/>
                <w:sz w:val="14"/>
                <w:szCs w:val="14"/>
              </w:rPr>
            </w:pP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87061"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C00B8"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477A0"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DF45D"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47950"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ED09F"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6467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27 </w:t>
            </w: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93F7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Rentas Parafiscales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34BC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79.730.600</w:t>
            </w:r>
          </w:p>
        </w:tc>
      </w:tr>
      <w:tr w:rsidR="00C7782D" w14:paraId="4AA03EA9"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5252C" w14:textId="77777777" w:rsidR="00C7782D" w:rsidRPr="00AC0CCF" w:rsidRDefault="00C7782D">
            <w:pPr>
              <w:jc w:val="both"/>
              <w:rPr>
                <w:rFonts w:ascii="Verdana" w:eastAsia="Verdana" w:hAnsi="Verdana" w:cs="Verdana"/>
                <w:sz w:val="14"/>
                <w:szCs w:val="14"/>
              </w:rPr>
            </w:pP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FC30F"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AC129"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109E8"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5ABBF"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AAD82"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F1616"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F3D3B"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CF3B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Total</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FD522" w14:textId="77777777" w:rsidR="00C7782D" w:rsidRPr="00AC0CCF" w:rsidRDefault="00C7782D">
            <w:pPr>
              <w:jc w:val="both"/>
              <w:rPr>
                <w:rFonts w:ascii="Verdana" w:eastAsia="Verdana" w:hAnsi="Verdana" w:cs="Verdana"/>
                <w:sz w:val="14"/>
                <w:szCs w:val="14"/>
              </w:rPr>
            </w:pPr>
          </w:p>
        </w:tc>
      </w:tr>
      <w:tr w:rsidR="00C7782D" w14:paraId="7EEB3CBC" w14:textId="77777777">
        <w:trPr>
          <w:trHeight w:val="349"/>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0B3E9"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b/>
                <w:bCs/>
                <w:sz w:val="14"/>
                <w:szCs w:val="14"/>
              </w:rPr>
              <w:t>C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2B54E"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24C00"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A7910"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32538"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796FC"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7F986"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C3117"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42E07"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Inversión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680E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22.768.859.347</w:t>
            </w:r>
          </w:p>
        </w:tc>
      </w:tr>
      <w:tr w:rsidR="00C7782D" w14:paraId="0A7080D0" w14:textId="77777777">
        <w:trPr>
          <w:trHeight w:val="1486"/>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5E1F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C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DF4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4602</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66806"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19CD9"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B1588"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60768"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6E424"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B1E3B"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39F8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Desarrollo integral de la  primera infancia a la  juventud, y  fortalecimiento de las  capacidades de las  familias de niñas, niños  y adolescentes - sector  igualdad y equidad</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B5BE1"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22.768.859.347</w:t>
            </w:r>
          </w:p>
        </w:tc>
      </w:tr>
      <w:tr w:rsidR="00C7782D" w14:paraId="2398D5F7" w14:textId="77777777">
        <w:trPr>
          <w:trHeight w:val="350"/>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A5646"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C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C837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4602 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B288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1500 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E3F13"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67DB1"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0B536"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49E27"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40738"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5F35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vertAlign w:val="superscript"/>
              </w:rPr>
              <w:t xml:space="preserve">Intersubsectorial </w:t>
            </w:r>
            <w:r w:rsidRPr="00AC0CCF">
              <w:rPr>
                <w:rFonts w:ascii="Verdana" w:eastAsia="Verdana" w:hAnsi="Verdana" w:cs="Verdana"/>
                <w:sz w:val="14"/>
                <w:szCs w:val="14"/>
              </w:rPr>
              <w:t>desarrollo social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63916"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22.768.859.347</w:t>
            </w:r>
          </w:p>
        </w:tc>
      </w:tr>
      <w:tr w:rsidR="00C7782D" w14:paraId="51EA8A14" w14:textId="77777777">
        <w:trPr>
          <w:trHeight w:val="171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51775"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C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1BC39"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4602 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E8C9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1500 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3FA9C"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9</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1FB6E"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76CC1"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3C7A9"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F7AEB"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B86C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Fortalecimiento de capacidades y  disposición de  condiciones y  oportunidades que  promuevan el desarrollo  integral de las niñas,  niños, adolescentes,  familias y comunidades  a nivel nacional</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F430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810.173</w:t>
            </w:r>
          </w:p>
        </w:tc>
      </w:tr>
      <w:tr w:rsidR="00C7782D" w14:paraId="3F33784B" w14:textId="77777777">
        <w:trPr>
          <w:trHeight w:val="171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FFFC0"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C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34477"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4602 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6494C"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1500 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6A7B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9 </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C559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704020Z</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D7533"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60775"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8FCDA"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91FD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 Actores diferenciales para el cambio / 2.  Universalización de la  atención integral a la  primera infancia en los  territorios con mayor  riesgo de vulneración de  derechos para la niñez /  z. Eci catatumbo</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87E56"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810.173</w:t>
            </w:r>
          </w:p>
        </w:tc>
      </w:tr>
      <w:tr w:rsidR="00C7782D" w14:paraId="7D8306DA" w14:textId="77777777">
        <w:trPr>
          <w:trHeight w:val="171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AA0ED" w14:textId="77777777" w:rsidR="00C7782D" w:rsidRPr="00AC0CCF" w:rsidRDefault="00C7782D">
            <w:pPr>
              <w:jc w:val="both"/>
              <w:rPr>
                <w:rFonts w:ascii="Verdana" w:eastAsia="Verdana" w:hAnsi="Verdana" w:cs="Verdana"/>
                <w:sz w:val="14"/>
                <w:szCs w:val="14"/>
              </w:rPr>
            </w:pP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C691C"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915CF"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6A0B6"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018FE"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BAEED"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28E19"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1F9F3"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10 </w:t>
            </w: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EA0D8"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Recursos Corrientes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D2F79"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810.173</w:t>
            </w:r>
          </w:p>
        </w:tc>
      </w:tr>
      <w:tr w:rsidR="00C7782D" w14:paraId="303A560A" w14:textId="77777777">
        <w:trPr>
          <w:trHeight w:val="171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AC77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C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3EEA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4602 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6B018"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1500 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E4A21"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ECF49"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2E5FB"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DAC72"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D5839"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E4F2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Fortalecimiento de  capacidades  </w:t>
            </w:r>
          </w:p>
          <w:p w14:paraId="0CEEAFAF"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individuales, familiares  e institucionales para  prevenir y atender la  materialización del  riesgo, la amenaza y/o  vulneración de los  derechos de los niñas,  niños adolescentes y  jóvenes nacional</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6885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22.768.049.174</w:t>
            </w:r>
          </w:p>
        </w:tc>
      </w:tr>
      <w:tr w:rsidR="00C7782D" w14:paraId="16D1051F" w14:textId="77777777">
        <w:trPr>
          <w:trHeight w:val="171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399F2"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C </w:t>
            </w: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5AA5D"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4602 </w:t>
            </w: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57644"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1500 </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70FA9"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10 </w:t>
            </w: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06AAA"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704040</w:t>
            </w: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8ABF1"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8FF27"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1581E"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E4A09"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7. Actores diferenciales para el cambio / 4.  Fortalecimiento de las  familias y las  comunidades</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AEFD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22.768.049.174</w:t>
            </w:r>
          </w:p>
        </w:tc>
      </w:tr>
      <w:tr w:rsidR="00C7782D" w14:paraId="639B7D43" w14:textId="77777777">
        <w:trPr>
          <w:trHeight w:val="171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E3832" w14:textId="77777777" w:rsidR="00C7782D" w:rsidRPr="00AC0CCF" w:rsidRDefault="00C7782D">
            <w:pPr>
              <w:jc w:val="both"/>
              <w:rPr>
                <w:rFonts w:ascii="Verdana" w:eastAsia="Verdana" w:hAnsi="Verdana" w:cs="Verdana"/>
                <w:sz w:val="14"/>
                <w:szCs w:val="14"/>
              </w:rPr>
            </w:pP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ED05E"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CB03E"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20B5F"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B14FA"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09004"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1B115"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36558"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26 </w:t>
            </w: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3BE55"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Fondos Especiales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982CB"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22.768.049.174</w:t>
            </w:r>
          </w:p>
        </w:tc>
      </w:tr>
      <w:tr w:rsidR="00C7782D" w14:paraId="65CCB37A" w14:textId="77777777">
        <w:trPr>
          <w:trHeight w:val="1711"/>
        </w:trPr>
        <w:tc>
          <w:tcPr>
            <w:tcW w:w="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1532C" w14:textId="77777777" w:rsidR="00C7782D" w:rsidRPr="00AC0CCF" w:rsidRDefault="00C7782D">
            <w:pPr>
              <w:jc w:val="both"/>
              <w:rPr>
                <w:rFonts w:ascii="Verdana" w:eastAsia="Verdana" w:hAnsi="Verdana" w:cs="Verdana"/>
                <w:sz w:val="14"/>
                <w:szCs w:val="14"/>
              </w:rPr>
            </w:pPr>
          </w:p>
        </w:tc>
        <w:tc>
          <w:tcPr>
            <w:tcW w:w="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0A50A" w14:textId="77777777" w:rsidR="00C7782D" w:rsidRPr="00AC0CCF" w:rsidRDefault="00C7782D">
            <w:pPr>
              <w:jc w:val="both"/>
              <w:rPr>
                <w:rFonts w:ascii="Verdana" w:eastAsia="Verdana" w:hAnsi="Verdana" w:cs="Verdana"/>
                <w:sz w:val="14"/>
                <w:szCs w:val="14"/>
              </w:rPr>
            </w:pPr>
          </w:p>
        </w:tc>
        <w:tc>
          <w:tcPr>
            <w:tcW w:w="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8333F"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2BDB9" w14:textId="77777777" w:rsidR="00C7782D" w:rsidRPr="00AC0CCF" w:rsidRDefault="00C7782D">
            <w:pPr>
              <w:jc w:val="both"/>
              <w:rPr>
                <w:rFonts w:ascii="Verdana" w:eastAsia="Verdana" w:hAnsi="Verdana" w:cs="Verdana"/>
                <w:sz w:val="14"/>
                <w:szCs w:val="14"/>
              </w:rPr>
            </w:pPr>
          </w:p>
        </w:tc>
        <w:tc>
          <w:tcPr>
            <w:tcW w:w="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520C6" w14:textId="77777777" w:rsidR="00C7782D" w:rsidRPr="00AC0CCF" w:rsidRDefault="00C7782D">
            <w:pPr>
              <w:jc w:val="both"/>
              <w:rPr>
                <w:rFonts w:ascii="Verdana" w:eastAsia="Verdana" w:hAnsi="Verdana" w:cs="Verdana"/>
                <w:sz w:val="14"/>
                <w:szCs w:val="14"/>
              </w:rPr>
            </w:pPr>
          </w:p>
        </w:tc>
        <w:tc>
          <w:tcPr>
            <w:tcW w:w="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7191C" w14:textId="77777777" w:rsidR="00C7782D" w:rsidRPr="00AC0CCF" w:rsidRDefault="00C7782D">
            <w:pPr>
              <w:jc w:val="both"/>
              <w:rPr>
                <w:rFonts w:ascii="Verdana" w:eastAsia="Verdana" w:hAnsi="Verdana" w:cs="Verdana"/>
                <w:sz w:val="14"/>
                <w:szCs w:val="14"/>
              </w:rPr>
            </w:pP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B1519" w14:textId="77777777" w:rsidR="00C7782D" w:rsidRPr="00AC0CCF" w:rsidRDefault="00C7782D">
            <w:pPr>
              <w:jc w:val="both"/>
              <w:rPr>
                <w:rFonts w:ascii="Verdana" w:eastAsia="Verdana" w:hAnsi="Verdana" w:cs="Verdana"/>
                <w:sz w:val="14"/>
                <w:szCs w:val="14"/>
              </w:rPr>
            </w:pPr>
          </w:p>
        </w:tc>
        <w:tc>
          <w:tcPr>
            <w:tcW w:w="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53653" w14:textId="77777777" w:rsidR="00C7782D" w:rsidRPr="00AC0CCF" w:rsidRDefault="00C7782D">
            <w:pPr>
              <w:jc w:val="both"/>
              <w:rPr>
                <w:rFonts w:ascii="Verdana" w:eastAsia="Verdana" w:hAnsi="Verdana" w:cs="Verdana"/>
                <w:sz w:val="14"/>
                <w:szCs w:val="14"/>
              </w:rPr>
            </w:pPr>
          </w:p>
        </w:tc>
        <w:tc>
          <w:tcPr>
            <w:tcW w:w="1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1EA9E"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Total </w:t>
            </w:r>
          </w:p>
        </w:tc>
        <w:tc>
          <w:tcPr>
            <w:tcW w:w="13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2686C" w14:textId="77777777" w:rsidR="00C7782D" w:rsidRPr="00AC0CCF" w:rsidRDefault="00000000">
            <w:pPr>
              <w:jc w:val="both"/>
              <w:rPr>
                <w:rFonts w:ascii="Verdana" w:eastAsia="Verdana" w:hAnsi="Verdana" w:cs="Verdana"/>
                <w:sz w:val="14"/>
                <w:szCs w:val="14"/>
              </w:rPr>
            </w:pPr>
            <w:r w:rsidRPr="00AC0CCF">
              <w:rPr>
                <w:rFonts w:ascii="Verdana" w:eastAsia="Verdana" w:hAnsi="Verdana" w:cs="Verdana"/>
                <w:sz w:val="14"/>
                <w:szCs w:val="14"/>
              </w:rPr>
              <w:t>28.848.589.947</w:t>
            </w:r>
          </w:p>
        </w:tc>
      </w:tr>
    </w:tbl>
    <w:p w14:paraId="790E2AA8" w14:textId="77777777" w:rsidR="00C7782D" w:rsidRDefault="00C7782D">
      <w:pPr>
        <w:jc w:val="both"/>
        <w:rPr>
          <w:rFonts w:ascii="Verdana" w:eastAsia="Verdana" w:hAnsi="Verdana" w:cs="Verdana"/>
          <w:sz w:val="22"/>
          <w:szCs w:val="22"/>
        </w:rPr>
      </w:pPr>
    </w:p>
    <w:p w14:paraId="2F876FFC" w14:textId="77777777" w:rsidR="00C7782D" w:rsidRDefault="00000000">
      <w:pPr>
        <w:jc w:val="both"/>
        <w:rPr>
          <w:rFonts w:ascii="Verdana" w:eastAsia="Verdana" w:hAnsi="Verdana" w:cs="Verdana"/>
          <w:sz w:val="22"/>
          <w:szCs w:val="22"/>
        </w:rPr>
      </w:pPr>
      <w:r>
        <w:rPr>
          <w:rFonts w:ascii="Verdana" w:eastAsia="Verdana" w:hAnsi="Verdana" w:cs="Verdana"/>
          <w:b/>
          <w:bCs/>
          <w:sz w:val="22"/>
          <w:szCs w:val="22"/>
        </w:rPr>
        <w:t>ARTÍCULO TERCERO.</w:t>
      </w:r>
      <w:r>
        <w:rPr>
          <w:rFonts w:ascii="Verdana" w:eastAsia="Verdana" w:hAnsi="Verdana" w:cs="Verdana"/>
          <w:sz w:val="22"/>
          <w:szCs w:val="22"/>
        </w:rPr>
        <w:t xml:space="preserve"> A través del Director Financiero o a quien este designe, COMUNICAR el contenido de la presente Resolución a los interesados.</w:t>
      </w:r>
    </w:p>
    <w:p w14:paraId="79DFE13F" w14:textId="77777777" w:rsidR="00C7782D" w:rsidRDefault="00000000">
      <w:pPr>
        <w:jc w:val="both"/>
        <w:rPr>
          <w:rFonts w:ascii="Verdana" w:eastAsia="Verdana" w:hAnsi="Verdana" w:cs="Verdana"/>
          <w:sz w:val="22"/>
          <w:szCs w:val="22"/>
        </w:rPr>
      </w:pPr>
      <w:r>
        <w:rPr>
          <w:rFonts w:ascii="Verdana" w:eastAsia="Verdana" w:hAnsi="Verdana" w:cs="Verdana"/>
          <w:b/>
          <w:bCs/>
          <w:sz w:val="22"/>
          <w:szCs w:val="22"/>
        </w:rPr>
        <w:t>ARTÍCULO CUARTO.</w:t>
      </w:r>
      <w:r>
        <w:rPr>
          <w:rFonts w:ascii="Verdana" w:eastAsia="Verdana" w:hAnsi="Verdana" w:cs="Verdana"/>
          <w:sz w:val="22"/>
          <w:szCs w:val="22"/>
        </w:rPr>
        <w:t xml:space="preserve"> La presente Resolución rige a partir de la fecha de su expedición. Las demás disposiciones contenidas en la Resolución 6432 del 31 de </w:t>
      </w:r>
      <w:r>
        <w:rPr>
          <w:rFonts w:ascii="Verdana" w:eastAsia="Verdana" w:hAnsi="Verdana" w:cs="Verdana"/>
          <w:sz w:val="22"/>
          <w:szCs w:val="22"/>
        </w:rPr>
        <w:lastRenderedPageBreak/>
        <w:t>diciembre de 2024 que no fueron objeto de la presente modificación, continúan incólumes.</w:t>
      </w:r>
    </w:p>
    <w:p w14:paraId="04D573FD" w14:textId="77777777" w:rsidR="00C7782D" w:rsidRPr="00AC0CCF" w:rsidRDefault="00000000">
      <w:pPr>
        <w:jc w:val="center"/>
        <w:rPr>
          <w:rFonts w:ascii="Verdana" w:eastAsia="Verdana" w:hAnsi="Verdana" w:cs="Verdana"/>
          <w:b/>
          <w:bCs/>
          <w:sz w:val="22"/>
          <w:szCs w:val="22"/>
        </w:rPr>
      </w:pPr>
      <w:r w:rsidRPr="00AC0CCF">
        <w:rPr>
          <w:rFonts w:ascii="Verdana" w:eastAsia="Verdana" w:hAnsi="Verdana" w:cs="Verdana"/>
          <w:b/>
          <w:bCs/>
          <w:sz w:val="22"/>
          <w:szCs w:val="22"/>
        </w:rPr>
        <w:t>COMUNÍQUESE Y CÚMPLASE</w:t>
      </w:r>
    </w:p>
    <w:p w14:paraId="0BCF698F" w14:textId="77777777" w:rsidR="00C7782D" w:rsidRDefault="00000000">
      <w:pPr>
        <w:jc w:val="center"/>
        <w:rPr>
          <w:rFonts w:ascii="Verdana" w:eastAsia="Verdana" w:hAnsi="Verdana" w:cs="Verdana"/>
          <w:sz w:val="22"/>
          <w:szCs w:val="22"/>
        </w:rPr>
      </w:pPr>
      <w:r>
        <w:rPr>
          <w:rFonts w:ascii="Verdana" w:eastAsia="Verdana" w:hAnsi="Verdana" w:cs="Verdana"/>
          <w:sz w:val="22"/>
          <w:szCs w:val="22"/>
        </w:rPr>
        <w:t>Dada en Bogotá, D.C. a los 31 días de diciembre de 2025</w:t>
      </w:r>
    </w:p>
    <w:p w14:paraId="2F1152B7" w14:textId="77777777" w:rsidR="00C7782D" w:rsidRDefault="00000000">
      <w:pPr>
        <w:jc w:val="center"/>
        <w:rPr>
          <w:rFonts w:ascii="Verdana" w:eastAsia="Verdana" w:hAnsi="Verdana" w:cs="Verdana"/>
          <w:b/>
          <w:bCs/>
          <w:sz w:val="22"/>
          <w:szCs w:val="22"/>
        </w:rPr>
      </w:pPr>
      <w:r>
        <w:rPr>
          <w:rFonts w:ascii="Verdana" w:eastAsia="Verdana" w:hAnsi="Verdana" w:cs="Verdana"/>
          <w:b/>
          <w:bCs/>
          <w:sz w:val="22"/>
          <w:szCs w:val="22"/>
        </w:rPr>
        <w:t>ADRIANA VELASQUEZ LASPRILLA</w:t>
      </w:r>
    </w:p>
    <w:p w14:paraId="469F000F" w14:textId="1869576C" w:rsidR="00C7782D" w:rsidRDefault="00000000">
      <w:pPr>
        <w:jc w:val="center"/>
        <w:rPr>
          <w:rFonts w:ascii="Verdana" w:eastAsia="Verdana" w:hAnsi="Verdana" w:cs="Verdana"/>
          <w:sz w:val="22"/>
          <w:szCs w:val="22"/>
        </w:rPr>
      </w:pPr>
      <w:r>
        <w:rPr>
          <w:rFonts w:ascii="Verdana" w:eastAsia="Verdana" w:hAnsi="Verdana" w:cs="Verdana"/>
          <w:sz w:val="22"/>
          <w:szCs w:val="22"/>
        </w:rPr>
        <w:t>DIRECTORA GENERAL</w:t>
      </w:r>
      <w:r w:rsidR="00AC0CCF">
        <w:rPr>
          <w:rFonts w:ascii="Verdana" w:eastAsia="Verdana" w:hAnsi="Verdana" w:cs="Verdana"/>
          <w:sz w:val="22"/>
          <w:szCs w:val="22"/>
        </w:rPr>
        <w:t xml:space="preserve"> (E)</w:t>
      </w:r>
    </w:p>
    <w:sectPr w:rsidR="00C7782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960A1A7-C5C0-4614-B930-468C7259C869}"/>
    <w:embedItalic r:id="rId2" w:fontKey="{25C909C0-7591-4414-9547-1F17D58286F0}"/>
  </w:font>
  <w:font w:name="Play">
    <w:charset w:val="00"/>
    <w:family w:val="auto"/>
    <w:pitch w:val="default"/>
    <w:embedRegular r:id="rId3" w:fontKey="{A8D6B258-ADCF-426F-8459-B07612CA078B}"/>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0F7FA155-8787-46F8-8C30-F43AF22A7E34}"/>
  </w:font>
  <w:font w:name="Verdana">
    <w:panose1 w:val="020B0604030504040204"/>
    <w:charset w:val="00"/>
    <w:family w:val="swiss"/>
    <w:pitch w:val="variable"/>
    <w:sig w:usb0="A00006FF" w:usb1="4000205B" w:usb2="00000010" w:usb3="00000000" w:csb0="0000019F" w:csb1="00000000"/>
    <w:embedRegular r:id="rId5" w:fontKey="{994F2ED2-B2DF-483D-93EA-DD6AD837FF05}"/>
    <w:embedBold r:id="rId6" w:fontKey="{58C36AB2-CF86-43F7-8F45-4A6D886E36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2D"/>
    <w:rsid w:val="007127B7"/>
    <w:rsid w:val="00AC0CCF"/>
    <w:rsid w:val="00C778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1093"/>
  <w15:docId w15:val="{362F65AC-DA3E-4DC1-A4EE-ABBF5B40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B111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11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11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B111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B111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B111CC"/>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B111CC"/>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B111CC"/>
    <w:rPr>
      <w:rFonts w:eastAsiaTheme="majorEastAsia" w:cstheme="majorBidi"/>
      <w:color w:val="0F4761" w:themeColor="accent1" w:themeShade="BF"/>
    </w:rPr>
  </w:style>
  <w:style w:type="character" w:customStyle="1" w:styleId="Ttulo6Car">
    <w:name w:val="Título 6 Car"/>
    <w:basedOn w:val="Fuentedeprrafopredeter"/>
    <w:uiPriority w:val="9"/>
    <w:semiHidden/>
    <w:rsid w:val="00B111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11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11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11CC"/>
    <w:rPr>
      <w:rFonts w:eastAsiaTheme="majorEastAsia" w:cstheme="majorBidi"/>
      <w:color w:val="272727" w:themeColor="text1" w:themeTint="D8"/>
    </w:rPr>
  </w:style>
  <w:style w:type="character" w:customStyle="1" w:styleId="TtuloCar">
    <w:name w:val="Título Car"/>
    <w:basedOn w:val="Fuentedeprrafopredeter"/>
    <w:uiPriority w:val="10"/>
    <w:rsid w:val="00B111CC"/>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B111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11CC"/>
    <w:pPr>
      <w:spacing w:before="160"/>
      <w:jc w:val="center"/>
    </w:pPr>
    <w:rPr>
      <w:i/>
      <w:iCs/>
      <w:color w:val="404040" w:themeColor="text1" w:themeTint="BF"/>
    </w:rPr>
  </w:style>
  <w:style w:type="character" w:customStyle="1" w:styleId="CitaCar">
    <w:name w:val="Cita Car"/>
    <w:basedOn w:val="Fuentedeprrafopredeter"/>
    <w:link w:val="Cita"/>
    <w:uiPriority w:val="29"/>
    <w:rsid w:val="00B111CC"/>
    <w:rPr>
      <w:i/>
      <w:iCs/>
      <w:color w:val="404040" w:themeColor="text1" w:themeTint="BF"/>
    </w:rPr>
  </w:style>
  <w:style w:type="paragraph" w:styleId="Prrafodelista">
    <w:name w:val="List Paragraph"/>
    <w:basedOn w:val="Normal"/>
    <w:uiPriority w:val="34"/>
    <w:qFormat/>
    <w:rsid w:val="00B111CC"/>
    <w:pPr>
      <w:ind w:left="720"/>
      <w:contextualSpacing/>
    </w:pPr>
  </w:style>
  <w:style w:type="character" w:styleId="nfasisintenso">
    <w:name w:val="Intense Emphasis"/>
    <w:basedOn w:val="Fuentedeprrafopredeter"/>
    <w:uiPriority w:val="21"/>
    <w:qFormat/>
    <w:rsid w:val="00B111CC"/>
    <w:rPr>
      <w:i/>
      <w:iCs/>
      <w:color w:val="0F4761" w:themeColor="accent1" w:themeShade="BF"/>
    </w:rPr>
  </w:style>
  <w:style w:type="paragraph" w:styleId="Citadestacada">
    <w:name w:val="Intense Quote"/>
    <w:basedOn w:val="Normal"/>
    <w:next w:val="Normal"/>
    <w:link w:val="CitadestacadaCar"/>
    <w:uiPriority w:val="30"/>
    <w:qFormat/>
    <w:rsid w:val="00B11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11CC"/>
    <w:rPr>
      <w:i/>
      <w:iCs/>
      <w:color w:val="0F4761" w:themeColor="accent1" w:themeShade="BF"/>
    </w:rPr>
  </w:style>
  <w:style w:type="character" w:styleId="Referenciaintensa">
    <w:name w:val="Intense Reference"/>
    <w:basedOn w:val="Fuentedeprrafopredeter"/>
    <w:uiPriority w:val="32"/>
    <w:qFormat/>
    <w:rsid w:val="00B111CC"/>
    <w:rPr>
      <w:b/>
      <w:bCs/>
      <w:smallCaps/>
      <w:color w:val="0F4761" w:themeColor="accent1" w:themeShade="BF"/>
      <w:spacing w:val="5"/>
    </w:rPr>
  </w:style>
  <w:style w:type="paragraph" w:styleId="Sinespaciado">
    <w:name w:val="No Spacing"/>
    <w:uiPriority w:val="1"/>
    <w:qFormat/>
    <w:rsid w:val="00B111CC"/>
    <w:pPr>
      <w:spacing w:after="0" w:line="240" w:lineRule="auto"/>
    </w:pPr>
  </w:style>
  <w:style w:type="table" w:styleId="Tablaconcuadrcula">
    <w:name w:val="Table Grid"/>
    <w:basedOn w:val="Tablanormal"/>
    <w:uiPriority w:val="39"/>
    <w:rsid w:val="00B1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64F7"/>
    <w:pPr>
      <w:spacing w:before="100" w:beforeAutospacing="1" w:after="100" w:afterAutospacing="1" w:line="240" w:lineRule="auto"/>
    </w:pPr>
    <w:rPr>
      <w:rFonts w:ascii="Times New Roman" w:eastAsia="Times New Roman" w:hAnsi="Times New Roman" w:cs="Times New Roman"/>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ijapZ71iDJ0h12LAFCHoKkA+w==">CgMxLjA4AHIhMW1aUHRRLVlNTnJ6NUQtQUZlNmh4bFpnMHctRmYteGtC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35458D-3CDE-4852-A58E-4497C557098D}"/>
</file>

<file path=customXml/itemProps3.xml><?xml version="1.0" encoding="utf-8"?>
<ds:datastoreItem xmlns:ds="http://schemas.openxmlformats.org/officeDocument/2006/customXml" ds:itemID="{127AF000-8626-41CD-9DCF-7C54E98FE5DF}"/>
</file>

<file path=customXml/itemProps4.xml><?xml version="1.0" encoding="utf-8"?>
<ds:datastoreItem xmlns:ds="http://schemas.openxmlformats.org/officeDocument/2006/customXml" ds:itemID="{0BFB94EF-B0E7-4A4C-83C9-92839B21BC33}"/>
</file>

<file path=docProps/app.xml><?xml version="1.0" encoding="utf-8"?>
<Properties xmlns="http://schemas.openxmlformats.org/officeDocument/2006/extended-properties" xmlns:vt="http://schemas.openxmlformats.org/officeDocument/2006/docPropsVTypes">
  <Template>Normal</Template>
  <TotalTime>2</TotalTime>
  <Pages>1</Pages>
  <Words>1201</Words>
  <Characters>6611</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3</cp:revision>
  <dcterms:created xsi:type="dcterms:W3CDTF">2026-04-04T02:53:00Z</dcterms:created>
  <dcterms:modified xsi:type="dcterms:W3CDTF">2026-04-09T14:05:00Z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