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91C2" w14:textId="6E3715D5" w:rsidR="003061F4" w:rsidRPr="003061F4" w:rsidRDefault="003061F4" w:rsidP="003061F4">
      <w:pPr>
        <w:jc w:val="center"/>
        <w:rPr>
          <w:rFonts w:ascii="Verdana" w:hAnsi="Verdana"/>
          <w:b/>
          <w:bCs/>
          <w:sz w:val="22"/>
          <w:szCs w:val="22"/>
        </w:rPr>
      </w:pPr>
      <w:r w:rsidRPr="00932279">
        <w:rPr>
          <w:rFonts w:ascii="Verdana" w:hAnsi="Verdana"/>
          <w:b/>
          <w:bCs/>
          <w:sz w:val="22"/>
          <w:szCs w:val="22"/>
        </w:rPr>
        <w:t>RESOLUCIÓN 7999 DE 2013</w:t>
      </w:r>
    </w:p>
    <w:p w14:paraId="63C568FC" w14:textId="7F6B37AC" w:rsidR="002F4B42" w:rsidRPr="003061F4" w:rsidRDefault="002F4B42" w:rsidP="00932279">
      <w:pPr>
        <w:rPr>
          <w:rFonts w:ascii="Verdana" w:hAnsi="Verdana"/>
          <w:sz w:val="20"/>
          <w:szCs w:val="20"/>
        </w:rPr>
      </w:pPr>
      <w:r w:rsidRPr="003061F4">
        <w:rPr>
          <w:rFonts w:ascii="Verdana" w:hAnsi="Verdana"/>
          <w:sz w:val="20"/>
          <w:szCs w:val="20"/>
        </w:rPr>
        <w:t>Fecha de Expedición: 1</w:t>
      </w:r>
      <w:r w:rsidR="003061F4">
        <w:rPr>
          <w:rFonts w:ascii="Verdana" w:hAnsi="Verdana"/>
          <w:sz w:val="20"/>
          <w:szCs w:val="20"/>
        </w:rPr>
        <w:t>7</w:t>
      </w:r>
      <w:r w:rsidRPr="003061F4">
        <w:rPr>
          <w:rFonts w:ascii="Verdana" w:hAnsi="Verdana"/>
          <w:sz w:val="20"/>
          <w:szCs w:val="20"/>
        </w:rPr>
        <w:t xml:space="preserve"> de septiembre de 2013</w:t>
      </w:r>
    </w:p>
    <w:p w14:paraId="27597114" w14:textId="21AB792B" w:rsidR="002F4B42" w:rsidRPr="003061F4" w:rsidRDefault="002F4B42" w:rsidP="00932279">
      <w:pPr>
        <w:rPr>
          <w:rFonts w:ascii="Verdana" w:hAnsi="Verdana"/>
          <w:sz w:val="20"/>
          <w:szCs w:val="20"/>
        </w:rPr>
      </w:pPr>
      <w:r w:rsidRPr="003061F4">
        <w:rPr>
          <w:rFonts w:ascii="Verdana" w:hAnsi="Verdana"/>
          <w:sz w:val="20"/>
          <w:szCs w:val="20"/>
        </w:rPr>
        <w:t xml:space="preserve">Fecha de entrada en vigencia: </w:t>
      </w:r>
      <w:r w:rsidR="003061F4">
        <w:rPr>
          <w:rFonts w:ascii="Verdana" w:hAnsi="Verdana"/>
          <w:sz w:val="20"/>
          <w:szCs w:val="20"/>
        </w:rPr>
        <w:t>30</w:t>
      </w:r>
      <w:r w:rsidRPr="003061F4">
        <w:rPr>
          <w:rFonts w:ascii="Verdana" w:hAnsi="Verdana"/>
          <w:sz w:val="20"/>
          <w:szCs w:val="20"/>
        </w:rPr>
        <w:t xml:space="preserve"> de septiembre de 2013</w:t>
      </w:r>
    </w:p>
    <w:p w14:paraId="2D53C477" w14:textId="77777777" w:rsidR="002F4B42" w:rsidRPr="003061F4" w:rsidRDefault="002F4B42" w:rsidP="00932279">
      <w:pPr>
        <w:rPr>
          <w:rFonts w:ascii="Verdana" w:hAnsi="Verdana"/>
          <w:sz w:val="20"/>
          <w:szCs w:val="20"/>
        </w:rPr>
      </w:pPr>
      <w:r w:rsidRPr="003061F4">
        <w:rPr>
          <w:rFonts w:ascii="Verdana" w:hAnsi="Verdana"/>
          <w:sz w:val="20"/>
          <w:szCs w:val="20"/>
        </w:rPr>
        <w:t>Estado de la vigencia: vigente</w:t>
      </w:r>
    </w:p>
    <w:p w14:paraId="01A4C58D" w14:textId="77777777" w:rsidR="002F4B42" w:rsidRPr="003061F4" w:rsidRDefault="002F4B42" w:rsidP="00932279">
      <w:pPr>
        <w:rPr>
          <w:rFonts w:ascii="Verdana" w:hAnsi="Verdana"/>
          <w:sz w:val="20"/>
          <w:szCs w:val="20"/>
        </w:rPr>
      </w:pPr>
    </w:p>
    <w:p w14:paraId="293B6E2B" w14:textId="17BE3BEE" w:rsidR="002F4B42" w:rsidRPr="003061F4" w:rsidRDefault="002F4B42" w:rsidP="00932279">
      <w:pPr>
        <w:rPr>
          <w:rFonts w:ascii="Verdana" w:hAnsi="Verdana"/>
          <w:sz w:val="20"/>
          <w:szCs w:val="20"/>
        </w:rPr>
      </w:pPr>
      <w:r w:rsidRPr="003061F4">
        <w:rPr>
          <w:rFonts w:ascii="Verdana" w:hAnsi="Verdana"/>
          <w:sz w:val="20"/>
          <w:szCs w:val="20"/>
        </w:rPr>
        <w:t xml:space="preserve">Fecha de publicación en Diario Oficial: </w:t>
      </w:r>
      <w:r w:rsidR="001F146A" w:rsidRPr="001F146A">
        <w:rPr>
          <w:rFonts w:ascii="Verdana" w:hAnsi="Verdana"/>
          <w:sz w:val="20"/>
          <w:szCs w:val="20"/>
        </w:rPr>
        <w:t>30 de septiembre de 2013</w:t>
      </w:r>
    </w:p>
    <w:p w14:paraId="42C6030E" w14:textId="57412C61" w:rsidR="00205005" w:rsidRPr="003061F4" w:rsidRDefault="002F4B42" w:rsidP="00932279">
      <w:pPr>
        <w:rPr>
          <w:rFonts w:ascii="Verdana" w:hAnsi="Verdana"/>
          <w:sz w:val="20"/>
          <w:szCs w:val="20"/>
        </w:rPr>
      </w:pPr>
      <w:r w:rsidRPr="003061F4">
        <w:rPr>
          <w:rFonts w:ascii="Verdana" w:hAnsi="Verdana"/>
          <w:sz w:val="20"/>
          <w:szCs w:val="20"/>
        </w:rPr>
        <w:t xml:space="preserve">Número del Diario Oficial: </w:t>
      </w:r>
      <w:r w:rsidR="001F146A" w:rsidRPr="001F146A">
        <w:rPr>
          <w:rFonts w:ascii="Verdana" w:hAnsi="Verdana"/>
          <w:sz w:val="20"/>
          <w:szCs w:val="20"/>
        </w:rPr>
        <w:t>No. 48.929</w:t>
      </w:r>
    </w:p>
    <w:p w14:paraId="2A43AC40" w14:textId="313E2F54" w:rsidR="00932279" w:rsidRPr="00932279" w:rsidRDefault="00932279" w:rsidP="00932279">
      <w:pPr>
        <w:jc w:val="center"/>
        <w:rPr>
          <w:rFonts w:ascii="Verdana" w:hAnsi="Verdana"/>
          <w:b/>
          <w:bCs/>
          <w:sz w:val="22"/>
          <w:szCs w:val="22"/>
        </w:rPr>
      </w:pPr>
      <w:r w:rsidRPr="00932279">
        <w:rPr>
          <w:rFonts w:ascii="Verdana" w:hAnsi="Verdana"/>
          <w:b/>
          <w:bCs/>
          <w:sz w:val="22"/>
          <w:szCs w:val="22"/>
        </w:rPr>
        <w:t>RESOLUCIÓN 7999 DE 2013</w:t>
      </w:r>
    </w:p>
    <w:p w14:paraId="3D7ABB4A" w14:textId="5E509AF3" w:rsidR="00932279" w:rsidRPr="00932279" w:rsidRDefault="00932279" w:rsidP="00932279">
      <w:pPr>
        <w:jc w:val="center"/>
        <w:rPr>
          <w:rFonts w:ascii="Verdana" w:hAnsi="Verdana"/>
          <w:b/>
          <w:bCs/>
          <w:sz w:val="22"/>
          <w:szCs w:val="22"/>
        </w:rPr>
      </w:pPr>
      <w:r w:rsidRPr="00932279">
        <w:rPr>
          <w:rFonts w:ascii="Verdana" w:hAnsi="Verdana"/>
          <w:b/>
          <w:bCs/>
          <w:sz w:val="22"/>
          <w:szCs w:val="22"/>
        </w:rPr>
        <w:t>(</w:t>
      </w:r>
      <w:r>
        <w:rPr>
          <w:rFonts w:ascii="Verdana" w:hAnsi="Verdana"/>
          <w:b/>
          <w:bCs/>
          <w:sz w:val="22"/>
          <w:szCs w:val="22"/>
        </w:rPr>
        <w:t xml:space="preserve">17 de </w:t>
      </w:r>
      <w:r w:rsidRPr="00932279">
        <w:rPr>
          <w:rFonts w:ascii="Verdana" w:hAnsi="Verdana"/>
          <w:b/>
          <w:bCs/>
          <w:sz w:val="22"/>
          <w:szCs w:val="22"/>
        </w:rPr>
        <w:t>septiembre)</w:t>
      </w:r>
    </w:p>
    <w:p w14:paraId="53C97876" w14:textId="2170735B" w:rsidR="00932279" w:rsidRPr="00932279" w:rsidRDefault="00932279" w:rsidP="00932279">
      <w:pPr>
        <w:jc w:val="center"/>
        <w:rPr>
          <w:rFonts w:ascii="Verdana" w:hAnsi="Verdana"/>
          <w:b/>
          <w:bCs/>
          <w:sz w:val="22"/>
          <w:szCs w:val="22"/>
        </w:rPr>
      </w:pPr>
      <w:r w:rsidRPr="00932279">
        <w:rPr>
          <w:rFonts w:ascii="Verdana" w:hAnsi="Verdana"/>
          <w:b/>
          <w:bCs/>
          <w:sz w:val="22"/>
          <w:szCs w:val="22"/>
        </w:rPr>
        <w:t>INSTITUTO COLOMBIANO DE BIENESTAR FAMILIAR</w:t>
      </w:r>
    </w:p>
    <w:p w14:paraId="0DA960BF" w14:textId="0A0666FE" w:rsidR="00932279" w:rsidRPr="00932279" w:rsidRDefault="00932279" w:rsidP="00932279">
      <w:pPr>
        <w:jc w:val="center"/>
        <w:rPr>
          <w:rFonts w:ascii="Verdana" w:hAnsi="Verdana"/>
          <w:b/>
          <w:bCs/>
          <w:sz w:val="22"/>
          <w:szCs w:val="22"/>
        </w:rPr>
      </w:pPr>
      <w:r w:rsidRPr="00932279">
        <w:rPr>
          <w:rFonts w:ascii="Verdana" w:hAnsi="Verdana"/>
          <w:b/>
          <w:bCs/>
          <w:sz w:val="22"/>
          <w:szCs w:val="22"/>
        </w:rPr>
        <w:t>DIRECCIÓN GENERAL</w:t>
      </w:r>
    </w:p>
    <w:p w14:paraId="35F137F5" w14:textId="0738B17E" w:rsidR="00932279" w:rsidRPr="00932279" w:rsidRDefault="00932279" w:rsidP="00932279">
      <w:pPr>
        <w:jc w:val="center"/>
        <w:rPr>
          <w:rFonts w:ascii="Verdana" w:hAnsi="Verdana"/>
          <w:sz w:val="22"/>
          <w:szCs w:val="22"/>
        </w:rPr>
      </w:pPr>
      <w:r>
        <w:rPr>
          <w:rFonts w:ascii="Verdana" w:hAnsi="Verdana"/>
          <w:sz w:val="22"/>
          <w:szCs w:val="22"/>
        </w:rPr>
        <w:t>“</w:t>
      </w:r>
      <w:r w:rsidRPr="00932279">
        <w:rPr>
          <w:rFonts w:ascii="Verdana" w:hAnsi="Verdana"/>
          <w:sz w:val="22"/>
          <w:szCs w:val="22"/>
        </w:rPr>
        <w:t>Por la cual se actualiza el Plan de Enajenación Onerosa del ICBF.</w:t>
      </w:r>
      <w:r>
        <w:rPr>
          <w:rFonts w:ascii="Verdana" w:hAnsi="Verdana"/>
          <w:sz w:val="22"/>
          <w:szCs w:val="22"/>
        </w:rPr>
        <w:t>”</w:t>
      </w:r>
    </w:p>
    <w:p w14:paraId="7A8F0C37" w14:textId="60483513" w:rsidR="00932279" w:rsidRPr="00932279" w:rsidRDefault="00932279" w:rsidP="00932279">
      <w:pPr>
        <w:jc w:val="center"/>
        <w:rPr>
          <w:rFonts w:ascii="Verdana" w:hAnsi="Verdana"/>
          <w:b/>
          <w:bCs/>
          <w:sz w:val="22"/>
          <w:szCs w:val="22"/>
        </w:rPr>
      </w:pPr>
      <w:r w:rsidRPr="00932279">
        <w:rPr>
          <w:rFonts w:ascii="Verdana" w:hAnsi="Verdana"/>
          <w:b/>
          <w:bCs/>
          <w:sz w:val="22"/>
          <w:szCs w:val="22"/>
        </w:rPr>
        <w:t>LA SUBDIRECTORA GENERAL ENCARGADA DE LAS FUNCIONES DEL DESPACHO DE LA DIRECCIÓN GENERAL DEL INSTITUTO COLOMBIANO DE BIENESTAR FAMILIAR CECILIA DE LA FUENTE DE LLERAS,</w:t>
      </w:r>
    </w:p>
    <w:p w14:paraId="627F5694" w14:textId="76BDC105" w:rsidR="00932279" w:rsidRPr="00932279" w:rsidRDefault="00932279" w:rsidP="00932279">
      <w:pPr>
        <w:jc w:val="center"/>
        <w:rPr>
          <w:rFonts w:ascii="Verdana" w:hAnsi="Verdana"/>
          <w:sz w:val="22"/>
          <w:szCs w:val="22"/>
        </w:rPr>
      </w:pPr>
      <w:r w:rsidRPr="00932279">
        <w:rPr>
          <w:rFonts w:ascii="Verdana" w:hAnsi="Verdana"/>
          <w:sz w:val="22"/>
          <w:szCs w:val="22"/>
        </w:rPr>
        <w:t>en uso de sus facultades legales y estatutarias, y en especial las conferidas por los artículos 62 y 66 de la Ley 75 de 1968, 39 de la Ley 7ª de 1979, y 8o de la Ley 708 de 2001, y el Decreto 4054 de 2011,</w:t>
      </w:r>
    </w:p>
    <w:p w14:paraId="4A295D35" w14:textId="77777777" w:rsidR="00932279" w:rsidRPr="00932279" w:rsidRDefault="00932279" w:rsidP="00932279">
      <w:pPr>
        <w:jc w:val="center"/>
        <w:rPr>
          <w:rFonts w:ascii="Verdana" w:hAnsi="Verdana"/>
          <w:b/>
          <w:bCs/>
          <w:sz w:val="22"/>
          <w:szCs w:val="22"/>
        </w:rPr>
      </w:pPr>
      <w:r w:rsidRPr="00932279">
        <w:rPr>
          <w:rFonts w:ascii="Verdana" w:hAnsi="Verdana"/>
          <w:b/>
          <w:bCs/>
          <w:sz w:val="22"/>
          <w:szCs w:val="22"/>
        </w:rPr>
        <w:t>CONSIDERANDO:</w:t>
      </w:r>
    </w:p>
    <w:p w14:paraId="39045F80" w14:textId="3D9B55CD" w:rsidR="00932279" w:rsidRPr="00932279"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Que los artículos 62 y 66 de la Ley 75 de 1968 y 39 de la Ley 7ª de 1979 determinan que el ICBF es el heredero del quinto orden sucesoral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14DD8D08" w14:textId="7E198DB8" w:rsidR="00932279" w:rsidRPr="00932279"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Que el artículo 33</w:t>
      </w:r>
      <w:r w:rsidR="00A91028">
        <w:rPr>
          <w:rStyle w:val="Refdenotaalfinal"/>
          <w:rFonts w:ascii="Verdana" w:hAnsi="Verdana"/>
          <w:sz w:val="22"/>
          <w:szCs w:val="22"/>
        </w:rPr>
        <w:endnoteReference w:id="1"/>
      </w:r>
      <w:r w:rsidRPr="00932279">
        <w:rPr>
          <w:rFonts w:ascii="Verdana" w:hAnsi="Verdana"/>
          <w:sz w:val="22"/>
          <w:szCs w:val="22"/>
        </w:rPr>
        <w:t xml:space="preserve"> de la Ley 9ª de 1989 dispuso que las Entidades Públicas que hayan adquirido bienes a cualquier título deberán aplicarlos a los fines para los cuales fueron adquiridos o en su defecto enajenarlos.</w:t>
      </w:r>
    </w:p>
    <w:p w14:paraId="289A5EC5" w14:textId="48E8C6D8" w:rsidR="00932279" w:rsidRPr="00932279"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Que el Instituto debe promover la venta de los inmuebles que no necesita para su uso, cualquiera que haya sido el título o modo de adquisición, por lo que adoptó su Plan de Enajenación Onerosa mediante la Resolución número 783 del 20 de abril de 2007, el cual se debe actualizar bimestralmente, conforme con lo dispuesto por el artículo 21 del Decreto 4054 de 2011.</w:t>
      </w:r>
    </w:p>
    <w:p w14:paraId="45327F1D" w14:textId="77777777" w:rsidR="00932279" w:rsidRPr="00932279"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 xml:space="preserve">Que de acuerdo con el inciso 2o del artículo 21 del Decreto 4054 de 2011, la entidad identificará los activos inmobiliarios que no sean requeridos </w:t>
      </w:r>
      <w:r w:rsidRPr="00932279">
        <w:rPr>
          <w:rFonts w:ascii="Verdana" w:hAnsi="Verdana"/>
          <w:sz w:val="22"/>
          <w:szCs w:val="22"/>
        </w:rPr>
        <w:lastRenderedPageBreak/>
        <w:t>para el ejercicio de sus funciones, excluyendo aquellos que: (i) estén ubicados en zonas declaradas de alto riesgo no mitigable, identificadas en el Plan de Ordenamiento Territorial y en los instrumentos que lo desarrollen o complementen, o en aquellas que de acuerdo a estudios geotécnicos que en cualquier momento adopte la Administración Municipal, Distrital o el Departamento Archipiélago de San Andrés, Providencia y Santa Catalina; (ii) no sean aptos para la construcción y los que estén ubicados en zonas de cantera que hayan sufrido grave deterioro físico; (iii) tengan la naturaleza de bienes inmuebles fiscales con vocación para la construcción de vivienda de interés social urbana o rural, los cuales deben ser reportados al Ministerio de Vivienda, Ciudad y Territorio, o al Ministerio de Agricultura y Desarrollo Rural, siempre que se cumpla con lo establecido en el artículo 1o del Decreto 3111 de 2004 y el artículo 1o del Decreto 724 de 2002, o (iv) los contemplados en el inciso 1o del artículo 1o de la Ley 708 de 2001.</w:t>
      </w:r>
    </w:p>
    <w:p w14:paraId="6810C599" w14:textId="6ADACCDC" w:rsidR="00932279" w:rsidRPr="00932279"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Que el Comité de Bienes de la Sede de la Dirección General, en su sesión del 15 de mayo de 2013, recomendó la inclusión de un inmueble en el Plan de Enajenación Onerosa de la entidad por el avalúo comercial del mismo.</w:t>
      </w:r>
    </w:p>
    <w:p w14:paraId="5A3BE225" w14:textId="2EDEB713" w:rsidR="00932279" w:rsidRPr="00932279"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Que mediante Resolución número 5920 de 2012 se determinaron los criterios y procedimientos para la fijación del precio mínimo de venta de los bienes inmuebles de propiedad del ICBF que deban enajenarse por no ser necesarios para el uso de la Entidad.</w:t>
      </w:r>
    </w:p>
    <w:p w14:paraId="465F826D" w14:textId="77777777" w:rsidR="00932279" w:rsidRPr="00932279"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Que el inmueble que ingresa al Plan de Enajenación Onerosa se relaciona a continuación:</w:t>
      </w:r>
    </w:p>
    <w:tbl>
      <w:tblPr>
        <w:tblStyle w:val="Tablaconcuadrcula"/>
        <w:tblW w:w="5050" w:type="pct"/>
        <w:tblLook w:val="04A0" w:firstRow="1" w:lastRow="0" w:firstColumn="1" w:lastColumn="0" w:noHBand="0" w:noVBand="1"/>
      </w:tblPr>
      <w:tblGrid>
        <w:gridCol w:w="872"/>
        <w:gridCol w:w="1294"/>
        <w:gridCol w:w="1398"/>
        <w:gridCol w:w="1372"/>
        <w:gridCol w:w="1359"/>
        <w:gridCol w:w="1735"/>
        <w:gridCol w:w="1468"/>
        <w:gridCol w:w="2355"/>
        <w:gridCol w:w="1535"/>
      </w:tblGrid>
      <w:tr w:rsidR="003C55CE" w:rsidRPr="003C55CE" w14:paraId="392CD56A" w14:textId="77777777" w:rsidTr="003C55CE">
        <w:tc>
          <w:tcPr>
            <w:tcW w:w="250" w:type="pct"/>
            <w:hideMark/>
          </w:tcPr>
          <w:p w14:paraId="6BBBAD94"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Núm.</w:t>
            </w:r>
          </w:p>
        </w:tc>
        <w:tc>
          <w:tcPr>
            <w:tcW w:w="500" w:type="pct"/>
            <w:hideMark/>
          </w:tcPr>
          <w:p w14:paraId="19FEF609"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Regional</w:t>
            </w:r>
          </w:p>
        </w:tc>
        <w:tc>
          <w:tcPr>
            <w:tcW w:w="550" w:type="pct"/>
            <w:hideMark/>
          </w:tcPr>
          <w:p w14:paraId="65318711"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Municipio</w:t>
            </w:r>
          </w:p>
        </w:tc>
        <w:tc>
          <w:tcPr>
            <w:tcW w:w="550" w:type="pct"/>
            <w:hideMark/>
          </w:tcPr>
          <w:p w14:paraId="3817822D"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Dirección</w:t>
            </w:r>
          </w:p>
        </w:tc>
        <w:tc>
          <w:tcPr>
            <w:tcW w:w="500" w:type="pct"/>
            <w:hideMark/>
          </w:tcPr>
          <w:p w14:paraId="78E9BA82"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Tipo de inmueble</w:t>
            </w:r>
          </w:p>
        </w:tc>
        <w:tc>
          <w:tcPr>
            <w:tcW w:w="650" w:type="pct"/>
            <w:hideMark/>
          </w:tcPr>
          <w:p w14:paraId="39A4F5FA"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Núm. Matrícula Inmobiliaria</w:t>
            </w:r>
          </w:p>
        </w:tc>
        <w:tc>
          <w:tcPr>
            <w:tcW w:w="550" w:type="pct"/>
            <w:hideMark/>
          </w:tcPr>
          <w:p w14:paraId="087D4F44"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 de Propiedad</w:t>
            </w:r>
          </w:p>
        </w:tc>
        <w:tc>
          <w:tcPr>
            <w:tcW w:w="850" w:type="pct"/>
            <w:hideMark/>
          </w:tcPr>
          <w:p w14:paraId="4A569634"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Avalúo Comercial</w:t>
            </w:r>
          </w:p>
        </w:tc>
        <w:tc>
          <w:tcPr>
            <w:tcW w:w="550" w:type="pct"/>
            <w:hideMark/>
          </w:tcPr>
          <w:p w14:paraId="76CD3310" w14:textId="77777777" w:rsidR="003C55CE" w:rsidRPr="003C55CE" w:rsidRDefault="003C55CE" w:rsidP="003C55CE">
            <w:pPr>
              <w:spacing w:after="160"/>
              <w:rPr>
                <w:rFonts w:ascii="Verdana" w:hAnsi="Verdana"/>
                <w:sz w:val="22"/>
                <w:szCs w:val="22"/>
              </w:rPr>
            </w:pPr>
            <w:r w:rsidRPr="003C55CE">
              <w:rPr>
                <w:rFonts w:ascii="Verdana" w:hAnsi="Verdana"/>
                <w:b/>
                <w:bCs/>
                <w:sz w:val="22"/>
                <w:szCs w:val="22"/>
              </w:rPr>
              <w:t>Fecha Avalúo</w:t>
            </w:r>
          </w:p>
        </w:tc>
      </w:tr>
      <w:tr w:rsidR="003C55CE" w:rsidRPr="003C55CE" w14:paraId="4F3CC88B" w14:textId="77777777" w:rsidTr="003C55CE">
        <w:tc>
          <w:tcPr>
            <w:tcW w:w="250" w:type="pct"/>
            <w:hideMark/>
          </w:tcPr>
          <w:p w14:paraId="08040CDE" w14:textId="77777777" w:rsidR="003C55CE" w:rsidRPr="003C55CE" w:rsidRDefault="003C55CE" w:rsidP="003C55CE">
            <w:pPr>
              <w:spacing w:after="160"/>
              <w:rPr>
                <w:rFonts w:ascii="Verdana" w:hAnsi="Verdana"/>
                <w:sz w:val="22"/>
                <w:szCs w:val="22"/>
              </w:rPr>
            </w:pPr>
            <w:r w:rsidRPr="003C55CE">
              <w:rPr>
                <w:rFonts w:ascii="Verdana" w:hAnsi="Verdana"/>
                <w:sz w:val="22"/>
                <w:szCs w:val="22"/>
              </w:rPr>
              <w:t>1</w:t>
            </w:r>
          </w:p>
        </w:tc>
        <w:tc>
          <w:tcPr>
            <w:tcW w:w="500" w:type="pct"/>
            <w:hideMark/>
          </w:tcPr>
          <w:p w14:paraId="1E6E4D75" w14:textId="77777777" w:rsidR="003C55CE" w:rsidRPr="003C55CE" w:rsidRDefault="003C55CE" w:rsidP="003C55CE">
            <w:pPr>
              <w:spacing w:after="160"/>
              <w:rPr>
                <w:rFonts w:ascii="Verdana" w:hAnsi="Verdana"/>
                <w:sz w:val="22"/>
                <w:szCs w:val="22"/>
              </w:rPr>
            </w:pPr>
            <w:r w:rsidRPr="003C55CE">
              <w:rPr>
                <w:rFonts w:ascii="Verdana" w:hAnsi="Verdana"/>
                <w:sz w:val="22"/>
                <w:szCs w:val="22"/>
              </w:rPr>
              <w:t>Boyacá</w:t>
            </w:r>
          </w:p>
        </w:tc>
        <w:tc>
          <w:tcPr>
            <w:tcW w:w="550" w:type="pct"/>
            <w:hideMark/>
          </w:tcPr>
          <w:p w14:paraId="089E4CD0" w14:textId="77777777" w:rsidR="003C55CE" w:rsidRPr="003C55CE" w:rsidRDefault="003C55CE" w:rsidP="003C55CE">
            <w:pPr>
              <w:spacing w:after="160"/>
              <w:rPr>
                <w:rFonts w:ascii="Verdana" w:hAnsi="Verdana"/>
                <w:sz w:val="22"/>
                <w:szCs w:val="22"/>
              </w:rPr>
            </w:pPr>
            <w:r w:rsidRPr="003C55CE">
              <w:rPr>
                <w:rFonts w:ascii="Verdana" w:hAnsi="Verdana"/>
                <w:sz w:val="22"/>
                <w:szCs w:val="22"/>
              </w:rPr>
              <w:t>Duitama</w:t>
            </w:r>
          </w:p>
        </w:tc>
        <w:tc>
          <w:tcPr>
            <w:tcW w:w="550" w:type="pct"/>
            <w:hideMark/>
          </w:tcPr>
          <w:p w14:paraId="3BF569BB" w14:textId="77777777" w:rsidR="003C55CE" w:rsidRPr="003C55CE" w:rsidRDefault="003C55CE" w:rsidP="003C55CE">
            <w:pPr>
              <w:spacing w:after="160"/>
              <w:rPr>
                <w:rFonts w:ascii="Verdana" w:hAnsi="Verdana"/>
                <w:sz w:val="22"/>
                <w:szCs w:val="22"/>
              </w:rPr>
            </w:pPr>
            <w:r w:rsidRPr="003C55CE">
              <w:rPr>
                <w:rFonts w:ascii="Verdana" w:hAnsi="Verdana"/>
                <w:sz w:val="22"/>
                <w:szCs w:val="22"/>
              </w:rPr>
              <w:t>Carrera 40 núm. 20-107</w:t>
            </w:r>
          </w:p>
        </w:tc>
        <w:tc>
          <w:tcPr>
            <w:tcW w:w="500" w:type="pct"/>
            <w:hideMark/>
          </w:tcPr>
          <w:p w14:paraId="50E5FE2E" w14:textId="77777777" w:rsidR="003C55CE" w:rsidRPr="003C55CE" w:rsidRDefault="003C55CE" w:rsidP="003C55CE">
            <w:pPr>
              <w:spacing w:after="160"/>
              <w:rPr>
                <w:rFonts w:ascii="Verdana" w:hAnsi="Verdana"/>
                <w:sz w:val="22"/>
                <w:szCs w:val="22"/>
              </w:rPr>
            </w:pPr>
            <w:r w:rsidRPr="003C55CE">
              <w:rPr>
                <w:rFonts w:ascii="Verdana" w:hAnsi="Verdana"/>
                <w:sz w:val="22"/>
                <w:szCs w:val="22"/>
              </w:rPr>
              <w:t>Lote de Terreno</w:t>
            </w:r>
          </w:p>
        </w:tc>
        <w:tc>
          <w:tcPr>
            <w:tcW w:w="650" w:type="pct"/>
            <w:hideMark/>
          </w:tcPr>
          <w:p w14:paraId="2254FCFC" w14:textId="77777777" w:rsidR="003C55CE" w:rsidRPr="003C55CE" w:rsidRDefault="003C55CE" w:rsidP="003C55CE">
            <w:pPr>
              <w:spacing w:after="160"/>
              <w:rPr>
                <w:rFonts w:ascii="Verdana" w:hAnsi="Verdana"/>
                <w:sz w:val="22"/>
                <w:szCs w:val="22"/>
              </w:rPr>
            </w:pPr>
            <w:r w:rsidRPr="003C55CE">
              <w:rPr>
                <w:rFonts w:ascii="Verdana" w:hAnsi="Verdana"/>
                <w:sz w:val="22"/>
                <w:szCs w:val="22"/>
              </w:rPr>
              <w:t>074-35495</w:t>
            </w:r>
          </w:p>
        </w:tc>
        <w:tc>
          <w:tcPr>
            <w:tcW w:w="550" w:type="pct"/>
            <w:hideMark/>
          </w:tcPr>
          <w:p w14:paraId="317A13F5" w14:textId="77777777" w:rsidR="003C55CE" w:rsidRPr="003C55CE" w:rsidRDefault="003C55CE" w:rsidP="003C55CE">
            <w:pPr>
              <w:spacing w:after="160"/>
              <w:rPr>
                <w:rFonts w:ascii="Verdana" w:hAnsi="Verdana"/>
                <w:sz w:val="22"/>
                <w:szCs w:val="22"/>
              </w:rPr>
            </w:pPr>
            <w:r w:rsidRPr="003C55CE">
              <w:rPr>
                <w:rFonts w:ascii="Verdana" w:hAnsi="Verdana"/>
                <w:sz w:val="22"/>
                <w:szCs w:val="22"/>
              </w:rPr>
              <w:t>100</w:t>
            </w:r>
          </w:p>
        </w:tc>
        <w:tc>
          <w:tcPr>
            <w:tcW w:w="850" w:type="pct"/>
            <w:hideMark/>
          </w:tcPr>
          <w:p w14:paraId="335C71A0" w14:textId="77777777" w:rsidR="003C55CE" w:rsidRPr="003C55CE" w:rsidRDefault="003C55CE" w:rsidP="003C55CE">
            <w:pPr>
              <w:spacing w:after="160"/>
              <w:rPr>
                <w:rFonts w:ascii="Verdana" w:hAnsi="Verdana"/>
                <w:sz w:val="22"/>
                <w:szCs w:val="22"/>
              </w:rPr>
            </w:pPr>
            <w:r w:rsidRPr="003C55CE">
              <w:rPr>
                <w:rFonts w:ascii="Verdana" w:hAnsi="Verdana"/>
                <w:sz w:val="22"/>
                <w:szCs w:val="22"/>
              </w:rPr>
              <w:t>$1.282.140.000.00</w:t>
            </w:r>
          </w:p>
        </w:tc>
        <w:tc>
          <w:tcPr>
            <w:tcW w:w="550" w:type="pct"/>
            <w:hideMark/>
          </w:tcPr>
          <w:p w14:paraId="7C7FD5DF" w14:textId="77777777" w:rsidR="003C55CE" w:rsidRPr="003C55CE" w:rsidRDefault="003C55CE" w:rsidP="003C55CE">
            <w:pPr>
              <w:spacing w:after="160"/>
              <w:rPr>
                <w:rFonts w:ascii="Verdana" w:hAnsi="Verdana"/>
                <w:sz w:val="22"/>
                <w:szCs w:val="22"/>
              </w:rPr>
            </w:pPr>
            <w:r w:rsidRPr="003C55CE">
              <w:rPr>
                <w:rFonts w:ascii="Verdana" w:hAnsi="Verdana"/>
                <w:sz w:val="22"/>
                <w:szCs w:val="22"/>
              </w:rPr>
              <w:t>02/09/2013</w:t>
            </w:r>
          </w:p>
        </w:tc>
      </w:tr>
    </w:tbl>
    <w:p w14:paraId="591B7965" w14:textId="77777777" w:rsidR="00932279" w:rsidRPr="00932279" w:rsidRDefault="00932279" w:rsidP="003C55CE">
      <w:pPr>
        <w:rPr>
          <w:rFonts w:ascii="Verdana" w:hAnsi="Verdana"/>
          <w:sz w:val="22"/>
          <w:szCs w:val="22"/>
        </w:rPr>
      </w:pPr>
    </w:p>
    <w:p w14:paraId="50F4A4BB" w14:textId="4BFF80D7" w:rsidR="00932279" w:rsidRPr="003C55CE"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t>Que el inmueble fue objeto de Actualización Catastral por parte del Instituto Geográfico Agustín Codazzi y el área de terreno se modificó de 13.855 metros cuadrados a 14.246 metros cuadrados, razón por la cual el Instituto Geográfico Agustín Codazzi reliquidó el Avalúo Comercial practicado al inmueble, el cual reemplazó y anuló el Avalúo Comercial presentado con oficio número 8002012EE13354 del IGAC.</w:t>
      </w:r>
    </w:p>
    <w:p w14:paraId="149F3516" w14:textId="002358DD" w:rsidR="00932279" w:rsidRPr="003C55CE" w:rsidRDefault="00932279" w:rsidP="003C55CE">
      <w:pPr>
        <w:pStyle w:val="Prrafodelista"/>
        <w:numPr>
          <w:ilvl w:val="0"/>
          <w:numId w:val="1"/>
        </w:numPr>
        <w:jc w:val="both"/>
        <w:rPr>
          <w:rFonts w:ascii="Verdana" w:hAnsi="Verdana"/>
          <w:sz w:val="22"/>
          <w:szCs w:val="22"/>
        </w:rPr>
      </w:pPr>
      <w:r w:rsidRPr="00932279">
        <w:rPr>
          <w:rFonts w:ascii="Verdana" w:hAnsi="Verdana"/>
          <w:sz w:val="22"/>
          <w:szCs w:val="22"/>
        </w:rPr>
        <w:lastRenderedPageBreak/>
        <w:t>Que el Plan de Enajenación Onerosa del ICBF actualizado con este inmueble será publicado en la página web: www.icbf.gov.co y en el Diario Oficial.</w:t>
      </w:r>
    </w:p>
    <w:p w14:paraId="1679C6CD" w14:textId="4E081A0E" w:rsidR="00932279" w:rsidRPr="003C55CE" w:rsidRDefault="00932279" w:rsidP="00932279">
      <w:pPr>
        <w:pStyle w:val="Prrafodelista"/>
        <w:numPr>
          <w:ilvl w:val="0"/>
          <w:numId w:val="1"/>
        </w:numPr>
        <w:jc w:val="both"/>
        <w:rPr>
          <w:rFonts w:ascii="Verdana" w:hAnsi="Verdana"/>
          <w:sz w:val="22"/>
          <w:szCs w:val="22"/>
        </w:rPr>
      </w:pPr>
      <w:r w:rsidRPr="00932279">
        <w:rPr>
          <w:rFonts w:ascii="Verdana" w:hAnsi="Verdana"/>
          <w:sz w:val="22"/>
          <w:szCs w:val="22"/>
        </w:rPr>
        <w:t>Que en mérito de lo expuesto,</w:t>
      </w:r>
    </w:p>
    <w:p w14:paraId="58CC71A0" w14:textId="77777777" w:rsidR="00932279" w:rsidRPr="003C55CE" w:rsidRDefault="00932279" w:rsidP="003C55CE">
      <w:pPr>
        <w:jc w:val="center"/>
        <w:rPr>
          <w:rFonts w:ascii="Verdana" w:hAnsi="Verdana"/>
          <w:b/>
          <w:bCs/>
          <w:sz w:val="22"/>
          <w:szCs w:val="22"/>
        </w:rPr>
      </w:pPr>
      <w:r w:rsidRPr="003C55CE">
        <w:rPr>
          <w:rFonts w:ascii="Verdana" w:hAnsi="Verdana"/>
          <w:b/>
          <w:bCs/>
          <w:sz w:val="22"/>
          <w:szCs w:val="22"/>
        </w:rPr>
        <w:t>RESUELVE:</w:t>
      </w:r>
    </w:p>
    <w:p w14:paraId="66E7491D" w14:textId="77777777" w:rsidR="00932279" w:rsidRPr="00932279" w:rsidRDefault="00932279" w:rsidP="00932279">
      <w:pPr>
        <w:rPr>
          <w:rFonts w:ascii="Verdana" w:hAnsi="Verdana"/>
          <w:sz w:val="22"/>
          <w:szCs w:val="22"/>
        </w:rPr>
      </w:pPr>
      <w:r w:rsidRPr="003C55CE">
        <w:rPr>
          <w:rFonts w:ascii="Verdana" w:hAnsi="Verdana"/>
          <w:b/>
          <w:bCs/>
          <w:sz w:val="22"/>
          <w:szCs w:val="22"/>
        </w:rPr>
        <w:t>ARTÍCULO 1o.</w:t>
      </w:r>
      <w:r w:rsidRPr="00932279">
        <w:rPr>
          <w:rFonts w:ascii="Verdana" w:hAnsi="Verdana"/>
          <w:sz w:val="22"/>
          <w:szCs w:val="22"/>
        </w:rPr>
        <w:t xml:space="preserve"> Adicionar el siguiente inmueble al Plan de Enajenación Onerosa contenido en la Resolución 8706 de 16 de noviembre de 2012 del ICBF:</w:t>
      </w:r>
    </w:p>
    <w:tbl>
      <w:tblPr>
        <w:tblStyle w:val="Tablaconcuadrcula"/>
        <w:tblW w:w="5050" w:type="pct"/>
        <w:tblLook w:val="04A0" w:firstRow="1" w:lastRow="0" w:firstColumn="1" w:lastColumn="0" w:noHBand="0" w:noVBand="1"/>
      </w:tblPr>
      <w:tblGrid>
        <w:gridCol w:w="872"/>
        <w:gridCol w:w="1294"/>
        <w:gridCol w:w="1398"/>
        <w:gridCol w:w="1372"/>
        <w:gridCol w:w="1359"/>
        <w:gridCol w:w="1735"/>
        <w:gridCol w:w="1468"/>
        <w:gridCol w:w="2355"/>
        <w:gridCol w:w="1535"/>
      </w:tblGrid>
      <w:tr w:rsidR="00205005" w:rsidRPr="00205005" w14:paraId="5E951BE9" w14:textId="77777777" w:rsidTr="00205005">
        <w:tc>
          <w:tcPr>
            <w:tcW w:w="250" w:type="pct"/>
            <w:hideMark/>
          </w:tcPr>
          <w:p w14:paraId="76913F49"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Núm.</w:t>
            </w:r>
          </w:p>
        </w:tc>
        <w:tc>
          <w:tcPr>
            <w:tcW w:w="500" w:type="pct"/>
            <w:hideMark/>
          </w:tcPr>
          <w:p w14:paraId="3D35DB97"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Regional</w:t>
            </w:r>
          </w:p>
        </w:tc>
        <w:tc>
          <w:tcPr>
            <w:tcW w:w="550" w:type="pct"/>
            <w:hideMark/>
          </w:tcPr>
          <w:p w14:paraId="5636044C"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Municipio</w:t>
            </w:r>
          </w:p>
        </w:tc>
        <w:tc>
          <w:tcPr>
            <w:tcW w:w="550" w:type="pct"/>
            <w:hideMark/>
          </w:tcPr>
          <w:p w14:paraId="714FCCA5"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Dirección</w:t>
            </w:r>
          </w:p>
        </w:tc>
        <w:tc>
          <w:tcPr>
            <w:tcW w:w="500" w:type="pct"/>
            <w:hideMark/>
          </w:tcPr>
          <w:p w14:paraId="1D6ACB82"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Tipo de inmueble</w:t>
            </w:r>
          </w:p>
        </w:tc>
        <w:tc>
          <w:tcPr>
            <w:tcW w:w="650" w:type="pct"/>
            <w:hideMark/>
          </w:tcPr>
          <w:p w14:paraId="250DED8E"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Núm. Matrícula Inmobiliaria</w:t>
            </w:r>
          </w:p>
        </w:tc>
        <w:tc>
          <w:tcPr>
            <w:tcW w:w="550" w:type="pct"/>
            <w:hideMark/>
          </w:tcPr>
          <w:p w14:paraId="225F2453"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 de Propiedad</w:t>
            </w:r>
          </w:p>
        </w:tc>
        <w:tc>
          <w:tcPr>
            <w:tcW w:w="850" w:type="pct"/>
            <w:hideMark/>
          </w:tcPr>
          <w:p w14:paraId="37013F6C"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Avalúo Comercial</w:t>
            </w:r>
          </w:p>
        </w:tc>
        <w:tc>
          <w:tcPr>
            <w:tcW w:w="550" w:type="pct"/>
            <w:hideMark/>
          </w:tcPr>
          <w:p w14:paraId="45EADFB6"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Fecha Avalúo</w:t>
            </w:r>
          </w:p>
        </w:tc>
      </w:tr>
      <w:tr w:rsidR="00205005" w:rsidRPr="00205005" w14:paraId="379A81C0" w14:textId="77777777" w:rsidTr="00205005">
        <w:tc>
          <w:tcPr>
            <w:tcW w:w="250" w:type="pct"/>
            <w:hideMark/>
          </w:tcPr>
          <w:p w14:paraId="195CAED6" w14:textId="77777777" w:rsidR="00205005" w:rsidRPr="00205005" w:rsidRDefault="00205005" w:rsidP="00205005">
            <w:pPr>
              <w:spacing w:after="160"/>
              <w:rPr>
                <w:rFonts w:ascii="Verdana" w:hAnsi="Verdana"/>
                <w:sz w:val="22"/>
                <w:szCs w:val="22"/>
              </w:rPr>
            </w:pPr>
            <w:r w:rsidRPr="00205005">
              <w:rPr>
                <w:rFonts w:ascii="Verdana" w:hAnsi="Verdana"/>
                <w:sz w:val="22"/>
                <w:szCs w:val="22"/>
              </w:rPr>
              <w:t>1</w:t>
            </w:r>
          </w:p>
        </w:tc>
        <w:tc>
          <w:tcPr>
            <w:tcW w:w="500" w:type="pct"/>
            <w:hideMark/>
          </w:tcPr>
          <w:p w14:paraId="13ABFE85" w14:textId="77777777" w:rsidR="00205005" w:rsidRPr="00205005" w:rsidRDefault="00205005" w:rsidP="00205005">
            <w:pPr>
              <w:spacing w:after="160"/>
              <w:rPr>
                <w:rFonts w:ascii="Verdana" w:hAnsi="Verdana"/>
                <w:sz w:val="22"/>
                <w:szCs w:val="22"/>
              </w:rPr>
            </w:pPr>
            <w:r w:rsidRPr="00205005">
              <w:rPr>
                <w:rFonts w:ascii="Verdana" w:hAnsi="Verdana"/>
                <w:sz w:val="22"/>
                <w:szCs w:val="22"/>
              </w:rPr>
              <w:t>Boyacá</w:t>
            </w:r>
          </w:p>
        </w:tc>
        <w:tc>
          <w:tcPr>
            <w:tcW w:w="550" w:type="pct"/>
            <w:hideMark/>
          </w:tcPr>
          <w:p w14:paraId="484FDF53" w14:textId="77777777" w:rsidR="00205005" w:rsidRPr="00205005" w:rsidRDefault="00205005" w:rsidP="00205005">
            <w:pPr>
              <w:spacing w:after="160"/>
              <w:rPr>
                <w:rFonts w:ascii="Verdana" w:hAnsi="Verdana"/>
                <w:sz w:val="22"/>
                <w:szCs w:val="22"/>
              </w:rPr>
            </w:pPr>
            <w:r w:rsidRPr="00205005">
              <w:rPr>
                <w:rFonts w:ascii="Verdana" w:hAnsi="Verdana"/>
                <w:sz w:val="22"/>
                <w:szCs w:val="22"/>
              </w:rPr>
              <w:t>Duitama</w:t>
            </w:r>
          </w:p>
        </w:tc>
        <w:tc>
          <w:tcPr>
            <w:tcW w:w="550" w:type="pct"/>
            <w:hideMark/>
          </w:tcPr>
          <w:p w14:paraId="3B375708" w14:textId="77777777" w:rsidR="00205005" w:rsidRPr="00205005" w:rsidRDefault="00205005" w:rsidP="00205005">
            <w:pPr>
              <w:spacing w:after="160"/>
              <w:rPr>
                <w:rFonts w:ascii="Verdana" w:hAnsi="Verdana"/>
                <w:sz w:val="22"/>
                <w:szCs w:val="22"/>
              </w:rPr>
            </w:pPr>
            <w:r w:rsidRPr="00205005">
              <w:rPr>
                <w:rFonts w:ascii="Verdana" w:hAnsi="Verdana"/>
                <w:sz w:val="22"/>
                <w:szCs w:val="22"/>
              </w:rPr>
              <w:t>Carrera 40 núm. 20-107</w:t>
            </w:r>
          </w:p>
        </w:tc>
        <w:tc>
          <w:tcPr>
            <w:tcW w:w="500" w:type="pct"/>
            <w:hideMark/>
          </w:tcPr>
          <w:p w14:paraId="5512AC9D" w14:textId="77777777" w:rsidR="00205005" w:rsidRPr="00205005" w:rsidRDefault="00205005" w:rsidP="00205005">
            <w:pPr>
              <w:spacing w:after="160"/>
              <w:rPr>
                <w:rFonts w:ascii="Verdana" w:hAnsi="Verdana"/>
                <w:sz w:val="22"/>
                <w:szCs w:val="22"/>
              </w:rPr>
            </w:pPr>
            <w:r w:rsidRPr="00205005">
              <w:rPr>
                <w:rFonts w:ascii="Verdana" w:hAnsi="Verdana"/>
                <w:sz w:val="22"/>
                <w:szCs w:val="22"/>
              </w:rPr>
              <w:t>Lote de Terreno</w:t>
            </w:r>
          </w:p>
        </w:tc>
        <w:tc>
          <w:tcPr>
            <w:tcW w:w="650" w:type="pct"/>
            <w:hideMark/>
          </w:tcPr>
          <w:p w14:paraId="4874F3A7" w14:textId="77777777" w:rsidR="00205005" w:rsidRPr="00205005" w:rsidRDefault="00205005" w:rsidP="00205005">
            <w:pPr>
              <w:spacing w:after="160"/>
              <w:rPr>
                <w:rFonts w:ascii="Verdana" w:hAnsi="Verdana"/>
                <w:sz w:val="22"/>
                <w:szCs w:val="22"/>
              </w:rPr>
            </w:pPr>
            <w:r w:rsidRPr="00205005">
              <w:rPr>
                <w:rFonts w:ascii="Verdana" w:hAnsi="Verdana"/>
                <w:sz w:val="22"/>
                <w:szCs w:val="22"/>
              </w:rPr>
              <w:t>074-35495</w:t>
            </w:r>
          </w:p>
        </w:tc>
        <w:tc>
          <w:tcPr>
            <w:tcW w:w="550" w:type="pct"/>
            <w:hideMark/>
          </w:tcPr>
          <w:p w14:paraId="49B427BB" w14:textId="77777777" w:rsidR="00205005" w:rsidRPr="00205005" w:rsidRDefault="00205005" w:rsidP="00205005">
            <w:pPr>
              <w:spacing w:after="160"/>
              <w:rPr>
                <w:rFonts w:ascii="Verdana" w:hAnsi="Verdana"/>
                <w:sz w:val="22"/>
                <w:szCs w:val="22"/>
              </w:rPr>
            </w:pPr>
            <w:r w:rsidRPr="00205005">
              <w:rPr>
                <w:rFonts w:ascii="Verdana" w:hAnsi="Verdana"/>
                <w:sz w:val="22"/>
                <w:szCs w:val="22"/>
              </w:rPr>
              <w:t>100%</w:t>
            </w:r>
          </w:p>
        </w:tc>
        <w:tc>
          <w:tcPr>
            <w:tcW w:w="850" w:type="pct"/>
            <w:hideMark/>
          </w:tcPr>
          <w:p w14:paraId="1F651783" w14:textId="77777777" w:rsidR="00205005" w:rsidRPr="00205005" w:rsidRDefault="00205005" w:rsidP="00205005">
            <w:pPr>
              <w:spacing w:after="160"/>
              <w:rPr>
                <w:rFonts w:ascii="Verdana" w:hAnsi="Verdana"/>
                <w:sz w:val="22"/>
                <w:szCs w:val="22"/>
              </w:rPr>
            </w:pPr>
            <w:r w:rsidRPr="00205005">
              <w:rPr>
                <w:rFonts w:ascii="Verdana" w:hAnsi="Verdana"/>
                <w:sz w:val="22"/>
                <w:szCs w:val="22"/>
              </w:rPr>
              <w:t>$1.282.140.000.00</w:t>
            </w:r>
          </w:p>
        </w:tc>
        <w:tc>
          <w:tcPr>
            <w:tcW w:w="550" w:type="pct"/>
            <w:hideMark/>
          </w:tcPr>
          <w:p w14:paraId="0443C99F" w14:textId="77777777" w:rsidR="00205005" w:rsidRPr="00205005" w:rsidRDefault="00205005" w:rsidP="00205005">
            <w:pPr>
              <w:spacing w:after="160"/>
              <w:rPr>
                <w:rFonts w:ascii="Verdana" w:hAnsi="Verdana"/>
                <w:sz w:val="22"/>
                <w:szCs w:val="22"/>
              </w:rPr>
            </w:pPr>
            <w:r w:rsidRPr="00205005">
              <w:rPr>
                <w:rFonts w:ascii="Verdana" w:hAnsi="Verdana"/>
                <w:sz w:val="22"/>
                <w:szCs w:val="22"/>
              </w:rPr>
              <w:t>02/09/2013</w:t>
            </w:r>
          </w:p>
        </w:tc>
      </w:tr>
    </w:tbl>
    <w:p w14:paraId="51ECD56B" w14:textId="77777777" w:rsidR="00932279" w:rsidRPr="00932279" w:rsidRDefault="00932279" w:rsidP="00932279">
      <w:pPr>
        <w:rPr>
          <w:rFonts w:ascii="Verdana" w:hAnsi="Verdana"/>
          <w:sz w:val="22"/>
          <w:szCs w:val="22"/>
        </w:rPr>
      </w:pPr>
    </w:p>
    <w:p w14:paraId="779B065C" w14:textId="3FF7ABF4" w:rsidR="00932279" w:rsidRPr="00932279" w:rsidRDefault="00932279" w:rsidP="00932279">
      <w:pPr>
        <w:rPr>
          <w:rFonts w:ascii="Verdana" w:hAnsi="Verdana"/>
          <w:sz w:val="22"/>
          <w:szCs w:val="22"/>
        </w:rPr>
      </w:pPr>
      <w:r w:rsidRPr="00205005">
        <w:rPr>
          <w:rFonts w:ascii="Verdana" w:hAnsi="Verdana"/>
          <w:b/>
          <w:bCs/>
          <w:sz w:val="22"/>
          <w:szCs w:val="22"/>
        </w:rPr>
        <w:t>ARTÍCULO 2o.</w:t>
      </w:r>
      <w:r w:rsidRPr="00932279">
        <w:rPr>
          <w:rFonts w:ascii="Verdana" w:hAnsi="Verdana"/>
          <w:sz w:val="22"/>
          <w:szCs w:val="22"/>
        </w:rPr>
        <w:t xml:space="preserve"> Fijar los siguientes Precios Mínimos de Venta del inmueble, así:</w:t>
      </w:r>
    </w:p>
    <w:tbl>
      <w:tblPr>
        <w:tblStyle w:val="Tablaconcuadrcula"/>
        <w:tblW w:w="4200" w:type="pct"/>
        <w:tblLook w:val="04A0" w:firstRow="1" w:lastRow="0" w:firstColumn="1" w:lastColumn="0" w:noHBand="0" w:noVBand="1"/>
      </w:tblPr>
      <w:tblGrid>
        <w:gridCol w:w="3561"/>
        <w:gridCol w:w="1405"/>
        <w:gridCol w:w="2450"/>
      </w:tblGrid>
      <w:tr w:rsidR="00205005" w:rsidRPr="00205005" w14:paraId="648CD793" w14:textId="77777777" w:rsidTr="00205005">
        <w:tc>
          <w:tcPr>
            <w:tcW w:w="2550" w:type="pct"/>
            <w:hideMark/>
          </w:tcPr>
          <w:p w14:paraId="1950230D"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Meses desde su publicación en el primer remate</w:t>
            </w:r>
          </w:p>
        </w:tc>
        <w:tc>
          <w:tcPr>
            <w:tcW w:w="650" w:type="pct"/>
            <w:hideMark/>
          </w:tcPr>
          <w:p w14:paraId="325D6657"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Categoría</w:t>
            </w:r>
          </w:p>
        </w:tc>
        <w:tc>
          <w:tcPr>
            <w:tcW w:w="1800" w:type="pct"/>
            <w:hideMark/>
          </w:tcPr>
          <w:p w14:paraId="442BEF6C"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Valor de Precio Mínimo de Venta</w:t>
            </w:r>
          </w:p>
        </w:tc>
      </w:tr>
      <w:tr w:rsidR="00205005" w:rsidRPr="00205005" w14:paraId="2A0D2512" w14:textId="77777777" w:rsidTr="00205005">
        <w:tc>
          <w:tcPr>
            <w:tcW w:w="2550" w:type="pct"/>
            <w:hideMark/>
          </w:tcPr>
          <w:p w14:paraId="0A371E56" w14:textId="77777777" w:rsidR="00205005" w:rsidRPr="00205005" w:rsidRDefault="00205005" w:rsidP="00205005">
            <w:pPr>
              <w:spacing w:after="160"/>
              <w:rPr>
                <w:rFonts w:ascii="Verdana" w:hAnsi="Verdana"/>
                <w:sz w:val="22"/>
                <w:szCs w:val="22"/>
              </w:rPr>
            </w:pPr>
            <w:r w:rsidRPr="00205005">
              <w:rPr>
                <w:rFonts w:ascii="Verdana" w:hAnsi="Verdana"/>
                <w:sz w:val="22"/>
                <w:szCs w:val="22"/>
              </w:rPr>
              <w:t>0-3</w:t>
            </w:r>
          </w:p>
        </w:tc>
        <w:tc>
          <w:tcPr>
            <w:tcW w:w="650" w:type="pct"/>
            <w:hideMark/>
          </w:tcPr>
          <w:p w14:paraId="7F938D59" w14:textId="77777777" w:rsidR="00205005" w:rsidRPr="00205005" w:rsidRDefault="00205005" w:rsidP="00205005">
            <w:pPr>
              <w:spacing w:after="160"/>
              <w:rPr>
                <w:rFonts w:ascii="Verdana" w:hAnsi="Verdana"/>
                <w:sz w:val="22"/>
                <w:szCs w:val="22"/>
              </w:rPr>
            </w:pPr>
            <w:r w:rsidRPr="00205005">
              <w:rPr>
                <w:rFonts w:ascii="Verdana" w:hAnsi="Verdana"/>
                <w:sz w:val="22"/>
                <w:szCs w:val="22"/>
              </w:rPr>
              <w:t>N.A.</w:t>
            </w:r>
          </w:p>
        </w:tc>
        <w:tc>
          <w:tcPr>
            <w:tcW w:w="1800" w:type="pct"/>
            <w:hideMark/>
          </w:tcPr>
          <w:p w14:paraId="5AA293CE"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$1.282.140.000</w:t>
            </w:r>
          </w:p>
        </w:tc>
      </w:tr>
      <w:tr w:rsidR="00205005" w:rsidRPr="00205005" w14:paraId="1E265882" w14:textId="77777777" w:rsidTr="00205005">
        <w:tc>
          <w:tcPr>
            <w:tcW w:w="2550" w:type="pct"/>
            <w:hideMark/>
          </w:tcPr>
          <w:p w14:paraId="5553F835" w14:textId="77777777" w:rsidR="00205005" w:rsidRPr="00205005" w:rsidRDefault="00205005" w:rsidP="00205005">
            <w:pPr>
              <w:spacing w:after="160"/>
              <w:rPr>
                <w:rFonts w:ascii="Verdana" w:hAnsi="Verdana"/>
                <w:sz w:val="22"/>
                <w:szCs w:val="22"/>
              </w:rPr>
            </w:pPr>
            <w:r w:rsidRPr="00205005">
              <w:rPr>
                <w:rFonts w:ascii="Verdana" w:hAnsi="Verdana"/>
                <w:sz w:val="22"/>
                <w:szCs w:val="22"/>
              </w:rPr>
              <w:t>3-6</w:t>
            </w:r>
          </w:p>
        </w:tc>
        <w:tc>
          <w:tcPr>
            <w:tcW w:w="650" w:type="pct"/>
            <w:hideMark/>
          </w:tcPr>
          <w:p w14:paraId="1165ECD6" w14:textId="77777777" w:rsidR="00205005" w:rsidRPr="00205005" w:rsidRDefault="00205005" w:rsidP="00205005">
            <w:pPr>
              <w:spacing w:after="160"/>
              <w:rPr>
                <w:rFonts w:ascii="Verdana" w:hAnsi="Verdana"/>
                <w:sz w:val="22"/>
                <w:szCs w:val="22"/>
              </w:rPr>
            </w:pPr>
            <w:r w:rsidRPr="00205005">
              <w:rPr>
                <w:rFonts w:ascii="Verdana" w:hAnsi="Verdana"/>
                <w:sz w:val="22"/>
                <w:szCs w:val="22"/>
              </w:rPr>
              <w:t>A</w:t>
            </w:r>
          </w:p>
        </w:tc>
        <w:tc>
          <w:tcPr>
            <w:tcW w:w="1800" w:type="pct"/>
            <w:hideMark/>
          </w:tcPr>
          <w:p w14:paraId="0E3B9095"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$1.222.500.331</w:t>
            </w:r>
          </w:p>
        </w:tc>
      </w:tr>
      <w:tr w:rsidR="00205005" w:rsidRPr="00205005" w14:paraId="434B49AB" w14:textId="77777777" w:rsidTr="00205005">
        <w:tc>
          <w:tcPr>
            <w:tcW w:w="2550" w:type="pct"/>
            <w:hideMark/>
          </w:tcPr>
          <w:p w14:paraId="401E256E" w14:textId="77777777" w:rsidR="00205005" w:rsidRPr="00205005" w:rsidRDefault="00205005" w:rsidP="00205005">
            <w:pPr>
              <w:spacing w:after="160"/>
              <w:rPr>
                <w:rFonts w:ascii="Verdana" w:hAnsi="Verdana"/>
                <w:sz w:val="22"/>
                <w:szCs w:val="22"/>
              </w:rPr>
            </w:pPr>
            <w:r w:rsidRPr="00205005">
              <w:rPr>
                <w:rFonts w:ascii="Verdana" w:hAnsi="Verdana"/>
                <w:sz w:val="22"/>
                <w:szCs w:val="22"/>
              </w:rPr>
              <w:t>6,01-12</w:t>
            </w:r>
          </w:p>
        </w:tc>
        <w:tc>
          <w:tcPr>
            <w:tcW w:w="650" w:type="pct"/>
            <w:hideMark/>
          </w:tcPr>
          <w:p w14:paraId="5F8EBB42" w14:textId="77777777" w:rsidR="00205005" w:rsidRPr="00205005" w:rsidRDefault="00205005" w:rsidP="00205005">
            <w:pPr>
              <w:spacing w:after="160"/>
              <w:rPr>
                <w:rFonts w:ascii="Verdana" w:hAnsi="Verdana"/>
                <w:sz w:val="22"/>
                <w:szCs w:val="22"/>
              </w:rPr>
            </w:pPr>
            <w:r w:rsidRPr="00205005">
              <w:rPr>
                <w:rFonts w:ascii="Verdana" w:hAnsi="Verdana"/>
                <w:sz w:val="22"/>
                <w:szCs w:val="22"/>
              </w:rPr>
              <w:t>B</w:t>
            </w:r>
          </w:p>
        </w:tc>
        <w:tc>
          <w:tcPr>
            <w:tcW w:w="1800" w:type="pct"/>
            <w:hideMark/>
          </w:tcPr>
          <w:p w14:paraId="01B2CC11"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$1.161.145.904</w:t>
            </w:r>
          </w:p>
        </w:tc>
      </w:tr>
      <w:tr w:rsidR="00205005" w:rsidRPr="00205005" w14:paraId="5AC166E9" w14:textId="77777777" w:rsidTr="00205005">
        <w:tc>
          <w:tcPr>
            <w:tcW w:w="2550" w:type="pct"/>
            <w:hideMark/>
          </w:tcPr>
          <w:p w14:paraId="3A560662" w14:textId="77777777" w:rsidR="00205005" w:rsidRPr="00205005" w:rsidRDefault="00205005" w:rsidP="00205005">
            <w:pPr>
              <w:spacing w:after="160"/>
              <w:rPr>
                <w:rFonts w:ascii="Verdana" w:hAnsi="Verdana"/>
                <w:sz w:val="22"/>
                <w:szCs w:val="22"/>
              </w:rPr>
            </w:pPr>
            <w:r w:rsidRPr="00205005">
              <w:rPr>
                <w:rFonts w:ascii="Verdana" w:hAnsi="Verdana"/>
                <w:sz w:val="22"/>
                <w:szCs w:val="22"/>
              </w:rPr>
              <w:t>12,01-18</w:t>
            </w:r>
          </w:p>
        </w:tc>
        <w:tc>
          <w:tcPr>
            <w:tcW w:w="650" w:type="pct"/>
            <w:hideMark/>
          </w:tcPr>
          <w:p w14:paraId="113F9F3E" w14:textId="77777777" w:rsidR="00205005" w:rsidRPr="00205005" w:rsidRDefault="00205005" w:rsidP="00205005">
            <w:pPr>
              <w:spacing w:after="160"/>
              <w:rPr>
                <w:rFonts w:ascii="Verdana" w:hAnsi="Verdana"/>
                <w:sz w:val="22"/>
                <w:szCs w:val="22"/>
              </w:rPr>
            </w:pPr>
            <w:r w:rsidRPr="00205005">
              <w:rPr>
                <w:rFonts w:ascii="Verdana" w:hAnsi="Verdana"/>
                <w:sz w:val="22"/>
                <w:szCs w:val="22"/>
              </w:rPr>
              <w:t>C</w:t>
            </w:r>
          </w:p>
        </w:tc>
        <w:tc>
          <w:tcPr>
            <w:tcW w:w="1800" w:type="pct"/>
            <w:hideMark/>
          </w:tcPr>
          <w:p w14:paraId="50CCC57F" w14:textId="77777777" w:rsidR="00205005" w:rsidRPr="00205005" w:rsidRDefault="00205005" w:rsidP="00205005">
            <w:pPr>
              <w:spacing w:after="160"/>
              <w:rPr>
                <w:rFonts w:ascii="Verdana" w:hAnsi="Verdana"/>
                <w:sz w:val="22"/>
                <w:szCs w:val="22"/>
              </w:rPr>
            </w:pPr>
            <w:r w:rsidRPr="00205005">
              <w:rPr>
                <w:rFonts w:ascii="Verdana" w:hAnsi="Verdana"/>
                <w:b/>
                <w:bCs/>
                <w:sz w:val="22"/>
                <w:szCs w:val="22"/>
              </w:rPr>
              <w:t>$1.103.484.956</w:t>
            </w:r>
          </w:p>
        </w:tc>
      </w:tr>
    </w:tbl>
    <w:p w14:paraId="68589404" w14:textId="77777777" w:rsidR="00205005" w:rsidRDefault="00205005" w:rsidP="00932279">
      <w:pPr>
        <w:rPr>
          <w:rFonts w:ascii="Verdana" w:hAnsi="Verdana"/>
          <w:sz w:val="22"/>
          <w:szCs w:val="22"/>
        </w:rPr>
      </w:pPr>
    </w:p>
    <w:p w14:paraId="5EAAA225" w14:textId="04E10A6B" w:rsidR="00932279" w:rsidRPr="00205005" w:rsidRDefault="00932279" w:rsidP="00932279">
      <w:pPr>
        <w:rPr>
          <w:rFonts w:ascii="Verdana" w:hAnsi="Verdana"/>
          <w:sz w:val="22"/>
          <w:szCs w:val="22"/>
        </w:rPr>
      </w:pPr>
      <w:r w:rsidRPr="00205005">
        <w:rPr>
          <w:rFonts w:ascii="Verdana" w:hAnsi="Verdana"/>
          <w:b/>
          <w:bCs/>
          <w:sz w:val="22"/>
          <w:szCs w:val="22"/>
        </w:rPr>
        <w:t>ARTÍCULO 3o.</w:t>
      </w:r>
      <w:r w:rsidRPr="00932279">
        <w:rPr>
          <w:rFonts w:ascii="Verdana" w:hAnsi="Verdana"/>
          <w:sz w:val="22"/>
          <w:szCs w:val="22"/>
        </w:rPr>
        <w:t xml:space="preserve"> La presente resolución rige a partir de la fecha de su publicación.</w:t>
      </w:r>
    </w:p>
    <w:p w14:paraId="56E763DF" w14:textId="66D46245" w:rsidR="00932279" w:rsidRPr="00205005" w:rsidRDefault="00205005" w:rsidP="00205005">
      <w:pPr>
        <w:jc w:val="center"/>
        <w:rPr>
          <w:rFonts w:ascii="Verdana" w:hAnsi="Verdana"/>
          <w:b/>
          <w:bCs/>
          <w:sz w:val="22"/>
          <w:szCs w:val="22"/>
        </w:rPr>
      </w:pPr>
      <w:r w:rsidRPr="00205005">
        <w:rPr>
          <w:rFonts w:ascii="Verdana" w:hAnsi="Verdana"/>
          <w:b/>
          <w:bCs/>
          <w:sz w:val="22"/>
          <w:szCs w:val="22"/>
        </w:rPr>
        <w:t>PUBLÍQUESE Y CÚMPLASE</w:t>
      </w:r>
      <w:r>
        <w:rPr>
          <w:rFonts w:ascii="Verdana" w:hAnsi="Verdana"/>
          <w:b/>
          <w:bCs/>
          <w:sz w:val="22"/>
          <w:szCs w:val="22"/>
        </w:rPr>
        <w:t>,</w:t>
      </w:r>
    </w:p>
    <w:p w14:paraId="05EF42AC" w14:textId="33D20864" w:rsidR="00932279" w:rsidRPr="00932279" w:rsidRDefault="00932279" w:rsidP="00205005">
      <w:pPr>
        <w:jc w:val="center"/>
        <w:rPr>
          <w:rFonts w:ascii="Verdana" w:hAnsi="Verdana"/>
          <w:sz w:val="22"/>
          <w:szCs w:val="22"/>
        </w:rPr>
      </w:pPr>
      <w:r w:rsidRPr="00932279">
        <w:rPr>
          <w:rFonts w:ascii="Verdana" w:hAnsi="Verdana"/>
          <w:sz w:val="22"/>
          <w:szCs w:val="22"/>
        </w:rPr>
        <w:t>Dada en Bogotá, D. C., a</w:t>
      </w:r>
      <w:r w:rsidR="00205005">
        <w:rPr>
          <w:rFonts w:ascii="Verdana" w:hAnsi="Verdana"/>
          <w:sz w:val="22"/>
          <w:szCs w:val="22"/>
        </w:rPr>
        <w:t xml:space="preserve"> los</w:t>
      </w:r>
      <w:r w:rsidRPr="00932279">
        <w:rPr>
          <w:rFonts w:ascii="Verdana" w:hAnsi="Verdana"/>
          <w:sz w:val="22"/>
          <w:szCs w:val="22"/>
        </w:rPr>
        <w:t xml:space="preserve"> 17</w:t>
      </w:r>
      <w:r w:rsidR="00205005">
        <w:rPr>
          <w:rFonts w:ascii="Verdana" w:hAnsi="Verdana"/>
          <w:sz w:val="22"/>
          <w:szCs w:val="22"/>
        </w:rPr>
        <w:t xml:space="preserve"> días del mes</w:t>
      </w:r>
      <w:r w:rsidRPr="00932279">
        <w:rPr>
          <w:rFonts w:ascii="Verdana" w:hAnsi="Verdana"/>
          <w:sz w:val="22"/>
          <w:szCs w:val="22"/>
        </w:rPr>
        <w:t xml:space="preserve"> de septiembre de 2013.</w:t>
      </w:r>
    </w:p>
    <w:p w14:paraId="46DD8019" w14:textId="41A0E1DE" w:rsidR="00932279" w:rsidRPr="00205005" w:rsidRDefault="00205005" w:rsidP="00205005">
      <w:pPr>
        <w:jc w:val="center"/>
        <w:rPr>
          <w:rFonts w:ascii="Verdana" w:hAnsi="Verdana"/>
          <w:b/>
          <w:bCs/>
          <w:sz w:val="22"/>
          <w:szCs w:val="22"/>
        </w:rPr>
      </w:pPr>
      <w:r w:rsidRPr="00205005">
        <w:rPr>
          <w:rFonts w:ascii="Verdana" w:hAnsi="Verdana"/>
          <w:b/>
          <w:bCs/>
          <w:sz w:val="22"/>
          <w:szCs w:val="22"/>
        </w:rPr>
        <w:t>ADRIANA MARÍA GONZÁLEZ MAXCYCLAK</w:t>
      </w:r>
    </w:p>
    <w:p w14:paraId="3A882117" w14:textId="430294E9" w:rsidR="00932279" w:rsidRPr="00932279" w:rsidRDefault="00205005" w:rsidP="00205005">
      <w:pPr>
        <w:jc w:val="center"/>
        <w:rPr>
          <w:rFonts w:ascii="Verdana" w:hAnsi="Verdana"/>
          <w:sz w:val="22"/>
          <w:szCs w:val="22"/>
        </w:rPr>
      </w:pPr>
      <w:r w:rsidRPr="00932279">
        <w:rPr>
          <w:rFonts w:ascii="Verdana" w:hAnsi="Verdana"/>
          <w:sz w:val="22"/>
          <w:szCs w:val="22"/>
        </w:rPr>
        <w:t>LA SUBDIRECTORA GENERAL ENCARGADA DE LAS FUNCIONES DEL DESPACHO DE LA DIRECCIÓN GENERAL</w:t>
      </w:r>
    </w:p>
    <w:p w14:paraId="136A3950" w14:textId="77777777" w:rsidR="00932279" w:rsidRPr="00932279" w:rsidRDefault="00932279" w:rsidP="00932279">
      <w:pPr>
        <w:rPr>
          <w:rFonts w:ascii="Verdana" w:hAnsi="Verdana"/>
          <w:sz w:val="22"/>
          <w:szCs w:val="22"/>
        </w:rPr>
      </w:pPr>
    </w:p>
    <w:p w14:paraId="2F9DB42A" w14:textId="77777777" w:rsidR="00932279" w:rsidRPr="00932279" w:rsidRDefault="00932279" w:rsidP="00932279">
      <w:pPr>
        <w:rPr>
          <w:rFonts w:ascii="Verdana" w:hAnsi="Verdana"/>
          <w:sz w:val="22"/>
          <w:szCs w:val="22"/>
        </w:rPr>
      </w:pPr>
    </w:p>
    <w:p w14:paraId="36E4402E" w14:textId="6B26E309" w:rsidR="00932279" w:rsidRPr="00932279" w:rsidRDefault="00932279" w:rsidP="00932279">
      <w:pPr>
        <w:rPr>
          <w:rFonts w:ascii="Verdana" w:hAnsi="Verdana"/>
          <w:sz w:val="22"/>
          <w:szCs w:val="22"/>
        </w:rPr>
      </w:pPr>
    </w:p>
    <w:p w14:paraId="63761907" w14:textId="77777777" w:rsidR="00A724C4" w:rsidRPr="00932279" w:rsidRDefault="00A724C4" w:rsidP="00932279">
      <w:pPr>
        <w:rPr>
          <w:rFonts w:ascii="Verdana" w:hAnsi="Verdana"/>
          <w:sz w:val="22"/>
          <w:szCs w:val="22"/>
        </w:rPr>
      </w:pPr>
    </w:p>
    <w:sectPr w:rsidR="00A724C4" w:rsidRPr="009322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309E" w14:textId="77777777" w:rsidR="007211BF" w:rsidRDefault="007211BF" w:rsidP="00A91028">
      <w:pPr>
        <w:spacing w:after="0"/>
      </w:pPr>
      <w:r>
        <w:separator/>
      </w:r>
    </w:p>
  </w:endnote>
  <w:endnote w:type="continuationSeparator" w:id="0">
    <w:p w14:paraId="0C5752A1" w14:textId="77777777" w:rsidR="007211BF" w:rsidRDefault="007211BF" w:rsidP="00A91028">
      <w:pPr>
        <w:spacing w:after="0"/>
      </w:pPr>
      <w:r>
        <w:continuationSeparator/>
      </w:r>
    </w:p>
  </w:endnote>
  <w:endnote w:id="1">
    <w:p w14:paraId="355EC4A2" w14:textId="5C05CC5A" w:rsidR="00A91028" w:rsidRPr="00A91028" w:rsidRDefault="00A91028">
      <w:pPr>
        <w:pStyle w:val="Textonotaalfinal"/>
        <w:rPr>
          <w:lang w:val="es-MX"/>
        </w:rPr>
      </w:pPr>
      <w:r>
        <w:rPr>
          <w:rStyle w:val="Refdenotaalfinal"/>
        </w:rPr>
        <w:endnoteRef/>
      </w:r>
      <w:r>
        <w:t xml:space="preserve"> </w:t>
      </w:r>
      <w:r w:rsidRPr="00A91028">
        <w:t>Artículo 33. Todas las entidades públicas que hayan adquirido inmuebles a cualquier título o que los adquieran en lo sucesivo, también a cualquier título, deberán aplicarlos a los fines para los cuales fueron adquiridos. En el acto de adquisición se incluirá en forma expresa el fin para el cual fueron adquiridos los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07B9" w14:textId="77777777" w:rsidR="007211BF" w:rsidRDefault="007211BF" w:rsidP="00A91028">
      <w:pPr>
        <w:spacing w:after="0"/>
      </w:pPr>
      <w:r>
        <w:separator/>
      </w:r>
    </w:p>
  </w:footnote>
  <w:footnote w:type="continuationSeparator" w:id="0">
    <w:p w14:paraId="1848FE8D" w14:textId="77777777" w:rsidR="007211BF" w:rsidRDefault="007211BF" w:rsidP="00A910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C5C"/>
    <w:multiLevelType w:val="hybridMultilevel"/>
    <w:tmpl w:val="73108F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2424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EB"/>
    <w:rsid w:val="001215BF"/>
    <w:rsid w:val="001951AB"/>
    <w:rsid w:val="001F146A"/>
    <w:rsid w:val="00205005"/>
    <w:rsid w:val="00243CB4"/>
    <w:rsid w:val="002F4B42"/>
    <w:rsid w:val="003061F4"/>
    <w:rsid w:val="003C55CE"/>
    <w:rsid w:val="0057354E"/>
    <w:rsid w:val="007211BF"/>
    <w:rsid w:val="00932279"/>
    <w:rsid w:val="00A724C4"/>
    <w:rsid w:val="00A91028"/>
    <w:rsid w:val="00AA73EB"/>
    <w:rsid w:val="00B373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BD69"/>
  <w15:chartTrackingRefBased/>
  <w15:docId w15:val="{0289B786-9B1E-4B03-96C8-D35A6008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42"/>
    <w:pPr>
      <w:spacing w:line="240" w:lineRule="auto"/>
      <w:jc w:val="both"/>
    </w:pPr>
    <w:rPr>
      <w:rFonts w:ascii="Arial" w:hAnsi="Arial" w:cs="Arial"/>
    </w:rPr>
  </w:style>
  <w:style w:type="paragraph" w:styleId="Ttulo1">
    <w:name w:val="heading 1"/>
    <w:basedOn w:val="Normal"/>
    <w:next w:val="Normal"/>
    <w:link w:val="Ttulo1Car"/>
    <w:uiPriority w:val="9"/>
    <w:qFormat/>
    <w:rsid w:val="00AA73EB"/>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73EB"/>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73EB"/>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73EB"/>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A73EB"/>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A73EB"/>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A73EB"/>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A73EB"/>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A73EB"/>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73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73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73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73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73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73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73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73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73EB"/>
    <w:rPr>
      <w:rFonts w:eastAsiaTheme="majorEastAsia" w:cstheme="majorBidi"/>
      <w:color w:val="272727" w:themeColor="text1" w:themeTint="D8"/>
    </w:rPr>
  </w:style>
  <w:style w:type="paragraph" w:styleId="Ttulo">
    <w:name w:val="Title"/>
    <w:basedOn w:val="Normal"/>
    <w:next w:val="Normal"/>
    <w:link w:val="TtuloCar"/>
    <w:uiPriority w:val="10"/>
    <w:qFormat/>
    <w:rsid w:val="00AA73EB"/>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73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73EB"/>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73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73EB"/>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AA73EB"/>
    <w:rPr>
      <w:i/>
      <w:iCs/>
      <w:color w:val="404040" w:themeColor="text1" w:themeTint="BF"/>
    </w:rPr>
  </w:style>
  <w:style w:type="paragraph" w:styleId="Prrafodelista">
    <w:name w:val="List Paragraph"/>
    <w:basedOn w:val="Normal"/>
    <w:uiPriority w:val="34"/>
    <w:qFormat/>
    <w:rsid w:val="00AA73EB"/>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AA73EB"/>
    <w:rPr>
      <w:i/>
      <w:iCs/>
      <w:color w:val="0F4761" w:themeColor="accent1" w:themeShade="BF"/>
    </w:rPr>
  </w:style>
  <w:style w:type="paragraph" w:styleId="Citadestacada">
    <w:name w:val="Intense Quote"/>
    <w:basedOn w:val="Normal"/>
    <w:next w:val="Normal"/>
    <w:link w:val="CitadestacadaCar"/>
    <w:uiPriority w:val="30"/>
    <w:qFormat/>
    <w:rsid w:val="00AA73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AA73EB"/>
    <w:rPr>
      <w:i/>
      <w:iCs/>
      <w:color w:val="0F4761" w:themeColor="accent1" w:themeShade="BF"/>
    </w:rPr>
  </w:style>
  <w:style w:type="character" w:styleId="Referenciaintensa">
    <w:name w:val="Intense Reference"/>
    <w:basedOn w:val="Fuentedeprrafopredeter"/>
    <w:uiPriority w:val="32"/>
    <w:qFormat/>
    <w:rsid w:val="00AA73EB"/>
    <w:rPr>
      <w:b/>
      <w:bCs/>
      <w:smallCaps/>
      <w:color w:val="0F4761" w:themeColor="accent1" w:themeShade="BF"/>
      <w:spacing w:val="5"/>
    </w:rPr>
  </w:style>
  <w:style w:type="table" w:styleId="Tablaconcuadrcula">
    <w:name w:val="Table Grid"/>
    <w:basedOn w:val="Tablanormal"/>
    <w:uiPriority w:val="39"/>
    <w:rsid w:val="003C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A91028"/>
    <w:pPr>
      <w:spacing w:after="0"/>
    </w:pPr>
    <w:rPr>
      <w:sz w:val="20"/>
      <w:szCs w:val="20"/>
    </w:rPr>
  </w:style>
  <w:style w:type="character" w:customStyle="1" w:styleId="TextonotaalfinalCar">
    <w:name w:val="Texto nota al final Car"/>
    <w:basedOn w:val="Fuentedeprrafopredeter"/>
    <w:link w:val="Textonotaalfinal"/>
    <w:uiPriority w:val="99"/>
    <w:semiHidden/>
    <w:rsid w:val="00A91028"/>
    <w:rPr>
      <w:rFonts w:ascii="Arial" w:hAnsi="Arial" w:cs="Arial"/>
      <w:sz w:val="20"/>
      <w:szCs w:val="20"/>
    </w:rPr>
  </w:style>
  <w:style w:type="character" w:styleId="Refdenotaalfinal">
    <w:name w:val="endnote reference"/>
    <w:basedOn w:val="Fuentedeprrafopredeter"/>
    <w:uiPriority w:val="99"/>
    <w:semiHidden/>
    <w:unhideWhenUsed/>
    <w:rsid w:val="00A91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8BA12-AA00-4E88-8D7B-DDB3754A9E57}">
  <ds:schemaRefs>
    <ds:schemaRef ds:uri="http://schemas.openxmlformats.org/officeDocument/2006/bibliography"/>
  </ds:schemaRefs>
</ds:datastoreItem>
</file>

<file path=customXml/itemProps2.xml><?xml version="1.0" encoding="utf-8"?>
<ds:datastoreItem xmlns:ds="http://schemas.openxmlformats.org/officeDocument/2006/customXml" ds:itemID="{656D33D7-630E-44ED-A99D-4BB6629D127F}"/>
</file>

<file path=customXml/itemProps3.xml><?xml version="1.0" encoding="utf-8"?>
<ds:datastoreItem xmlns:ds="http://schemas.openxmlformats.org/officeDocument/2006/customXml" ds:itemID="{22A40349-C799-4D16-95C0-87600E5EE59B}"/>
</file>

<file path=customXml/itemProps4.xml><?xml version="1.0" encoding="utf-8"?>
<ds:datastoreItem xmlns:ds="http://schemas.openxmlformats.org/officeDocument/2006/customXml" ds:itemID="{06EBFC10-08B7-460C-846D-384E023F0963}"/>
</file>

<file path=docProps/app.xml><?xml version="1.0" encoding="utf-8"?>
<Properties xmlns="http://schemas.openxmlformats.org/officeDocument/2006/extended-properties" xmlns:vt="http://schemas.openxmlformats.org/officeDocument/2006/docPropsVTypes">
  <Template>Normal</Template>
  <TotalTime>6</TotalTime>
  <Pages>1</Pages>
  <Words>827</Words>
  <Characters>4550</Characters>
  <Application>Microsoft Office Word</Application>
  <DocSecurity>0</DocSecurity>
  <Lines>37</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2026-01-20T16:26:00Z</dcterms:created>
  <dcterms:modified xsi:type="dcterms:W3CDTF">2026-01-20T17:55:00Z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