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E9C7" w14:textId="77777777" w:rsidR="00F76FB8" w:rsidRPr="00F76FB8" w:rsidRDefault="00F76FB8" w:rsidP="00F76FB8">
      <w:pPr>
        <w:jc w:val="center"/>
        <w:rPr>
          <w:rFonts w:ascii="Verdana" w:hAnsi="Verdana"/>
        </w:rPr>
      </w:pPr>
      <w:r w:rsidRPr="00F76FB8">
        <w:rPr>
          <w:rFonts w:ascii="Verdana" w:hAnsi="Verdana"/>
          <w:b/>
          <w:bCs/>
        </w:rPr>
        <w:t>RESOLUCIÓN 7887 DE 2012</w:t>
      </w:r>
    </w:p>
    <w:p w14:paraId="25C9A323" w14:textId="798C5E83" w:rsidR="00F76FB8" w:rsidRPr="00A85783" w:rsidRDefault="00F76FB8" w:rsidP="00F76FB8">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F76FB8">
        <w:rPr>
          <w:rFonts w:ascii="Verdana" w:hAnsi="Verdana"/>
          <w:sz w:val="20"/>
          <w:szCs w:val="20"/>
        </w:rPr>
        <w:t xml:space="preserve">30 de octubre </w:t>
      </w:r>
      <w:r w:rsidRPr="00A85783">
        <w:rPr>
          <w:rFonts w:ascii="Verdana" w:hAnsi="Verdana"/>
          <w:sz w:val="20"/>
          <w:szCs w:val="20"/>
        </w:rPr>
        <w:t xml:space="preserve">de </w:t>
      </w:r>
      <w:r>
        <w:rPr>
          <w:rFonts w:ascii="Verdana" w:hAnsi="Verdana"/>
          <w:sz w:val="20"/>
          <w:szCs w:val="20"/>
        </w:rPr>
        <w:t>2012</w:t>
      </w:r>
    </w:p>
    <w:p w14:paraId="43843840" w14:textId="5DF8D539" w:rsidR="00F76FB8" w:rsidRPr="00A85783" w:rsidRDefault="00F76FB8" w:rsidP="00F76FB8">
      <w:pPr>
        <w:pStyle w:val="Sinespaciado"/>
        <w:rPr>
          <w:rFonts w:ascii="Verdana" w:hAnsi="Verdana"/>
          <w:sz w:val="20"/>
          <w:szCs w:val="20"/>
        </w:rPr>
      </w:pPr>
      <w:r w:rsidRPr="00A85783">
        <w:rPr>
          <w:rFonts w:ascii="Verdana" w:hAnsi="Verdana"/>
          <w:sz w:val="20"/>
          <w:szCs w:val="20"/>
        </w:rPr>
        <w:t xml:space="preserve">Fecha de entrada en vigencia: </w:t>
      </w:r>
      <w:r w:rsidRPr="00F76FB8">
        <w:rPr>
          <w:rFonts w:ascii="Verdana" w:hAnsi="Verdana"/>
          <w:sz w:val="20"/>
          <w:szCs w:val="20"/>
        </w:rPr>
        <w:t xml:space="preserve">30 de octubre </w:t>
      </w:r>
      <w:r w:rsidRPr="00A85783">
        <w:rPr>
          <w:rFonts w:ascii="Verdana" w:hAnsi="Verdana"/>
          <w:sz w:val="20"/>
          <w:szCs w:val="20"/>
        </w:rPr>
        <w:t xml:space="preserve">de </w:t>
      </w:r>
      <w:r>
        <w:rPr>
          <w:rFonts w:ascii="Verdana" w:hAnsi="Verdana"/>
          <w:sz w:val="20"/>
          <w:szCs w:val="20"/>
        </w:rPr>
        <w:t>2012</w:t>
      </w:r>
    </w:p>
    <w:p w14:paraId="426ED47A" w14:textId="77777777" w:rsidR="00F76FB8" w:rsidRPr="00A85783" w:rsidRDefault="00F76FB8" w:rsidP="00F76FB8">
      <w:pPr>
        <w:pStyle w:val="Sinespaciado"/>
        <w:rPr>
          <w:rFonts w:ascii="Verdana" w:hAnsi="Verdana"/>
          <w:sz w:val="20"/>
          <w:szCs w:val="20"/>
        </w:rPr>
      </w:pPr>
      <w:r w:rsidRPr="00A85783">
        <w:rPr>
          <w:rFonts w:ascii="Verdana" w:hAnsi="Verdana"/>
          <w:sz w:val="20"/>
          <w:szCs w:val="20"/>
        </w:rPr>
        <w:t xml:space="preserve">Estado de la vigencia: Vigente </w:t>
      </w:r>
    </w:p>
    <w:p w14:paraId="30DA355F" w14:textId="77777777" w:rsidR="00F76FB8" w:rsidRDefault="00F76FB8" w:rsidP="00F76FB8">
      <w:pPr>
        <w:pStyle w:val="Sinespaciado"/>
        <w:rPr>
          <w:rFonts w:ascii="Verdana" w:hAnsi="Verdana"/>
          <w:sz w:val="20"/>
          <w:szCs w:val="20"/>
        </w:rPr>
      </w:pPr>
    </w:p>
    <w:p w14:paraId="3E3E4A50" w14:textId="77777777" w:rsidR="00F76FB8" w:rsidRPr="00A85783" w:rsidRDefault="00F76FB8" w:rsidP="00F76FB8">
      <w:pPr>
        <w:pStyle w:val="Sinespaciado"/>
        <w:rPr>
          <w:rFonts w:ascii="Verdana" w:hAnsi="Verdana"/>
          <w:sz w:val="20"/>
          <w:szCs w:val="20"/>
        </w:rPr>
      </w:pPr>
      <w:r w:rsidRPr="00A85783">
        <w:rPr>
          <w:rFonts w:ascii="Verdana" w:hAnsi="Verdana"/>
          <w:sz w:val="20"/>
          <w:szCs w:val="20"/>
        </w:rPr>
        <w:t>Fecha de publicación en Diario Oficial: N/A</w:t>
      </w:r>
    </w:p>
    <w:p w14:paraId="76B5BFDE" w14:textId="77777777" w:rsidR="00F76FB8" w:rsidRDefault="00F76FB8" w:rsidP="00F76FB8">
      <w:pPr>
        <w:pStyle w:val="Sinespaciado"/>
        <w:rPr>
          <w:rFonts w:ascii="Verdana" w:hAnsi="Verdana"/>
          <w:sz w:val="20"/>
          <w:szCs w:val="20"/>
        </w:rPr>
      </w:pPr>
      <w:r w:rsidRPr="00A85783">
        <w:rPr>
          <w:rFonts w:ascii="Verdana" w:hAnsi="Verdana"/>
          <w:sz w:val="20"/>
          <w:szCs w:val="20"/>
        </w:rPr>
        <w:t>Número del Diario Oficial: N/A</w:t>
      </w:r>
    </w:p>
    <w:p w14:paraId="6AE90A7D" w14:textId="77777777" w:rsidR="00EB7D1E" w:rsidRDefault="00EB7D1E" w:rsidP="00F76FB8">
      <w:pPr>
        <w:pStyle w:val="Sinespaciado"/>
        <w:rPr>
          <w:rFonts w:ascii="Verdana" w:hAnsi="Verdana"/>
          <w:sz w:val="20"/>
          <w:szCs w:val="20"/>
        </w:rPr>
      </w:pPr>
    </w:p>
    <w:bookmarkEnd w:id="0"/>
    <w:p w14:paraId="710CCA3B" w14:textId="77777777" w:rsidR="00F76FB8" w:rsidRPr="00F76FB8" w:rsidRDefault="00F76FB8" w:rsidP="00F76FB8">
      <w:pPr>
        <w:jc w:val="center"/>
        <w:rPr>
          <w:rFonts w:ascii="Verdana" w:hAnsi="Verdana"/>
        </w:rPr>
      </w:pPr>
      <w:r w:rsidRPr="00F76FB8">
        <w:rPr>
          <w:rFonts w:ascii="Verdana" w:hAnsi="Verdana"/>
          <w:b/>
          <w:bCs/>
        </w:rPr>
        <w:t>RESOLUCIÓN 7887 DE 2012</w:t>
      </w:r>
    </w:p>
    <w:p w14:paraId="12B72E7A" w14:textId="15828EF3" w:rsidR="00F76FB8" w:rsidRPr="00F76FB8" w:rsidRDefault="00F76FB8" w:rsidP="00F76FB8">
      <w:pPr>
        <w:jc w:val="center"/>
        <w:rPr>
          <w:rFonts w:ascii="Verdana" w:hAnsi="Verdana"/>
        </w:rPr>
      </w:pPr>
      <w:r w:rsidRPr="00F76FB8">
        <w:rPr>
          <w:rFonts w:ascii="Verdana" w:hAnsi="Verdana"/>
        </w:rPr>
        <w:t>(30</w:t>
      </w:r>
      <w:r>
        <w:rPr>
          <w:rFonts w:ascii="Verdana" w:hAnsi="Verdana"/>
        </w:rPr>
        <w:t xml:space="preserve"> de </w:t>
      </w:r>
      <w:r w:rsidRPr="00F76FB8">
        <w:rPr>
          <w:rFonts w:ascii="Verdana" w:hAnsi="Verdana"/>
        </w:rPr>
        <w:t>octubre)</w:t>
      </w:r>
    </w:p>
    <w:p w14:paraId="58A8F46C" w14:textId="77777777" w:rsidR="00F76FB8" w:rsidRPr="00F76FB8" w:rsidRDefault="00F76FB8" w:rsidP="00F76FB8">
      <w:pPr>
        <w:jc w:val="center"/>
        <w:rPr>
          <w:rFonts w:ascii="Verdana" w:hAnsi="Verdana"/>
        </w:rPr>
      </w:pPr>
      <w:r w:rsidRPr="00F76FB8">
        <w:rPr>
          <w:rFonts w:ascii="Verdana" w:hAnsi="Verdana"/>
          <w:b/>
          <w:bCs/>
        </w:rPr>
        <w:t>INSTITUTO COLOMBIANO DE BIENESTAR FAMILIAR</w:t>
      </w:r>
    </w:p>
    <w:p w14:paraId="64B5A774" w14:textId="77777777" w:rsidR="00F76FB8" w:rsidRPr="00F76FB8" w:rsidRDefault="00F76FB8" w:rsidP="00F76FB8">
      <w:pPr>
        <w:jc w:val="center"/>
        <w:rPr>
          <w:rFonts w:ascii="Verdana" w:hAnsi="Verdana"/>
        </w:rPr>
      </w:pPr>
      <w:r w:rsidRPr="00F76FB8">
        <w:rPr>
          <w:rFonts w:ascii="Verdana" w:hAnsi="Verdana"/>
        </w:rPr>
        <w:t>Por la cual se ajustan los Lineamientos de Programación y Ejecución de Metas Sociales y Financieras - vigencia 2012 del Instituto Colombiano de Bienestar Familiar - Cecilia De la Fuente de Lleras.</w:t>
      </w:r>
    </w:p>
    <w:p w14:paraId="27E5ED47" w14:textId="77777777" w:rsidR="00F76FB8" w:rsidRPr="00F76FB8" w:rsidRDefault="00F76FB8" w:rsidP="00F76FB8">
      <w:pPr>
        <w:jc w:val="center"/>
        <w:rPr>
          <w:rFonts w:ascii="Verdana" w:hAnsi="Verdana"/>
        </w:rPr>
      </w:pPr>
      <w:r w:rsidRPr="00F76FB8">
        <w:rPr>
          <w:rFonts w:ascii="Verdana" w:hAnsi="Verdana"/>
          <w:b/>
          <w:bCs/>
        </w:rPr>
        <w:t>EL DIRECTOR GENERAL DEL INSTITUTO COLOMBIANO DE BIENESTAR FAMILIAR - CECILIA DE LA FUENTE DE LLERAS</w:t>
      </w:r>
    </w:p>
    <w:p w14:paraId="3ACC71FE" w14:textId="6DFCCCB3" w:rsidR="00F76FB8" w:rsidRPr="00F76FB8" w:rsidRDefault="00F76FB8" w:rsidP="00F76FB8">
      <w:pPr>
        <w:jc w:val="center"/>
        <w:rPr>
          <w:rFonts w:ascii="Verdana" w:hAnsi="Verdana"/>
        </w:rPr>
      </w:pPr>
      <w:r w:rsidRPr="00F76FB8">
        <w:rPr>
          <w:rFonts w:ascii="Verdana" w:hAnsi="Verdana"/>
        </w:rPr>
        <w:t>En uso de sus facultades legales y en especial las conferidas en el literal b) del artículo 28 de la Ley 7</w:t>
      </w:r>
      <w:r w:rsidRPr="00F76FB8">
        <w:rPr>
          <w:rFonts w:ascii="Verdana" w:hAnsi="Verdana"/>
          <w:vertAlign w:val="superscript"/>
        </w:rPr>
        <w:t>a</w:t>
      </w:r>
      <w:r w:rsidRPr="00F76FB8">
        <w:rPr>
          <w:rFonts w:ascii="Verdana" w:hAnsi="Verdana"/>
        </w:rPr>
        <w:t> de 1979, y</w:t>
      </w:r>
    </w:p>
    <w:p w14:paraId="503DF5C3" w14:textId="77777777" w:rsidR="00F76FB8" w:rsidRPr="00F76FB8" w:rsidRDefault="00F76FB8" w:rsidP="00F76FB8">
      <w:pPr>
        <w:jc w:val="center"/>
        <w:rPr>
          <w:rFonts w:ascii="Verdana" w:hAnsi="Verdana"/>
        </w:rPr>
      </w:pPr>
      <w:r w:rsidRPr="00F76FB8">
        <w:rPr>
          <w:rFonts w:ascii="Verdana" w:hAnsi="Verdana"/>
          <w:b/>
          <w:bCs/>
        </w:rPr>
        <w:t>CONSIDERANDO</w:t>
      </w:r>
    </w:p>
    <w:p w14:paraId="740A2788" w14:textId="6D817058" w:rsidR="00F76FB8" w:rsidRPr="00F76FB8" w:rsidRDefault="00F76FB8" w:rsidP="00F76FB8">
      <w:pPr>
        <w:jc w:val="both"/>
        <w:rPr>
          <w:rFonts w:ascii="Verdana" w:hAnsi="Verdana"/>
        </w:rPr>
      </w:pPr>
      <w:r w:rsidRPr="00F76FB8">
        <w:rPr>
          <w:rFonts w:ascii="Verdana" w:hAnsi="Verdana"/>
        </w:rPr>
        <w:t>Que mediante la Resolución No. 17 del 2 de enero de 2012 se aprobaron los Lineamientos de Programación y Ejecución de Metas Sociales y Financieras del Instituto Colombiano de Bienestar Familiar Cecilia De la Fuente de Lleras - vigencia 2012.</w:t>
      </w:r>
    </w:p>
    <w:p w14:paraId="449B899D" w14:textId="77777777" w:rsidR="00F76FB8" w:rsidRPr="00F76FB8" w:rsidRDefault="00F76FB8" w:rsidP="00F76FB8">
      <w:pPr>
        <w:jc w:val="both"/>
        <w:rPr>
          <w:rFonts w:ascii="Verdana" w:hAnsi="Verdana"/>
        </w:rPr>
      </w:pPr>
      <w:r w:rsidRPr="00F76FB8">
        <w:rPr>
          <w:rFonts w:ascii="Verdana" w:hAnsi="Verdana"/>
        </w:rPr>
        <w:t>Que la Ficha No. I-64 de los Lineamientos, correspondiente al identificador presupuestal </w:t>
      </w:r>
      <w:r w:rsidRPr="00F76FB8">
        <w:rPr>
          <w:rFonts w:ascii="Verdana" w:hAnsi="Verdana"/>
          <w:b/>
          <w:bCs/>
        </w:rPr>
        <w:t>C320-1504-5-1-2-3 </w:t>
      </w:r>
      <w:r w:rsidRPr="00F76FB8">
        <w:rPr>
          <w:rFonts w:ascii="Verdana" w:hAnsi="Verdana"/>
        </w:rPr>
        <w:t>que regula lo referente a </w:t>
      </w:r>
      <w:r w:rsidRPr="00F76FB8">
        <w:rPr>
          <w:rFonts w:ascii="Verdana" w:hAnsi="Verdana"/>
          <w:b/>
          <w:bCs/>
        </w:rPr>
        <w:t>Programa de Alimentación Escolar</w:t>
      </w:r>
      <w:r w:rsidRPr="00F76FB8">
        <w:rPr>
          <w:rFonts w:ascii="Verdana" w:hAnsi="Verdana"/>
        </w:rPr>
        <w:t> dentro del Proyecto Apoyo Nutricional y de Orientación Juvenil a la Niñez y la Adolescencia a Nivel Nacional, debe ser ajustada en los ítems Clasificador del Gasto e Indicadores de seguimiento y evaluación con el fin de ajustarlo de acuerdo con las nuevas directrices definidas por la Dirección de Niñez y Adolescencia para esta modalidad.</w:t>
      </w:r>
    </w:p>
    <w:p w14:paraId="1DFB1398" w14:textId="77777777" w:rsidR="00F76FB8" w:rsidRPr="00F76FB8" w:rsidRDefault="00F76FB8" w:rsidP="00F76FB8">
      <w:pPr>
        <w:jc w:val="both"/>
        <w:rPr>
          <w:rFonts w:ascii="Verdana" w:hAnsi="Verdana"/>
        </w:rPr>
      </w:pPr>
      <w:r w:rsidRPr="00F76FB8">
        <w:rPr>
          <w:rFonts w:ascii="Verdana" w:hAnsi="Verdana"/>
        </w:rPr>
        <w:t>Que para la modificación de la ficha existe el análisis de viabilidad técnica expedido por la dependencia responsable de los temas contenidos en ella.</w:t>
      </w:r>
    </w:p>
    <w:p w14:paraId="442B739A" w14:textId="77777777" w:rsidR="00F76FB8" w:rsidRPr="00F76FB8" w:rsidRDefault="00F76FB8" w:rsidP="00F76FB8">
      <w:pPr>
        <w:jc w:val="both"/>
        <w:rPr>
          <w:rFonts w:ascii="Verdana" w:hAnsi="Verdana"/>
        </w:rPr>
      </w:pPr>
      <w:proofErr w:type="gramStart"/>
      <w:r w:rsidRPr="00F76FB8">
        <w:rPr>
          <w:rFonts w:ascii="Verdana" w:hAnsi="Verdana"/>
        </w:rPr>
        <w:t>Que</w:t>
      </w:r>
      <w:proofErr w:type="gramEnd"/>
      <w:r w:rsidRPr="00F76FB8">
        <w:rPr>
          <w:rFonts w:ascii="Verdana" w:hAnsi="Verdana"/>
        </w:rPr>
        <w:t xml:space="preserve"> en mérito de lo expuesto,</w:t>
      </w:r>
    </w:p>
    <w:p w14:paraId="51FEBC6D" w14:textId="77777777" w:rsidR="00F76FB8" w:rsidRPr="00F76FB8" w:rsidRDefault="00F76FB8" w:rsidP="00F76FB8">
      <w:pPr>
        <w:jc w:val="center"/>
        <w:rPr>
          <w:rFonts w:ascii="Verdana" w:hAnsi="Verdana"/>
        </w:rPr>
      </w:pPr>
      <w:r w:rsidRPr="00F76FB8">
        <w:rPr>
          <w:rFonts w:ascii="Verdana" w:hAnsi="Verdana"/>
          <w:b/>
          <w:bCs/>
        </w:rPr>
        <w:t>RESUELVE</w:t>
      </w:r>
    </w:p>
    <w:p w14:paraId="348F8780" w14:textId="77777777" w:rsidR="00F76FB8" w:rsidRPr="00F76FB8" w:rsidRDefault="00F76FB8" w:rsidP="00F76FB8">
      <w:pPr>
        <w:jc w:val="both"/>
        <w:rPr>
          <w:rFonts w:ascii="Verdana" w:hAnsi="Verdana"/>
        </w:rPr>
      </w:pPr>
      <w:bookmarkStart w:id="1" w:name="1"/>
      <w:r w:rsidRPr="00F76FB8">
        <w:rPr>
          <w:rFonts w:ascii="Verdana" w:hAnsi="Verdana"/>
        </w:rPr>
        <w:t>ARTÍCULO PRIMERO.</w:t>
      </w:r>
      <w:bookmarkEnd w:id="1"/>
      <w:r w:rsidRPr="00F76FB8">
        <w:rPr>
          <w:rFonts w:ascii="Verdana" w:hAnsi="Verdana"/>
          <w:b/>
          <w:bCs/>
        </w:rPr>
        <w:t> </w:t>
      </w:r>
      <w:r w:rsidRPr="00F76FB8">
        <w:rPr>
          <w:rFonts w:ascii="Verdana" w:hAnsi="Verdana"/>
        </w:rPr>
        <w:t>Ajustar la Ficha No. I-64 correspondiente al identificador presupuestal </w:t>
      </w:r>
      <w:r w:rsidRPr="00F76FB8">
        <w:rPr>
          <w:rFonts w:ascii="Verdana" w:hAnsi="Verdana"/>
          <w:b/>
          <w:bCs/>
        </w:rPr>
        <w:t>C320-1504-5-1-2-3 </w:t>
      </w:r>
      <w:r w:rsidRPr="00F76FB8">
        <w:rPr>
          <w:rFonts w:ascii="Verdana" w:hAnsi="Verdana"/>
        </w:rPr>
        <w:t>de los Lineamientos de Programación y Ejecución de Metas Sociales y Financieras - vigencia 2012 en los ítems Clasificador del Gasto e Indicadores de seguimiento y evaluación, los cuales quedarán así:</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528"/>
        <w:gridCol w:w="4416"/>
        <w:gridCol w:w="1452"/>
      </w:tblGrid>
      <w:tr w:rsidR="00F76FB8" w:rsidRPr="00F76FB8" w14:paraId="05B89570" w14:textId="77777777" w:rsidTr="00F76FB8">
        <w:trPr>
          <w:tblCellSpacing w:w="15" w:type="dxa"/>
        </w:trPr>
        <w:tc>
          <w:tcPr>
            <w:tcW w:w="1500" w:type="pct"/>
            <w:tcBorders>
              <w:top w:val="nil"/>
              <w:left w:val="nil"/>
              <w:bottom w:val="nil"/>
              <w:right w:val="nil"/>
            </w:tcBorders>
            <w:tcMar>
              <w:top w:w="0" w:type="dxa"/>
              <w:left w:w="0" w:type="dxa"/>
              <w:bottom w:w="0" w:type="dxa"/>
              <w:right w:w="0" w:type="dxa"/>
            </w:tcMar>
            <w:hideMark/>
          </w:tcPr>
          <w:p w14:paraId="014E148B" w14:textId="77777777" w:rsidR="00F76FB8" w:rsidRPr="00F76FB8" w:rsidRDefault="00F76FB8" w:rsidP="00F76FB8">
            <w:pPr>
              <w:jc w:val="both"/>
              <w:rPr>
                <w:rFonts w:ascii="Verdana" w:hAnsi="Verdana"/>
              </w:rPr>
            </w:pPr>
            <w:r w:rsidRPr="00F76FB8">
              <w:rPr>
                <w:rFonts w:ascii="Verdana" w:hAnsi="Verdana"/>
              </w:rPr>
              <w:lastRenderedPageBreak/>
              <w:t>Proyecto 320-1504-5</w:t>
            </w:r>
          </w:p>
        </w:tc>
        <w:tc>
          <w:tcPr>
            <w:tcW w:w="3500" w:type="pct"/>
            <w:gridSpan w:val="2"/>
            <w:tcBorders>
              <w:top w:val="nil"/>
              <w:left w:val="nil"/>
              <w:bottom w:val="nil"/>
              <w:right w:val="nil"/>
            </w:tcBorders>
            <w:tcMar>
              <w:top w:w="0" w:type="dxa"/>
              <w:left w:w="0" w:type="dxa"/>
              <w:bottom w:w="0" w:type="dxa"/>
              <w:right w:w="0" w:type="dxa"/>
            </w:tcMar>
            <w:hideMark/>
          </w:tcPr>
          <w:p w14:paraId="2B76C036" w14:textId="77777777" w:rsidR="00F76FB8" w:rsidRPr="00F76FB8" w:rsidRDefault="00F76FB8" w:rsidP="00F76FB8">
            <w:pPr>
              <w:jc w:val="both"/>
              <w:rPr>
                <w:rFonts w:ascii="Verdana" w:hAnsi="Verdana"/>
              </w:rPr>
            </w:pPr>
            <w:r w:rsidRPr="00F76FB8">
              <w:rPr>
                <w:rFonts w:ascii="Verdana" w:hAnsi="Verdana"/>
              </w:rPr>
              <w:t>APOYO NUTRICIONAL Y DE ORIENTACIÓN JUVENIL A LA</w:t>
            </w:r>
          </w:p>
        </w:tc>
      </w:tr>
      <w:tr w:rsidR="00F76FB8" w:rsidRPr="00F76FB8" w14:paraId="4500CBC7" w14:textId="77777777" w:rsidTr="00F76FB8">
        <w:trPr>
          <w:tblCellSpacing w:w="15" w:type="dxa"/>
        </w:trPr>
        <w:tc>
          <w:tcPr>
            <w:tcW w:w="5000" w:type="pct"/>
            <w:gridSpan w:val="3"/>
            <w:tcBorders>
              <w:top w:val="nil"/>
              <w:left w:val="nil"/>
              <w:bottom w:val="nil"/>
              <w:right w:val="nil"/>
            </w:tcBorders>
            <w:tcMar>
              <w:top w:w="0" w:type="dxa"/>
              <w:left w:w="0" w:type="dxa"/>
              <w:bottom w:w="0" w:type="dxa"/>
              <w:right w:w="0" w:type="dxa"/>
            </w:tcMar>
            <w:hideMark/>
          </w:tcPr>
          <w:p w14:paraId="1549A30C" w14:textId="77777777" w:rsidR="00F76FB8" w:rsidRPr="00F76FB8" w:rsidRDefault="00F76FB8" w:rsidP="00F76FB8">
            <w:pPr>
              <w:jc w:val="both"/>
              <w:rPr>
                <w:rFonts w:ascii="Verdana" w:hAnsi="Verdana"/>
              </w:rPr>
            </w:pPr>
            <w:r w:rsidRPr="00F76FB8">
              <w:rPr>
                <w:rFonts w:ascii="Verdana" w:hAnsi="Verdana"/>
              </w:rPr>
              <w:t>NIÑEZ Y ADOLESCENCIA A NIVEL NACIONAL</w:t>
            </w:r>
          </w:p>
        </w:tc>
      </w:tr>
      <w:tr w:rsidR="00F76FB8" w:rsidRPr="00F76FB8" w14:paraId="1AB19C1A" w14:textId="77777777" w:rsidTr="00F76FB8">
        <w:trPr>
          <w:tblCellSpacing w:w="15" w:type="dxa"/>
        </w:trPr>
        <w:tc>
          <w:tcPr>
            <w:tcW w:w="1450" w:type="pct"/>
            <w:tcBorders>
              <w:top w:val="nil"/>
              <w:left w:val="nil"/>
              <w:bottom w:val="nil"/>
              <w:right w:val="nil"/>
            </w:tcBorders>
            <w:tcMar>
              <w:top w:w="0" w:type="dxa"/>
              <w:left w:w="0" w:type="dxa"/>
              <w:bottom w:w="0" w:type="dxa"/>
              <w:right w:w="0" w:type="dxa"/>
            </w:tcMar>
            <w:hideMark/>
          </w:tcPr>
          <w:p w14:paraId="4A966D44" w14:textId="77777777" w:rsidR="00F76FB8" w:rsidRPr="00F76FB8" w:rsidRDefault="00F76FB8" w:rsidP="00F76FB8">
            <w:pPr>
              <w:jc w:val="both"/>
              <w:rPr>
                <w:rFonts w:ascii="Verdana" w:hAnsi="Verdana"/>
              </w:rPr>
            </w:pPr>
            <w:r w:rsidRPr="00F76FB8">
              <w:rPr>
                <w:rFonts w:ascii="Verdana" w:hAnsi="Verdana"/>
              </w:rPr>
              <w:t>Subproyecto 1</w:t>
            </w:r>
          </w:p>
        </w:tc>
        <w:tc>
          <w:tcPr>
            <w:tcW w:w="2650" w:type="pct"/>
            <w:tcBorders>
              <w:top w:val="nil"/>
              <w:left w:val="nil"/>
              <w:bottom w:val="nil"/>
              <w:right w:val="nil"/>
            </w:tcBorders>
            <w:tcMar>
              <w:top w:w="0" w:type="dxa"/>
              <w:left w:w="0" w:type="dxa"/>
              <w:bottom w:w="0" w:type="dxa"/>
              <w:right w:w="0" w:type="dxa"/>
            </w:tcMar>
            <w:hideMark/>
          </w:tcPr>
          <w:p w14:paraId="07EAB54E" w14:textId="77777777" w:rsidR="00F76FB8" w:rsidRPr="00F76FB8" w:rsidRDefault="00F76FB8" w:rsidP="00F76FB8">
            <w:pPr>
              <w:jc w:val="both"/>
              <w:rPr>
                <w:rFonts w:ascii="Verdana" w:hAnsi="Verdana"/>
              </w:rPr>
            </w:pPr>
            <w:r w:rsidRPr="00F76FB8">
              <w:rPr>
                <w:rFonts w:ascii="Verdana" w:hAnsi="Verdana"/>
              </w:rPr>
              <w:t>PROGRAMA DE ALIMENTACIÓN ESCOLAR -</w:t>
            </w:r>
          </w:p>
        </w:tc>
        <w:tc>
          <w:tcPr>
            <w:tcW w:w="900" w:type="pct"/>
            <w:tcBorders>
              <w:top w:val="nil"/>
              <w:left w:val="nil"/>
              <w:bottom w:val="nil"/>
              <w:right w:val="nil"/>
            </w:tcBorders>
            <w:tcMar>
              <w:top w:w="0" w:type="dxa"/>
              <w:left w:w="0" w:type="dxa"/>
              <w:bottom w:w="0" w:type="dxa"/>
              <w:right w:w="0" w:type="dxa"/>
            </w:tcMar>
            <w:hideMark/>
          </w:tcPr>
          <w:p w14:paraId="523A1E84" w14:textId="77777777" w:rsidR="00F76FB8" w:rsidRPr="00F76FB8" w:rsidRDefault="00F76FB8" w:rsidP="00F76FB8">
            <w:pPr>
              <w:jc w:val="both"/>
              <w:rPr>
                <w:rFonts w:ascii="Verdana" w:hAnsi="Verdana"/>
              </w:rPr>
            </w:pPr>
            <w:r w:rsidRPr="00F76FB8">
              <w:rPr>
                <w:rFonts w:ascii="Verdana" w:hAnsi="Verdana"/>
              </w:rPr>
              <w:t>PAE -</w:t>
            </w:r>
          </w:p>
        </w:tc>
      </w:tr>
      <w:tr w:rsidR="00F76FB8" w:rsidRPr="00F76FB8" w14:paraId="607822A1" w14:textId="77777777" w:rsidTr="00F76FB8">
        <w:trPr>
          <w:tblCellSpacing w:w="15" w:type="dxa"/>
        </w:trPr>
        <w:tc>
          <w:tcPr>
            <w:tcW w:w="5000" w:type="pct"/>
            <w:gridSpan w:val="3"/>
            <w:tcBorders>
              <w:top w:val="nil"/>
              <w:left w:val="nil"/>
              <w:bottom w:val="nil"/>
              <w:right w:val="nil"/>
            </w:tcBorders>
            <w:tcMar>
              <w:top w:w="0" w:type="dxa"/>
              <w:left w:w="0" w:type="dxa"/>
              <w:bottom w:w="0" w:type="dxa"/>
              <w:right w:w="0" w:type="dxa"/>
            </w:tcMar>
            <w:hideMark/>
          </w:tcPr>
          <w:p w14:paraId="2ABE455F" w14:textId="77777777" w:rsidR="00F76FB8" w:rsidRPr="00F76FB8" w:rsidRDefault="00F76FB8" w:rsidP="00F76FB8">
            <w:pPr>
              <w:jc w:val="both"/>
              <w:rPr>
                <w:rFonts w:ascii="Verdana" w:hAnsi="Verdana"/>
              </w:rPr>
            </w:pPr>
            <w:r w:rsidRPr="00F76FB8">
              <w:rPr>
                <w:rFonts w:ascii="Verdana" w:hAnsi="Verdana"/>
              </w:rPr>
              <w:t>DESAYUNO</w:t>
            </w:r>
          </w:p>
        </w:tc>
      </w:tr>
      <w:tr w:rsidR="00F76FB8" w:rsidRPr="00F76FB8" w14:paraId="20F264AC" w14:textId="77777777" w:rsidTr="00F76FB8">
        <w:trPr>
          <w:tblCellSpacing w:w="15" w:type="dxa"/>
        </w:trPr>
        <w:tc>
          <w:tcPr>
            <w:tcW w:w="1450" w:type="pct"/>
            <w:tcBorders>
              <w:top w:val="nil"/>
              <w:left w:val="nil"/>
              <w:bottom w:val="nil"/>
              <w:right w:val="nil"/>
            </w:tcBorders>
            <w:tcMar>
              <w:top w:w="0" w:type="dxa"/>
              <w:left w:w="0" w:type="dxa"/>
              <w:bottom w:w="0" w:type="dxa"/>
              <w:right w:w="0" w:type="dxa"/>
            </w:tcMar>
            <w:hideMark/>
          </w:tcPr>
          <w:p w14:paraId="7BD56183" w14:textId="77777777" w:rsidR="00F76FB8" w:rsidRPr="00F76FB8" w:rsidRDefault="00F76FB8" w:rsidP="00F76FB8">
            <w:pPr>
              <w:jc w:val="both"/>
              <w:rPr>
                <w:rFonts w:ascii="Verdana" w:hAnsi="Verdana"/>
              </w:rPr>
            </w:pPr>
            <w:r w:rsidRPr="00F76FB8">
              <w:rPr>
                <w:rFonts w:ascii="Verdana" w:hAnsi="Verdana"/>
              </w:rPr>
              <w:t>Subproyecto 2</w:t>
            </w:r>
          </w:p>
        </w:tc>
        <w:tc>
          <w:tcPr>
            <w:tcW w:w="2650" w:type="pct"/>
            <w:tcBorders>
              <w:top w:val="nil"/>
              <w:left w:val="nil"/>
              <w:bottom w:val="nil"/>
              <w:right w:val="nil"/>
            </w:tcBorders>
            <w:tcMar>
              <w:top w:w="0" w:type="dxa"/>
              <w:left w:w="0" w:type="dxa"/>
              <w:bottom w:w="0" w:type="dxa"/>
              <w:right w:w="0" w:type="dxa"/>
            </w:tcMar>
            <w:hideMark/>
          </w:tcPr>
          <w:p w14:paraId="440AD56D" w14:textId="77777777" w:rsidR="00F76FB8" w:rsidRPr="00F76FB8" w:rsidRDefault="00F76FB8" w:rsidP="00F76FB8">
            <w:pPr>
              <w:jc w:val="both"/>
              <w:rPr>
                <w:rFonts w:ascii="Verdana" w:hAnsi="Verdana"/>
              </w:rPr>
            </w:pPr>
            <w:r w:rsidRPr="00F76FB8">
              <w:rPr>
                <w:rFonts w:ascii="Verdana" w:hAnsi="Verdana"/>
              </w:rPr>
              <w:t>PROGRAMA DE ALIMENTACIÓN ESCOLAR -</w:t>
            </w:r>
          </w:p>
        </w:tc>
        <w:tc>
          <w:tcPr>
            <w:tcW w:w="900" w:type="pct"/>
            <w:tcBorders>
              <w:top w:val="nil"/>
              <w:left w:val="nil"/>
              <w:bottom w:val="nil"/>
              <w:right w:val="nil"/>
            </w:tcBorders>
            <w:tcMar>
              <w:top w:w="0" w:type="dxa"/>
              <w:left w:w="0" w:type="dxa"/>
              <w:bottom w:w="0" w:type="dxa"/>
              <w:right w:w="0" w:type="dxa"/>
            </w:tcMar>
            <w:hideMark/>
          </w:tcPr>
          <w:p w14:paraId="6EAA93BB" w14:textId="77777777" w:rsidR="00F76FB8" w:rsidRPr="00F76FB8" w:rsidRDefault="00F76FB8" w:rsidP="00F76FB8">
            <w:pPr>
              <w:jc w:val="both"/>
              <w:rPr>
                <w:rFonts w:ascii="Verdana" w:hAnsi="Verdana"/>
              </w:rPr>
            </w:pPr>
            <w:r w:rsidRPr="00F76FB8">
              <w:rPr>
                <w:rFonts w:ascii="Verdana" w:hAnsi="Verdana"/>
              </w:rPr>
              <w:t>PAE -</w:t>
            </w:r>
          </w:p>
        </w:tc>
      </w:tr>
      <w:tr w:rsidR="00F76FB8" w:rsidRPr="00F76FB8" w14:paraId="1DCD1674" w14:textId="77777777" w:rsidTr="00F76FB8">
        <w:trPr>
          <w:tblCellSpacing w:w="15" w:type="dxa"/>
        </w:trPr>
        <w:tc>
          <w:tcPr>
            <w:tcW w:w="5000" w:type="pct"/>
            <w:gridSpan w:val="3"/>
            <w:tcBorders>
              <w:top w:val="nil"/>
              <w:left w:val="nil"/>
              <w:bottom w:val="nil"/>
              <w:right w:val="nil"/>
            </w:tcBorders>
            <w:tcMar>
              <w:top w:w="0" w:type="dxa"/>
              <w:left w:w="0" w:type="dxa"/>
              <w:bottom w:w="0" w:type="dxa"/>
              <w:right w:w="0" w:type="dxa"/>
            </w:tcMar>
            <w:hideMark/>
          </w:tcPr>
          <w:p w14:paraId="0E0CD827" w14:textId="77777777" w:rsidR="00F76FB8" w:rsidRPr="00F76FB8" w:rsidRDefault="00F76FB8" w:rsidP="00F76FB8">
            <w:pPr>
              <w:jc w:val="both"/>
              <w:rPr>
                <w:rFonts w:ascii="Verdana" w:hAnsi="Verdana"/>
              </w:rPr>
            </w:pPr>
            <w:r w:rsidRPr="00F76FB8">
              <w:rPr>
                <w:rFonts w:ascii="Verdana" w:hAnsi="Verdana"/>
              </w:rPr>
              <w:t>ALMUERZO</w:t>
            </w:r>
          </w:p>
        </w:tc>
      </w:tr>
      <w:tr w:rsidR="00F76FB8" w:rsidRPr="00F76FB8" w14:paraId="2FFED506" w14:textId="77777777" w:rsidTr="00F76FB8">
        <w:trPr>
          <w:tblCellSpacing w:w="15" w:type="dxa"/>
        </w:trPr>
        <w:tc>
          <w:tcPr>
            <w:tcW w:w="1450" w:type="pct"/>
            <w:tcBorders>
              <w:top w:val="nil"/>
              <w:left w:val="nil"/>
              <w:bottom w:val="nil"/>
              <w:right w:val="nil"/>
            </w:tcBorders>
            <w:tcMar>
              <w:top w:w="0" w:type="dxa"/>
              <w:left w:w="0" w:type="dxa"/>
              <w:bottom w:w="0" w:type="dxa"/>
              <w:right w:w="0" w:type="dxa"/>
            </w:tcMar>
            <w:hideMark/>
          </w:tcPr>
          <w:p w14:paraId="5FE32227" w14:textId="77777777" w:rsidR="00F76FB8" w:rsidRPr="00F76FB8" w:rsidRDefault="00F76FB8" w:rsidP="00F76FB8">
            <w:pPr>
              <w:jc w:val="both"/>
              <w:rPr>
                <w:rFonts w:ascii="Verdana" w:hAnsi="Verdana"/>
              </w:rPr>
            </w:pPr>
            <w:r w:rsidRPr="00F76FB8">
              <w:rPr>
                <w:rFonts w:ascii="Verdana" w:hAnsi="Verdana"/>
              </w:rPr>
              <w:t>Subproyecto 3</w:t>
            </w:r>
          </w:p>
        </w:tc>
        <w:tc>
          <w:tcPr>
            <w:tcW w:w="2650" w:type="pct"/>
            <w:tcBorders>
              <w:top w:val="nil"/>
              <w:left w:val="nil"/>
              <w:bottom w:val="nil"/>
              <w:right w:val="nil"/>
            </w:tcBorders>
            <w:tcMar>
              <w:top w:w="0" w:type="dxa"/>
              <w:left w:w="0" w:type="dxa"/>
              <w:bottom w:w="0" w:type="dxa"/>
              <w:right w:w="0" w:type="dxa"/>
            </w:tcMar>
            <w:hideMark/>
          </w:tcPr>
          <w:p w14:paraId="27A20CFC" w14:textId="77777777" w:rsidR="00F76FB8" w:rsidRPr="00F76FB8" w:rsidRDefault="00F76FB8" w:rsidP="00F76FB8">
            <w:pPr>
              <w:jc w:val="both"/>
              <w:rPr>
                <w:rFonts w:ascii="Verdana" w:hAnsi="Verdana"/>
              </w:rPr>
            </w:pPr>
            <w:r w:rsidRPr="00F76FB8">
              <w:rPr>
                <w:rFonts w:ascii="Verdana" w:hAnsi="Verdana"/>
              </w:rPr>
              <w:t>PROGRAMA DE ALIMENTACIÓN ESCOLAR -</w:t>
            </w:r>
          </w:p>
        </w:tc>
        <w:tc>
          <w:tcPr>
            <w:tcW w:w="900" w:type="pct"/>
            <w:tcBorders>
              <w:top w:val="nil"/>
              <w:left w:val="nil"/>
              <w:bottom w:val="nil"/>
              <w:right w:val="nil"/>
            </w:tcBorders>
            <w:tcMar>
              <w:top w:w="0" w:type="dxa"/>
              <w:left w:w="0" w:type="dxa"/>
              <w:bottom w:w="0" w:type="dxa"/>
              <w:right w:w="0" w:type="dxa"/>
            </w:tcMar>
            <w:hideMark/>
          </w:tcPr>
          <w:p w14:paraId="0ED8D8B8" w14:textId="77777777" w:rsidR="00F76FB8" w:rsidRPr="00F76FB8" w:rsidRDefault="00F76FB8" w:rsidP="00F76FB8">
            <w:pPr>
              <w:jc w:val="both"/>
              <w:rPr>
                <w:rFonts w:ascii="Verdana" w:hAnsi="Verdana"/>
              </w:rPr>
            </w:pPr>
            <w:r w:rsidRPr="00F76FB8">
              <w:rPr>
                <w:rFonts w:ascii="Verdana" w:hAnsi="Verdana"/>
              </w:rPr>
              <w:t>PAE -</w:t>
            </w:r>
          </w:p>
        </w:tc>
      </w:tr>
      <w:tr w:rsidR="00F76FB8" w:rsidRPr="00F76FB8" w14:paraId="35DFDA21" w14:textId="77777777" w:rsidTr="00F76FB8">
        <w:trPr>
          <w:tblCellSpacing w:w="15" w:type="dxa"/>
        </w:trPr>
        <w:tc>
          <w:tcPr>
            <w:tcW w:w="5000" w:type="pct"/>
            <w:gridSpan w:val="3"/>
            <w:tcBorders>
              <w:top w:val="nil"/>
              <w:left w:val="nil"/>
              <w:bottom w:val="nil"/>
              <w:right w:val="nil"/>
            </w:tcBorders>
            <w:tcMar>
              <w:top w:w="0" w:type="dxa"/>
              <w:left w:w="0" w:type="dxa"/>
              <w:bottom w:w="0" w:type="dxa"/>
              <w:right w:w="0" w:type="dxa"/>
            </w:tcMar>
            <w:hideMark/>
          </w:tcPr>
          <w:p w14:paraId="5E3F1A46" w14:textId="77777777" w:rsidR="00F76FB8" w:rsidRPr="00F76FB8" w:rsidRDefault="00F76FB8" w:rsidP="00F76FB8">
            <w:pPr>
              <w:jc w:val="both"/>
              <w:rPr>
                <w:rFonts w:ascii="Verdana" w:hAnsi="Verdana"/>
              </w:rPr>
            </w:pPr>
            <w:r w:rsidRPr="00F76FB8">
              <w:rPr>
                <w:rFonts w:ascii="Verdana" w:hAnsi="Verdana"/>
              </w:rPr>
              <w:t>INTERNADOS RURALES</w:t>
            </w:r>
          </w:p>
        </w:tc>
      </w:tr>
    </w:tbl>
    <w:p w14:paraId="67BFF0A3" w14:textId="77777777" w:rsidR="00F76FB8" w:rsidRPr="00F76FB8" w:rsidRDefault="00F76FB8" w:rsidP="00F76FB8">
      <w:pPr>
        <w:jc w:val="both"/>
        <w:rPr>
          <w:rFonts w:ascii="Verdana" w:hAnsi="Verdana"/>
        </w:rPr>
      </w:pPr>
      <w:r w:rsidRPr="00F76FB8">
        <w:rPr>
          <w:rFonts w:ascii="Verdana" w:hAnsi="Verdana"/>
          <w:b/>
          <w:bCs/>
        </w:rPr>
        <w:t>CLASIFICADOR DEL GASTO:</w:t>
      </w:r>
    </w:p>
    <w:p w14:paraId="497F9673" w14:textId="77777777" w:rsidR="00F76FB8" w:rsidRPr="00F76FB8" w:rsidRDefault="00F76FB8" w:rsidP="00F76FB8">
      <w:pPr>
        <w:jc w:val="both"/>
        <w:rPr>
          <w:rFonts w:ascii="Verdana" w:hAnsi="Verdana"/>
        </w:rPr>
      </w:pPr>
      <w:r w:rsidRPr="00F76FB8">
        <w:rPr>
          <w:rFonts w:ascii="Verdana" w:hAnsi="Verdana"/>
        </w:rPr>
        <w:t>-- Transferencias por Contratos de Aporte para la prestación integral del servicio de alimentación escolar.</w:t>
      </w:r>
    </w:p>
    <w:p w14:paraId="3EBB8F92" w14:textId="77777777" w:rsidR="00F76FB8" w:rsidRPr="00F76FB8" w:rsidRDefault="00F76FB8" w:rsidP="00F76FB8">
      <w:pPr>
        <w:jc w:val="both"/>
        <w:rPr>
          <w:rFonts w:ascii="Verdana" w:hAnsi="Verdana"/>
        </w:rPr>
      </w:pPr>
      <w:r w:rsidRPr="00F76FB8">
        <w:rPr>
          <w:rFonts w:ascii="Verdana" w:hAnsi="Verdana"/>
        </w:rPr>
        <w:t>-- Contrato de suministros, transporte y/o todos aquellos servicios o gastos requeridos para el suministro y entrega de las raciones industrializadas. Este clasificador podrá ser ejecutado por la Sede de la Dirección General o por las Direcciones Regionales del ICBF.</w:t>
      </w:r>
    </w:p>
    <w:p w14:paraId="3C7FAD0E" w14:textId="77777777" w:rsidR="00F76FB8" w:rsidRPr="00F76FB8" w:rsidRDefault="00F76FB8" w:rsidP="00F76FB8">
      <w:pPr>
        <w:jc w:val="both"/>
        <w:rPr>
          <w:rFonts w:ascii="Verdana" w:hAnsi="Verdana"/>
        </w:rPr>
      </w:pPr>
      <w:r w:rsidRPr="00F76FB8">
        <w:rPr>
          <w:rFonts w:ascii="Verdana" w:hAnsi="Verdana"/>
        </w:rPr>
        <w:t xml:space="preserve">-- Contratos o convenios </w:t>
      </w:r>
      <w:proofErr w:type="spellStart"/>
      <w:r w:rsidRPr="00F76FB8">
        <w:rPr>
          <w:rFonts w:ascii="Verdana" w:hAnsi="Verdana"/>
        </w:rPr>
        <w:t>inter-administrativos</w:t>
      </w:r>
      <w:proofErr w:type="spellEnd"/>
      <w:r w:rsidRPr="00F76FB8">
        <w:rPr>
          <w:rFonts w:ascii="Verdana" w:hAnsi="Verdana"/>
        </w:rPr>
        <w:t xml:space="preserve"> de cofinanciación y cooperación.</w:t>
      </w:r>
    </w:p>
    <w:p w14:paraId="091EC3D6" w14:textId="77777777" w:rsidR="00F76FB8" w:rsidRPr="00F76FB8" w:rsidRDefault="00F76FB8" w:rsidP="00F76FB8">
      <w:pPr>
        <w:jc w:val="both"/>
        <w:rPr>
          <w:rFonts w:ascii="Verdana" w:hAnsi="Verdana"/>
        </w:rPr>
      </w:pPr>
      <w:r w:rsidRPr="00F76FB8">
        <w:rPr>
          <w:rFonts w:ascii="Verdana" w:hAnsi="Verdana"/>
        </w:rPr>
        <w:t>-- Financiación de actividades, estrategias, tecnologías (que no impliquen compra de equipo), metodologías, sistemas y demás gastos que demande el diseño, prueba, implementación y mejora del control y seguimiento del programa de alimentación escolar, con el fin de garantizar que las raciones efectivamente lleguen a la población escolar matriculada en las instituciones educativas oficiales. Este clasificador solamente podrá ser ejecutado por la Sede de la Dirección General.</w:t>
      </w:r>
    </w:p>
    <w:p w14:paraId="7C4BA2BC" w14:textId="77777777" w:rsidR="00F76FB8" w:rsidRPr="00F76FB8" w:rsidRDefault="00F76FB8" w:rsidP="00F76FB8">
      <w:pPr>
        <w:jc w:val="both"/>
        <w:rPr>
          <w:rFonts w:ascii="Verdana" w:hAnsi="Verdana"/>
        </w:rPr>
      </w:pPr>
      <w:r w:rsidRPr="00F76FB8">
        <w:rPr>
          <w:rFonts w:ascii="Verdana" w:hAnsi="Verdana"/>
          <w:b/>
          <w:bCs/>
        </w:rPr>
        <w:t>INDICADORES DE SEGUIMIENTO Y EVALUACIÓN:</w:t>
      </w:r>
    </w:p>
    <w:p w14:paraId="7CAEF6C3" w14:textId="77777777" w:rsidR="00F76FB8" w:rsidRPr="00F76FB8" w:rsidRDefault="00F76FB8" w:rsidP="00F76FB8">
      <w:pPr>
        <w:jc w:val="both"/>
        <w:rPr>
          <w:rFonts w:ascii="Verdana" w:hAnsi="Verdana"/>
        </w:rPr>
      </w:pPr>
      <w:r w:rsidRPr="00F76FB8">
        <w:rPr>
          <w:rFonts w:ascii="Verdana" w:hAnsi="Verdana"/>
        </w:rPr>
        <w:t>-- Niños, niñas y adolescentes atendidos por el Programa de Alimentación Escolar.</w:t>
      </w:r>
    </w:p>
    <w:p w14:paraId="5F3D8967" w14:textId="77777777" w:rsidR="00F76FB8" w:rsidRPr="00F76FB8" w:rsidRDefault="00F76FB8" w:rsidP="00F76FB8">
      <w:pPr>
        <w:jc w:val="both"/>
        <w:rPr>
          <w:rFonts w:ascii="Verdana" w:hAnsi="Verdana"/>
        </w:rPr>
      </w:pPr>
      <w:r w:rsidRPr="00F76FB8">
        <w:rPr>
          <w:rFonts w:ascii="Verdana" w:hAnsi="Verdana"/>
        </w:rPr>
        <w:t>-- Niños, niñas y adolescentes en situación de desplazamiento atendidos por el Programa de Alimentación Escolar.</w:t>
      </w:r>
    </w:p>
    <w:p w14:paraId="56CD2A47" w14:textId="77777777" w:rsidR="00F76FB8" w:rsidRPr="00F76FB8" w:rsidRDefault="00F76FB8" w:rsidP="00F76FB8">
      <w:pPr>
        <w:jc w:val="both"/>
        <w:rPr>
          <w:rFonts w:ascii="Verdana" w:hAnsi="Verdana"/>
        </w:rPr>
      </w:pPr>
      <w:r w:rsidRPr="00F76FB8">
        <w:rPr>
          <w:rFonts w:ascii="Verdana" w:hAnsi="Verdana"/>
        </w:rPr>
        <w:t>-- Días promedio de atención del Programa de Alimentación Escolar.</w:t>
      </w:r>
    </w:p>
    <w:p w14:paraId="17DBDB49" w14:textId="77777777" w:rsidR="00F76FB8" w:rsidRPr="00F76FB8" w:rsidRDefault="00F76FB8" w:rsidP="00F76FB8">
      <w:pPr>
        <w:jc w:val="both"/>
        <w:rPr>
          <w:rFonts w:ascii="Verdana" w:hAnsi="Verdana"/>
        </w:rPr>
      </w:pPr>
      <w:bookmarkStart w:id="2" w:name="2"/>
      <w:r w:rsidRPr="00F76FB8">
        <w:rPr>
          <w:rFonts w:ascii="Verdana" w:hAnsi="Verdana"/>
        </w:rPr>
        <w:lastRenderedPageBreak/>
        <w:t>ARTÍCULO SEGUNDO.</w:t>
      </w:r>
      <w:bookmarkEnd w:id="2"/>
      <w:r w:rsidRPr="00F76FB8">
        <w:rPr>
          <w:rFonts w:ascii="Verdana" w:hAnsi="Verdana"/>
          <w:b/>
          <w:bCs/>
        </w:rPr>
        <w:t> </w:t>
      </w:r>
      <w:r w:rsidRPr="00F76FB8">
        <w:rPr>
          <w:rFonts w:ascii="Verdana" w:hAnsi="Verdana"/>
        </w:rPr>
        <w:t>La presente resolución rige a partir de la fecha de su expedición.</w:t>
      </w:r>
    </w:p>
    <w:p w14:paraId="68782BCD" w14:textId="77777777" w:rsidR="00F76FB8" w:rsidRPr="00EB7D1E" w:rsidRDefault="00F76FB8" w:rsidP="00EB7D1E">
      <w:pPr>
        <w:jc w:val="center"/>
        <w:rPr>
          <w:rFonts w:ascii="Verdana" w:hAnsi="Verdana"/>
          <w:b/>
          <w:bCs/>
        </w:rPr>
      </w:pPr>
      <w:r w:rsidRPr="00EB7D1E">
        <w:rPr>
          <w:rFonts w:ascii="Verdana" w:hAnsi="Verdana"/>
          <w:b/>
          <w:bCs/>
        </w:rPr>
        <w:t>COMUNÍQUESE Y CÚMPLASE</w:t>
      </w:r>
    </w:p>
    <w:p w14:paraId="65353EB9" w14:textId="2071559D" w:rsidR="00F76FB8" w:rsidRPr="00F76FB8" w:rsidRDefault="00F76FB8" w:rsidP="00F76FB8">
      <w:pPr>
        <w:jc w:val="center"/>
        <w:rPr>
          <w:rFonts w:ascii="Verdana" w:hAnsi="Verdana"/>
        </w:rPr>
      </w:pPr>
      <w:r w:rsidRPr="00F76FB8">
        <w:rPr>
          <w:rFonts w:ascii="Verdana" w:hAnsi="Verdana"/>
        </w:rPr>
        <w:t xml:space="preserve">Dada en Bogotá D.C., </w:t>
      </w:r>
      <w:proofErr w:type="gramStart"/>
      <w:r w:rsidRPr="00F76FB8">
        <w:rPr>
          <w:rFonts w:ascii="Verdana" w:hAnsi="Verdana"/>
        </w:rPr>
        <w:t>a los 30</w:t>
      </w:r>
      <w:r>
        <w:rPr>
          <w:rFonts w:ascii="Verdana" w:hAnsi="Verdana"/>
        </w:rPr>
        <w:t xml:space="preserve"> de octubre de</w:t>
      </w:r>
      <w:r w:rsidRPr="00F76FB8">
        <w:rPr>
          <w:rFonts w:ascii="Verdana" w:hAnsi="Verdana"/>
        </w:rPr>
        <w:t xml:space="preserve"> 2012</w:t>
      </w:r>
      <w:proofErr w:type="gramEnd"/>
    </w:p>
    <w:p w14:paraId="46B42496" w14:textId="77777777" w:rsidR="00F76FB8" w:rsidRPr="00F76FB8" w:rsidRDefault="00F76FB8" w:rsidP="00F76FB8">
      <w:pPr>
        <w:jc w:val="center"/>
        <w:rPr>
          <w:rFonts w:ascii="Verdana" w:hAnsi="Verdana"/>
        </w:rPr>
      </w:pPr>
      <w:r w:rsidRPr="00F76FB8">
        <w:rPr>
          <w:rFonts w:ascii="Verdana" w:hAnsi="Verdana"/>
          <w:b/>
          <w:bCs/>
        </w:rPr>
        <w:t>DIEGO ANDRÉS MOLANO APONTE</w:t>
      </w:r>
    </w:p>
    <w:p w14:paraId="07EC5F1E" w14:textId="77777777" w:rsidR="00F76FB8" w:rsidRPr="00F76FB8" w:rsidRDefault="00F76FB8" w:rsidP="00F76FB8">
      <w:pPr>
        <w:jc w:val="center"/>
        <w:rPr>
          <w:rFonts w:ascii="Verdana" w:hAnsi="Verdana"/>
        </w:rPr>
      </w:pPr>
      <w:r w:rsidRPr="00F76FB8">
        <w:rPr>
          <w:rFonts w:ascii="Verdana" w:hAnsi="Verdana"/>
        </w:rPr>
        <w:t>Director General</w:t>
      </w:r>
    </w:p>
    <w:p w14:paraId="1209C676" w14:textId="77777777" w:rsidR="00F76FB8" w:rsidRPr="00F76FB8" w:rsidRDefault="00F76FB8" w:rsidP="00F76FB8">
      <w:pPr>
        <w:jc w:val="center"/>
        <w:rPr>
          <w:rFonts w:ascii="Verdana" w:hAnsi="Verdana"/>
        </w:rPr>
      </w:pPr>
      <w:r w:rsidRPr="00F76FB8">
        <w:rPr>
          <w:rFonts w:ascii="Verdana" w:hAnsi="Verdana"/>
          <w:b/>
          <w:bCs/>
        </w:rPr>
        <w:t>Departamento Administrativo para la Prosperidad Social</w:t>
      </w:r>
    </w:p>
    <w:p w14:paraId="1C0F5810" w14:textId="77777777" w:rsidR="00F76FB8" w:rsidRPr="00F76FB8" w:rsidRDefault="00F76FB8" w:rsidP="00F76FB8">
      <w:pPr>
        <w:jc w:val="center"/>
        <w:rPr>
          <w:rFonts w:ascii="Verdana" w:hAnsi="Verdana"/>
        </w:rPr>
      </w:pPr>
      <w:r w:rsidRPr="00F76FB8">
        <w:rPr>
          <w:rFonts w:ascii="Verdana" w:hAnsi="Verdana"/>
        </w:rPr>
        <w:t>Instituto Colombiano de Bienestar Familiar</w:t>
      </w:r>
    </w:p>
    <w:p w14:paraId="13B22453" w14:textId="77777777" w:rsidR="00F76FB8" w:rsidRPr="00F76FB8" w:rsidRDefault="00F76FB8" w:rsidP="00F76FB8">
      <w:pPr>
        <w:jc w:val="center"/>
        <w:rPr>
          <w:rFonts w:ascii="Verdana" w:hAnsi="Verdana"/>
        </w:rPr>
      </w:pPr>
      <w:r w:rsidRPr="00F76FB8">
        <w:rPr>
          <w:rFonts w:ascii="Verdana" w:hAnsi="Verdana"/>
          <w:b/>
          <w:bCs/>
        </w:rPr>
        <w:t>Cecilia De la Fuente de Lleras</w:t>
      </w:r>
    </w:p>
    <w:p w14:paraId="342834B5" w14:textId="77777777" w:rsidR="00F76FB8" w:rsidRPr="00F76FB8" w:rsidRDefault="00F76FB8" w:rsidP="00F76FB8">
      <w:pPr>
        <w:jc w:val="center"/>
        <w:rPr>
          <w:rFonts w:ascii="Verdana" w:hAnsi="Verdana"/>
        </w:rPr>
      </w:pPr>
      <w:r w:rsidRPr="00F76FB8">
        <w:rPr>
          <w:rFonts w:ascii="Verdana" w:hAnsi="Verdana"/>
          <w:b/>
          <w:bCs/>
        </w:rPr>
        <w:t>Dirección de Planeación y Control de Gestión - Subdirección de Programación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33"/>
        <w:gridCol w:w="1347"/>
        <w:gridCol w:w="747"/>
        <w:gridCol w:w="719"/>
        <w:gridCol w:w="2231"/>
        <w:gridCol w:w="1576"/>
        <w:gridCol w:w="85"/>
        <w:gridCol w:w="100"/>
      </w:tblGrid>
      <w:tr w:rsidR="00F76FB8" w:rsidRPr="00F76FB8" w14:paraId="3484149D" w14:textId="77777777" w:rsidTr="00F76FB8">
        <w:trPr>
          <w:gridAfter w:val="2"/>
          <w:wAfter w:w="4053" w:type="dxa"/>
          <w:tblCellSpacing w:w="15" w:type="dxa"/>
        </w:trPr>
        <w:tc>
          <w:tcPr>
            <w:tcW w:w="950" w:type="pct"/>
            <w:tcBorders>
              <w:top w:val="nil"/>
              <w:left w:val="nil"/>
              <w:bottom w:val="nil"/>
              <w:right w:val="nil"/>
            </w:tcBorders>
            <w:tcMar>
              <w:top w:w="0" w:type="dxa"/>
              <w:left w:w="0" w:type="dxa"/>
              <w:bottom w:w="0" w:type="dxa"/>
              <w:right w:w="0" w:type="dxa"/>
            </w:tcMar>
            <w:hideMark/>
          </w:tcPr>
          <w:p w14:paraId="057AD235" w14:textId="77777777" w:rsidR="00F76FB8" w:rsidRPr="00F76FB8" w:rsidRDefault="00F76FB8" w:rsidP="00F76FB8">
            <w:pPr>
              <w:jc w:val="both"/>
              <w:rPr>
                <w:rFonts w:ascii="Verdana" w:hAnsi="Verdana"/>
              </w:rPr>
            </w:pPr>
            <w:r w:rsidRPr="00F76FB8">
              <w:rPr>
                <w:rFonts w:ascii="Verdana" w:hAnsi="Verdana"/>
                <w:b/>
                <w:bCs/>
              </w:rPr>
              <w:t>FICHA I-64</w:t>
            </w:r>
          </w:p>
        </w:tc>
        <w:tc>
          <w:tcPr>
            <w:tcW w:w="750" w:type="pct"/>
            <w:tcBorders>
              <w:top w:val="nil"/>
              <w:left w:val="nil"/>
              <w:bottom w:val="nil"/>
              <w:right w:val="nil"/>
            </w:tcBorders>
            <w:tcMar>
              <w:top w:w="0" w:type="dxa"/>
              <w:left w:w="0" w:type="dxa"/>
              <w:bottom w:w="0" w:type="dxa"/>
              <w:right w:w="0" w:type="dxa"/>
            </w:tcMar>
            <w:hideMark/>
          </w:tcPr>
          <w:p w14:paraId="53DEF58C" w14:textId="77777777" w:rsidR="00F76FB8" w:rsidRPr="00F76FB8" w:rsidRDefault="00F76FB8" w:rsidP="00F76FB8">
            <w:pPr>
              <w:jc w:val="both"/>
              <w:rPr>
                <w:rFonts w:ascii="Verdana" w:hAnsi="Verdana"/>
              </w:rPr>
            </w:pPr>
            <w:r w:rsidRPr="00F76FB8">
              <w:rPr>
                <w:rFonts w:ascii="Verdana" w:hAnsi="Verdana"/>
                <w:b/>
                <w:bCs/>
              </w:rPr>
              <w:t>PRG</w:t>
            </w:r>
          </w:p>
        </w:tc>
        <w:tc>
          <w:tcPr>
            <w:tcW w:w="600" w:type="pct"/>
            <w:tcBorders>
              <w:top w:val="nil"/>
              <w:left w:val="nil"/>
              <w:bottom w:val="nil"/>
              <w:right w:val="nil"/>
            </w:tcBorders>
            <w:tcMar>
              <w:top w:w="0" w:type="dxa"/>
              <w:left w:w="0" w:type="dxa"/>
              <w:bottom w:w="0" w:type="dxa"/>
              <w:right w:w="0" w:type="dxa"/>
            </w:tcMar>
            <w:hideMark/>
          </w:tcPr>
          <w:p w14:paraId="2B7EE1D7" w14:textId="77777777" w:rsidR="00F76FB8" w:rsidRPr="00F76FB8" w:rsidRDefault="00F76FB8" w:rsidP="00F76FB8">
            <w:pPr>
              <w:jc w:val="both"/>
              <w:rPr>
                <w:rFonts w:ascii="Verdana" w:hAnsi="Verdana"/>
              </w:rPr>
            </w:pPr>
            <w:r w:rsidRPr="00F76FB8">
              <w:rPr>
                <w:rFonts w:ascii="Verdana" w:hAnsi="Verdana"/>
                <w:b/>
                <w:bCs/>
              </w:rPr>
              <w:t>SPRG</w:t>
            </w:r>
          </w:p>
        </w:tc>
        <w:tc>
          <w:tcPr>
            <w:tcW w:w="550" w:type="pct"/>
            <w:tcBorders>
              <w:top w:val="nil"/>
              <w:left w:val="nil"/>
              <w:bottom w:val="nil"/>
              <w:right w:val="nil"/>
            </w:tcBorders>
            <w:tcMar>
              <w:top w:w="0" w:type="dxa"/>
              <w:left w:w="0" w:type="dxa"/>
              <w:bottom w:w="0" w:type="dxa"/>
              <w:right w:w="0" w:type="dxa"/>
            </w:tcMar>
            <w:hideMark/>
          </w:tcPr>
          <w:p w14:paraId="3DAAB0C0" w14:textId="77777777" w:rsidR="00F76FB8" w:rsidRPr="00F76FB8" w:rsidRDefault="00F76FB8" w:rsidP="00F76FB8">
            <w:pPr>
              <w:jc w:val="both"/>
              <w:rPr>
                <w:rFonts w:ascii="Verdana" w:hAnsi="Verdana"/>
              </w:rPr>
            </w:pPr>
            <w:r w:rsidRPr="00F76FB8">
              <w:rPr>
                <w:rFonts w:ascii="Verdana" w:hAnsi="Verdana"/>
                <w:b/>
                <w:bCs/>
              </w:rPr>
              <w:t>PROV</w:t>
            </w:r>
          </w:p>
        </w:tc>
        <w:tc>
          <w:tcPr>
            <w:tcW w:w="1500" w:type="pct"/>
            <w:tcBorders>
              <w:top w:val="nil"/>
              <w:left w:val="nil"/>
              <w:bottom w:val="nil"/>
              <w:right w:val="nil"/>
            </w:tcBorders>
            <w:tcMar>
              <w:top w:w="0" w:type="dxa"/>
              <w:left w:w="0" w:type="dxa"/>
              <w:bottom w:w="0" w:type="dxa"/>
              <w:right w:w="0" w:type="dxa"/>
            </w:tcMar>
            <w:hideMark/>
          </w:tcPr>
          <w:p w14:paraId="584B7FB4" w14:textId="77777777" w:rsidR="00F76FB8" w:rsidRPr="00F76FB8" w:rsidRDefault="00F76FB8" w:rsidP="00F76FB8">
            <w:pPr>
              <w:jc w:val="both"/>
              <w:rPr>
                <w:rFonts w:ascii="Verdana" w:hAnsi="Verdana"/>
              </w:rPr>
            </w:pPr>
            <w:r w:rsidRPr="00F76FB8">
              <w:rPr>
                <w:rFonts w:ascii="Verdana" w:hAnsi="Verdana"/>
                <w:b/>
                <w:bCs/>
              </w:rPr>
              <w:t>SBPY</w:t>
            </w:r>
          </w:p>
        </w:tc>
        <w:tc>
          <w:tcPr>
            <w:tcW w:w="700" w:type="pct"/>
            <w:tcBorders>
              <w:top w:val="nil"/>
              <w:left w:val="nil"/>
              <w:bottom w:val="nil"/>
              <w:right w:val="nil"/>
            </w:tcBorders>
            <w:tcMar>
              <w:top w:w="0" w:type="dxa"/>
              <w:left w:w="0" w:type="dxa"/>
              <w:bottom w:w="0" w:type="dxa"/>
              <w:right w:w="0" w:type="dxa"/>
            </w:tcMar>
            <w:hideMark/>
          </w:tcPr>
          <w:p w14:paraId="636F00F1" w14:textId="77777777" w:rsidR="00F76FB8" w:rsidRPr="00F76FB8" w:rsidRDefault="00F76FB8" w:rsidP="00F76FB8">
            <w:pPr>
              <w:jc w:val="both"/>
              <w:rPr>
                <w:rFonts w:ascii="Verdana" w:hAnsi="Verdana"/>
              </w:rPr>
            </w:pPr>
            <w:r w:rsidRPr="00F76FB8">
              <w:rPr>
                <w:rFonts w:ascii="Verdana" w:hAnsi="Verdana"/>
                <w:b/>
                <w:bCs/>
              </w:rPr>
              <w:t>MODALIDAD</w:t>
            </w:r>
          </w:p>
        </w:tc>
      </w:tr>
      <w:tr w:rsidR="00F76FB8" w:rsidRPr="00F76FB8" w14:paraId="71FCC49E" w14:textId="77777777" w:rsidTr="00F76FB8">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4A179690" w14:textId="77777777" w:rsidR="00F76FB8" w:rsidRPr="00F76FB8" w:rsidRDefault="00F76FB8" w:rsidP="00F76FB8">
            <w:pPr>
              <w:jc w:val="both"/>
              <w:rPr>
                <w:rFonts w:ascii="Verdana" w:hAnsi="Verdana"/>
              </w:rPr>
            </w:pPr>
            <w:r w:rsidRPr="00F76FB8">
              <w:rPr>
                <w:rFonts w:ascii="Verdana" w:hAnsi="Verdana"/>
              </w:rPr>
              <w:t>320</w:t>
            </w:r>
          </w:p>
        </w:tc>
        <w:tc>
          <w:tcPr>
            <w:tcW w:w="600" w:type="pct"/>
            <w:tcBorders>
              <w:top w:val="nil"/>
              <w:left w:val="nil"/>
              <w:bottom w:val="nil"/>
              <w:right w:val="nil"/>
            </w:tcBorders>
            <w:tcMar>
              <w:top w:w="0" w:type="dxa"/>
              <w:left w:w="0" w:type="dxa"/>
              <w:bottom w:w="0" w:type="dxa"/>
              <w:right w:w="0" w:type="dxa"/>
            </w:tcMar>
            <w:hideMark/>
          </w:tcPr>
          <w:p w14:paraId="05F7EFC0" w14:textId="77777777" w:rsidR="00F76FB8" w:rsidRPr="00F76FB8" w:rsidRDefault="00F76FB8" w:rsidP="00F76FB8">
            <w:pPr>
              <w:jc w:val="both"/>
              <w:rPr>
                <w:rFonts w:ascii="Verdana" w:hAnsi="Verdana"/>
              </w:rPr>
            </w:pPr>
            <w:r w:rsidRPr="00F76FB8">
              <w:rPr>
                <w:rFonts w:ascii="Verdana" w:hAnsi="Verdana"/>
              </w:rPr>
              <w:t>1504</w:t>
            </w:r>
          </w:p>
        </w:tc>
        <w:tc>
          <w:tcPr>
            <w:tcW w:w="550" w:type="pct"/>
            <w:tcBorders>
              <w:top w:val="nil"/>
              <w:left w:val="nil"/>
              <w:bottom w:val="nil"/>
              <w:right w:val="nil"/>
            </w:tcBorders>
            <w:tcMar>
              <w:top w:w="0" w:type="dxa"/>
              <w:left w:w="0" w:type="dxa"/>
              <w:bottom w:w="0" w:type="dxa"/>
              <w:right w:w="0" w:type="dxa"/>
            </w:tcMar>
            <w:hideMark/>
          </w:tcPr>
          <w:p w14:paraId="13B55FA3" w14:textId="77777777" w:rsidR="00F76FB8" w:rsidRPr="00F76FB8" w:rsidRDefault="00F76FB8" w:rsidP="00F76FB8">
            <w:pPr>
              <w:jc w:val="both"/>
              <w:rPr>
                <w:rFonts w:ascii="Verdana" w:hAnsi="Verdana"/>
              </w:rPr>
            </w:pPr>
            <w:r w:rsidRPr="00F76FB8">
              <w:rPr>
                <w:rFonts w:ascii="Verdana" w:hAnsi="Verdana"/>
              </w:rPr>
              <w:t>5</w:t>
            </w:r>
          </w:p>
        </w:tc>
        <w:tc>
          <w:tcPr>
            <w:tcW w:w="500" w:type="pct"/>
            <w:tcBorders>
              <w:top w:val="nil"/>
              <w:left w:val="nil"/>
              <w:bottom w:val="nil"/>
              <w:right w:val="nil"/>
            </w:tcBorders>
            <w:tcMar>
              <w:top w:w="0" w:type="dxa"/>
              <w:left w:w="0" w:type="dxa"/>
              <w:bottom w:w="0" w:type="dxa"/>
              <w:right w:w="0" w:type="dxa"/>
            </w:tcMar>
            <w:hideMark/>
          </w:tcPr>
          <w:p w14:paraId="30229D3F" w14:textId="77777777" w:rsidR="00F76FB8" w:rsidRPr="00F76FB8" w:rsidRDefault="00F76FB8" w:rsidP="00F76FB8">
            <w:pPr>
              <w:jc w:val="both"/>
              <w:rPr>
                <w:rFonts w:ascii="Verdana" w:hAnsi="Verdana"/>
              </w:rPr>
            </w:pPr>
            <w:r w:rsidRPr="00F76FB8">
              <w:rPr>
                <w:rFonts w:ascii="Verdana" w:hAnsi="Verdana"/>
              </w:rPr>
              <w:t>1</w:t>
            </w:r>
          </w:p>
        </w:tc>
        <w:tc>
          <w:tcPr>
            <w:tcW w:w="500" w:type="pct"/>
            <w:tcBorders>
              <w:top w:val="nil"/>
              <w:left w:val="nil"/>
              <w:bottom w:val="nil"/>
              <w:right w:val="nil"/>
            </w:tcBorders>
            <w:tcMar>
              <w:top w:w="0" w:type="dxa"/>
              <w:left w:w="0" w:type="dxa"/>
              <w:bottom w:w="0" w:type="dxa"/>
              <w:right w:w="0" w:type="dxa"/>
            </w:tcMar>
            <w:hideMark/>
          </w:tcPr>
          <w:p w14:paraId="3AF75A18" w14:textId="77777777" w:rsidR="00F76FB8" w:rsidRPr="00F76FB8" w:rsidRDefault="00F76FB8" w:rsidP="00F76FB8">
            <w:pPr>
              <w:jc w:val="both"/>
              <w:rPr>
                <w:rFonts w:ascii="Verdana" w:hAnsi="Verdana"/>
              </w:rPr>
            </w:pPr>
            <w:r w:rsidRPr="00F76FB8">
              <w:rPr>
                <w:rFonts w:ascii="Verdana" w:hAnsi="Verdana"/>
              </w:rPr>
              <w:t>2</w:t>
            </w:r>
          </w:p>
        </w:tc>
        <w:tc>
          <w:tcPr>
            <w:tcW w:w="1200" w:type="pct"/>
            <w:gridSpan w:val="2"/>
            <w:tcBorders>
              <w:top w:val="nil"/>
              <w:left w:val="nil"/>
              <w:bottom w:val="nil"/>
              <w:right w:val="nil"/>
            </w:tcBorders>
            <w:tcMar>
              <w:top w:w="0" w:type="dxa"/>
              <w:left w:w="0" w:type="dxa"/>
              <w:bottom w:w="0" w:type="dxa"/>
              <w:right w:w="0" w:type="dxa"/>
            </w:tcMar>
            <w:hideMark/>
          </w:tcPr>
          <w:p w14:paraId="3E482D40" w14:textId="77777777" w:rsidR="00F76FB8" w:rsidRPr="00F76FB8" w:rsidRDefault="00F76FB8" w:rsidP="00F76FB8">
            <w:pPr>
              <w:jc w:val="both"/>
              <w:rPr>
                <w:rFonts w:ascii="Verdana" w:hAnsi="Verdana"/>
              </w:rPr>
            </w:pPr>
            <w:r w:rsidRPr="00F76FB8">
              <w:rPr>
                <w:rFonts w:ascii="Verdana" w:hAnsi="Verdana"/>
              </w:rPr>
              <w:t>3</w:t>
            </w:r>
          </w:p>
        </w:tc>
      </w:tr>
      <w:tr w:rsidR="00F76FB8" w:rsidRPr="00F76FB8" w14:paraId="19912C55"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090FCF79" w14:textId="77777777" w:rsidR="00F76FB8" w:rsidRPr="00F76FB8" w:rsidRDefault="00F76FB8" w:rsidP="00F76FB8">
            <w:pPr>
              <w:jc w:val="both"/>
              <w:rPr>
                <w:rFonts w:ascii="Verdana" w:hAnsi="Verdana"/>
              </w:rPr>
            </w:pPr>
            <w:r w:rsidRPr="00F76FB8">
              <w:rPr>
                <w:rFonts w:ascii="Verdana" w:hAnsi="Verdana"/>
                <w:b/>
                <w:bCs/>
              </w:rPr>
              <w:t>PROYECTO</w:t>
            </w:r>
          </w:p>
        </w:tc>
        <w:tc>
          <w:tcPr>
            <w:tcW w:w="4050" w:type="pct"/>
            <w:gridSpan w:val="5"/>
            <w:tcBorders>
              <w:top w:val="nil"/>
              <w:left w:val="nil"/>
              <w:bottom w:val="nil"/>
              <w:right w:val="nil"/>
            </w:tcBorders>
            <w:tcMar>
              <w:top w:w="0" w:type="dxa"/>
              <w:left w:w="0" w:type="dxa"/>
              <w:bottom w:w="0" w:type="dxa"/>
              <w:right w:w="0" w:type="dxa"/>
            </w:tcMar>
            <w:hideMark/>
          </w:tcPr>
          <w:p w14:paraId="3E9701FD" w14:textId="77777777" w:rsidR="00F76FB8" w:rsidRPr="00F76FB8" w:rsidRDefault="00F76FB8" w:rsidP="00F76FB8">
            <w:pPr>
              <w:jc w:val="both"/>
              <w:rPr>
                <w:rFonts w:ascii="Verdana" w:hAnsi="Verdana"/>
              </w:rPr>
            </w:pPr>
            <w:r w:rsidRPr="00F76FB8">
              <w:rPr>
                <w:rFonts w:ascii="Verdana" w:hAnsi="Verdana"/>
                <w:b/>
                <w:bCs/>
              </w:rPr>
              <w:t>APOYO NUTRICIONAL Y DE ORIENTACIÓN JUVENIL A LA NIÑEZ Y ADOLESCENCIA</w:t>
            </w:r>
            <w:r w:rsidRPr="00F76FB8">
              <w:rPr>
                <w:rFonts w:ascii="Verdana" w:hAnsi="Verdana"/>
                <w:b/>
                <w:bCs/>
              </w:rPr>
              <w:br/>
              <w:t>A NIVEL NACIONAL</w:t>
            </w:r>
          </w:p>
        </w:tc>
        <w:tc>
          <w:tcPr>
            <w:tcW w:w="0" w:type="auto"/>
            <w:tcMar>
              <w:top w:w="0" w:type="dxa"/>
              <w:left w:w="0" w:type="dxa"/>
              <w:bottom w:w="0" w:type="dxa"/>
              <w:right w:w="0" w:type="dxa"/>
            </w:tcMar>
            <w:vAlign w:val="center"/>
            <w:hideMark/>
          </w:tcPr>
          <w:p w14:paraId="4234271E" w14:textId="77777777" w:rsidR="00F76FB8" w:rsidRPr="00F76FB8" w:rsidRDefault="00F76FB8" w:rsidP="00F76FB8">
            <w:pPr>
              <w:jc w:val="both"/>
              <w:rPr>
                <w:rFonts w:ascii="Verdana" w:hAnsi="Verdana"/>
              </w:rPr>
            </w:pPr>
          </w:p>
        </w:tc>
        <w:tc>
          <w:tcPr>
            <w:tcW w:w="0" w:type="auto"/>
            <w:tcMar>
              <w:top w:w="0" w:type="dxa"/>
              <w:left w:w="0" w:type="dxa"/>
              <w:bottom w:w="0" w:type="dxa"/>
              <w:right w:w="0" w:type="dxa"/>
            </w:tcMar>
            <w:vAlign w:val="center"/>
            <w:hideMark/>
          </w:tcPr>
          <w:p w14:paraId="65CD8C6D" w14:textId="77777777" w:rsidR="00F76FB8" w:rsidRPr="00F76FB8" w:rsidRDefault="00F76FB8" w:rsidP="00F76FB8">
            <w:pPr>
              <w:jc w:val="both"/>
              <w:rPr>
                <w:rFonts w:ascii="Verdana" w:hAnsi="Verdana"/>
              </w:rPr>
            </w:pPr>
          </w:p>
        </w:tc>
      </w:tr>
      <w:tr w:rsidR="00F76FB8" w:rsidRPr="00F76FB8" w14:paraId="6A8687C4"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715E8095" w14:textId="77777777" w:rsidR="00F76FB8" w:rsidRPr="00F76FB8" w:rsidRDefault="00F76FB8" w:rsidP="00F76FB8">
            <w:pPr>
              <w:jc w:val="both"/>
              <w:rPr>
                <w:rFonts w:ascii="Verdana" w:hAnsi="Verdana"/>
              </w:rPr>
            </w:pPr>
            <w:r w:rsidRPr="00F76FB8">
              <w:rPr>
                <w:rFonts w:ascii="Verdana" w:hAnsi="Verdana"/>
                <w:b/>
                <w:bCs/>
              </w:rPr>
              <w:t>SUBPROYECTOS</w:t>
            </w:r>
          </w:p>
        </w:tc>
        <w:tc>
          <w:tcPr>
            <w:tcW w:w="4050" w:type="pct"/>
            <w:gridSpan w:val="5"/>
            <w:tcBorders>
              <w:top w:val="nil"/>
              <w:left w:val="nil"/>
              <w:bottom w:val="nil"/>
              <w:right w:val="nil"/>
            </w:tcBorders>
            <w:tcMar>
              <w:top w:w="0" w:type="dxa"/>
              <w:left w:w="0" w:type="dxa"/>
              <w:bottom w:w="0" w:type="dxa"/>
              <w:right w:w="0" w:type="dxa"/>
            </w:tcMar>
            <w:hideMark/>
          </w:tcPr>
          <w:p w14:paraId="5177CDD0" w14:textId="77777777" w:rsidR="00F76FB8" w:rsidRPr="00F76FB8" w:rsidRDefault="00F76FB8" w:rsidP="00F76FB8">
            <w:pPr>
              <w:jc w:val="both"/>
              <w:rPr>
                <w:rFonts w:ascii="Verdana" w:hAnsi="Verdana"/>
              </w:rPr>
            </w:pPr>
            <w:r w:rsidRPr="00F76FB8">
              <w:rPr>
                <w:rFonts w:ascii="Verdana" w:hAnsi="Verdana"/>
                <w:b/>
                <w:bCs/>
              </w:rPr>
              <w:t>PROGRAMA DE ALIMENTACIÓN ESCOLAR - PAE - DESAYUNO</w:t>
            </w:r>
            <w:r w:rsidRPr="00F76FB8">
              <w:rPr>
                <w:rFonts w:ascii="Verdana" w:hAnsi="Verdana"/>
                <w:b/>
                <w:bCs/>
              </w:rPr>
              <w:br/>
              <w:t>PROGRAMA DE ALIMENTACIÓN ESCOLAR - PAE - ALMUERZO</w:t>
            </w:r>
            <w:r w:rsidRPr="00F76FB8">
              <w:rPr>
                <w:rFonts w:ascii="Verdana" w:hAnsi="Verdana"/>
                <w:b/>
                <w:bCs/>
              </w:rPr>
              <w:br/>
              <w:t>PROGRAMA DE ALIMENTACIÓN ESCOLAR PAE - INTERNADOS RURALES</w:t>
            </w:r>
            <w:r w:rsidRPr="00F76FB8">
              <w:rPr>
                <w:rFonts w:ascii="Verdana" w:hAnsi="Verdana"/>
                <w:b/>
                <w:bCs/>
              </w:rPr>
              <w:br/>
            </w:r>
          </w:p>
        </w:tc>
        <w:tc>
          <w:tcPr>
            <w:tcW w:w="0" w:type="auto"/>
            <w:tcMar>
              <w:top w:w="0" w:type="dxa"/>
              <w:left w:w="0" w:type="dxa"/>
              <w:bottom w:w="0" w:type="dxa"/>
              <w:right w:w="0" w:type="dxa"/>
            </w:tcMar>
            <w:vAlign w:val="center"/>
            <w:hideMark/>
          </w:tcPr>
          <w:p w14:paraId="7C1F7DCC" w14:textId="77777777" w:rsidR="00F76FB8" w:rsidRPr="00F76FB8" w:rsidRDefault="00F76FB8" w:rsidP="00F76FB8">
            <w:pPr>
              <w:jc w:val="both"/>
              <w:rPr>
                <w:rFonts w:ascii="Verdana" w:hAnsi="Verdana"/>
              </w:rPr>
            </w:pPr>
          </w:p>
        </w:tc>
        <w:tc>
          <w:tcPr>
            <w:tcW w:w="0" w:type="auto"/>
            <w:tcMar>
              <w:top w:w="0" w:type="dxa"/>
              <w:left w:w="0" w:type="dxa"/>
              <w:bottom w:w="0" w:type="dxa"/>
              <w:right w:w="0" w:type="dxa"/>
            </w:tcMar>
            <w:vAlign w:val="center"/>
            <w:hideMark/>
          </w:tcPr>
          <w:p w14:paraId="5F2A081F" w14:textId="77777777" w:rsidR="00F76FB8" w:rsidRPr="00F76FB8" w:rsidRDefault="00F76FB8" w:rsidP="00F76FB8">
            <w:pPr>
              <w:jc w:val="both"/>
              <w:rPr>
                <w:rFonts w:ascii="Verdana" w:hAnsi="Verdana"/>
              </w:rPr>
            </w:pPr>
          </w:p>
        </w:tc>
      </w:tr>
      <w:tr w:rsidR="00F76FB8" w:rsidRPr="00F76FB8" w14:paraId="2E917D21"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461369BB" w14:textId="77777777" w:rsidR="00F76FB8" w:rsidRPr="00F76FB8" w:rsidRDefault="00F76FB8" w:rsidP="00F76FB8">
            <w:pPr>
              <w:jc w:val="both"/>
              <w:rPr>
                <w:rFonts w:ascii="Verdana" w:hAnsi="Verdana"/>
              </w:rPr>
            </w:pPr>
            <w:r w:rsidRPr="00F76FB8">
              <w:rPr>
                <w:rFonts w:ascii="Verdana" w:hAnsi="Verdana"/>
                <w:b/>
                <w:bCs/>
              </w:rPr>
              <w:t>OBJETIVO</w:t>
            </w:r>
          </w:p>
        </w:tc>
        <w:tc>
          <w:tcPr>
            <w:tcW w:w="950" w:type="pct"/>
            <w:tcBorders>
              <w:top w:val="nil"/>
              <w:left w:val="nil"/>
              <w:bottom w:val="nil"/>
              <w:right w:val="nil"/>
            </w:tcBorders>
            <w:tcMar>
              <w:top w:w="0" w:type="dxa"/>
              <w:left w:w="0" w:type="dxa"/>
              <w:bottom w:w="0" w:type="dxa"/>
              <w:right w:w="0" w:type="dxa"/>
            </w:tcMar>
            <w:hideMark/>
          </w:tcPr>
          <w:p w14:paraId="71CC0A9D" w14:textId="77777777" w:rsidR="00F76FB8" w:rsidRPr="00F76FB8" w:rsidRDefault="00F76FB8" w:rsidP="00F76FB8">
            <w:pPr>
              <w:jc w:val="both"/>
              <w:rPr>
                <w:rFonts w:ascii="Verdana" w:hAnsi="Verdana"/>
              </w:rPr>
            </w:pPr>
            <w:r w:rsidRPr="00F76FB8">
              <w:rPr>
                <w:rFonts w:ascii="Verdana" w:hAnsi="Verdana"/>
                <w:b/>
                <w:bCs/>
              </w:rPr>
              <w:t>GENERAL</w:t>
            </w:r>
          </w:p>
        </w:tc>
        <w:tc>
          <w:tcPr>
            <w:tcW w:w="3100" w:type="pct"/>
            <w:gridSpan w:val="4"/>
            <w:tcBorders>
              <w:top w:val="nil"/>
              <w:left w:val="nil"/>
              <w:bottom w:val="nil"/>
              <w:right w:val="nil"/>
            </w:tcBorders>
            <w:tcMar>
              <w:top w:w="0" w:type="dxa"/>
              <w:left w:w="0" w:type="dxa"/>
              <w:bottom w:w="0" w:type="dxa"/>
              <w:right w:w="0" w:type="dxa"/>
            </w:tcMar>
            <w:hideMark/>
          </w:tcPr>
          <w:p w14:paraId="3BC02784" w14:textId="77777777" w:rsidR="00F76FB8" w:rsidRPr="00F76FB8" w:rsidRDefault="00F76FB8" w:rsidP="00F76FB8">
            <w:pPr>
              <w:jc w:val="both"/>
              <w:rPr>
                <w:rFonts w:ascii="Verdana" w:hAnsi="Verdana"/>
              </w:rPr>
            </w:pPr>
            <w:r w:rsidRPr="00F76FB8">
              <w:rPr>
                <w:rFonts w:ascii="Verdana" w:hAnsi="Verdana"/>
              </w:rPr>
              <w:t>Contribuir a mejorar el desempeño académico de los niños, niñas y adolescentes, promover el ingreso y la permanencia en el sistema educativo y la formación de hábitos alimentarios saludables en la población escolar, con la participación activa de la familia, la comunidad y el estado a través de los entes territoriales.</w:t>
            </w:r>
          </w:p>
        </w:tc>
        <w:tc>
          <w:tcPr>
            <w:tcW w:w="0" w:type="auto"/>
            <w:tcMar>
              <w:top w:w="0" w:type="dxa"/>
              <w:left w:w="0" w:type="dxa"/>
              <w:bottom w:w="0" w:type="dxa"/>
              <w:right w:w="0" w:type="dxa"/>
            </w:tcMar>
            <w:vAlign w:val="center"/>
            <w:hideMark/>
          </w:tcPr>
          <w:p w14:paraId="55B8BDCE" w14:textId="77777777" w:rsidR="00F76FB8" w:rsidRPr="00F76FB8" w:rsidRDefault="00F76FB8" w:rsidP="00F76FB8">
            <w:pPr>
              <w:jc w:val="both"/>
              <w:rPr>
                <w:rFonts w:ascii="Verdana" w:hAnsi="Verdana"/>
              </w:rPr>
            </w:pPr>
          </w:p>
        </w:tc>
        <w:tc>
          <w:tcPr>
            <w:tcW w:w="0" w:type="auto"/>
            <w:tcMar>
              <w:top w:w="0" w:type="dxa"/>
              <w:left w:w="0" w:type="dxa"/>
              <w:bottom w:w="0" w:type="dxa"/>
              <w:right w:w="0" w:type="dxa"/>
            </w:tcMar>
            <w:vAlign w:val="center"/>
            <w:hideMark/>
          </w:tcPr>
          <w:p w14:paraId="2B567349" w14:textId="77777777" w:rsidR="00F76FB8" w:rsidRPr="00F76FB8" w:rsidRDefault="00F76FB8" w:rsidP="00F76FB8">
            <w:pPr>
              <w:jc w:val="both"/>
              <w:rPr>
                <w:rFonts w:ascii="Verdana" w:hAnsi="Verdana"/>
              </w:rPr>
            </w:pPr>
          </w:p>
        </w:tc>
      </w:tr>
      <w:tr w:rsidR="00F76FB8" w:rsidRPr="00F76FB8" w14:paraId="2D8C8670" w14:textId="77777777" w:rsidTr="00F76FB8">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1E7A2B04" w14:textId="77777777" w:rsidR="00F76FB8" w:rsidRPr="00F76FB8" w:rsidRDefault="00F76FB8" w:rsidP="00F76FB8">
            <w:pPr>
              <w:jc w:val="both"/>
              <w:rPr>
                <w:rFonts w:ascii="Verdana" w:hAnsi="Verdana"/>
              </w:rPr>
            </w:pPr>
            <w:r w:rsidRPr="00F76FB8">
              <w:rPr>
                <w:rFonts w:ascii="Verdana" w:hAnsi="Verdana"/>
                <w:b/>
                <w:bCs/>
              </w:rPr>
              <w:t>ESPECÍFICO</w:t>
            </w:r>
          </w:p>
        </w:tc>
        <w:tc>
          <w:tcPr>
            <w:tcW w:w="3100" w:type="pct"/>
            <w:gridSpan w:val="4"/>
            <w:tcBorders>
              <w:top w:val="nil"/>
              <w:left w:val="nil"/>
              <w:bottom w:val="nil"/>
              <w:right w:val="nil"/>
            </w:tcBorders>
            <w:tcMar>
              <w:top w:w="0" w:type="dxa"/>
              <w:left w:w="0" w:type="dxa"/>
              <w:bottom w:w="0" w:type="dxa"/>
              <w:right w:w="0" w:type="dxa"/>
            </w:tcMar>
            <w:hideMark/>
          </w:tcPr>
          <w:p w14:paraId="4FD0EBA1" w14:textId="77777777" w:rsidR="00F76FB8" w:rsidRPr="00F76FB8" w:rsidRDefault="00F76FB8" w:rsidP="00F76FB8">
            <w:pPr>
              <w:jc w:val="both"/>
              <w:rPr>
                <w:rFonts w:ascii="Verdana" w:hAnsi="Verdana"/>
              </w:rPr>
            </w:pPr>
          </w:p>
        </w:tc>
        <w:tc>
          <w:tcPr>
            <w:tcW w:w="0" w:type="auto"/>
            <w:tcMar>
              <w:top w:w="0" w:type="dxa"/>
              <w:left w:w="0" w:type="dxa"/>
              <w:bottom w:w="0" w:type="dxa"/>
              <w:right w:w="0" w:type="dxa"/>
            </w:tcMar>
            <w:vAlign w:val="center"/>
            <w:hideMark/>
          </w:tcPr>
          <w:p w14:paraId="1CEC5BA7" w14:textId="77777777" w:rsidR="00F76FB8" w:rsidRPr="00F76FB8" w:rsidRDefault="00F76FB8" w:rsidP="00F76FB8">
            <w:pPr>
              <w:jc w:val="both"/>
              <w:rPr>
                <w:rFonts w:ascii="Verdana" w:hAnsi="Verdana"/>
              </w:rPr>
            </w:pPr>
          </w:p>
        </w:tc>
        <w:tc>
          <w:tcPr>
            <w:tcW w:w="0" w:type="auto"/>
            <w:tcMar>
              <w:top w:w="0" w:type="dxa"/>
              <w:left w:w="0" w:type="dxa"/>
              <w:bottom w:w="0" w:type="dxa"/>
              <w:right w:w="0" w:type="dxa"/>
            </w:tcMar>
            <w:vAlign w:val="center"/>
            <w:hideMark/>
          </w:tcPr>
          <w:p w14:paraId="3284D92E" w14:textId="77777777" w:rsidR="00F76FB8" w:rsidRPr="00F76FB8" w:rsidRDefault="00F76FB8" w:rsidP="00F76FB8">
            <w:pPr>
              <w:jc w:val="both"/>
              <w:rPr>
                <w:rFonts w:ascii="Verdana" w:hAnsi="Verdana"/>
              </w:rPr>
            </w:pPr>
          </w:p>
        </w:tc>
      </w:tr>
    </w:tbl>
    <w:p w14:paraId="030E5088" w14:textId="77777777" w:rsidR="00F76FB8" w:rsidRPr="00F76FB8" w:rsidRDefault="00F76FB8" w:rsidP="00F76FB8">
      <w:pPr>
        <w:jc w:val="both"/>
        <w:rPr>
          <w:rFonts w:ascii="Verdana" w:hAnsi="Verdana"/>
        </w:rPr>
      </w:pPr>
      <w:r w:rsidRPr="00F76FB8">
        <w:rPr>
          <w:rFonts w:ascii="Verdana" w:hAnsi="Verdana"/>
          <w:b/>
          <w:bCs/>
        </w:rPr>
        <w:t>POBLACION OBJETIVO</w:t>
      </w:r>
      <w:r w:rsidRPr="00F76FB8">
        <w:rPr>
          <w:rFonts w:ascii="Verdana" w:hAnsi="Verdana"/>
          <w:b/>
          <w:bCs/>
        </w:rPr>
        <w:br/>
      </w:r>
    </w:p>
    <w:p w14:paraId="57341CB7" w14:textId="77777777" w:rsidR="00F76FB8" w:rsidRPr="00F76FB8" w:rsidRDefault="00F76FB8" w:rsidP="00F76FB8">
      <w:pPr>
        <w:jc w:val="both"/>
        <w:rPr>
          <w:rFonts w:ascii="Verdana" w:hAnsi="Verdana"/>
        </w:rPr>
      </w:pPr>
      <w:r w:rsidRPr="00F76FB8">
        <w:rPr>
          <w:rFonts w:ascii="Verdana" w:hAnsi="Verdana"/>
        </w:rPr>
        <w:t xml:space="preserve">Niños, niñas y adolescentes matriculados en el sistema educativo oficial colombiano. En concordancia con lo definido en el Artículo 19 de la Ley 1176 de </w:t>
      </w:r>
      <w:r w:rsidRPr="00F76FB8">
        <w:rPr>
          <w:rFonts w:ascii="Verdana" w:hAnsi="Verdana"/>
        </w:rPr>
        <w:lastRenderedPageBreak/>
        <w:t>2007, una vez seleccionada la Institución Educativa oficial, el Programa de Alimentación Escolar, otorga el beneficio al 100% de los alumnos matriculados por grado, cubriendo prioritariamente a la población en preescolar y primaria, y avanzando para cubrir la totalidad de grados siguientes. / (1)</w:t>
      </w:r>
      <w:r w:rsidRPr="00F76FB8">
        <w:rPr>
          <w:rFonts w:ascii="Verdana" w:hAnsi="Verdana"/>
        </w:rPr>
        <w:br/>
      </w:r>
      <w:r w:rsidRPr="00F76FB8">
        <w:rPr>
          <w:rFonts w:ascii="Verdana" w:hAnsi="Verdana"/>
        </w:rPr>
        <w:br/>
        <w:t>Para seleccionar las Instituciones Educativas, se prioriza la población en zonas rurales, o que la mayoría de los escolares se encuentren en situación de desplazamiento, pertenecientes a grupos étnicos, Red Unidos o bajo los siguientes puntos de corte, según desagregación geográfica:</w:t>
      </w:r>
      <w:r w:rsidRPr="00F76FB8">
        <w:rPr>
          <w:rFonts w:ascii="Verdana" w:hAnsi="Verdana"/>
        </w:rPr>
        <w:br/>
      </w:r>
      <w:r w:rsidRPr="00F76FB8">
        <w:rPr>
          <w:rFonts w:ascii="Verdana" w:hAnsi="Verdana"/>
        </w:rPr>
        <w:br/>
      </w:r>
      <w:r w:rsidRPr="00F76FB8">
        <w:rPr>
          <w:rFonts w:ascii="Verdana" w:hAnsi="Verdana"/>
          <w:b/>
          <w:bCs/>
        </w:rPr>
        <w:t>14 ciudades (1)</w:t>
      </w:r>
      <w:r w:rsidRPr="00F76FB8">
        <w:rPr>
          <w:rFonts w:ascii="Verdana" w:hAnsi="Verdana"/>
          <w:b/>
          <w:bCs/>
        </w:rPr>
        <w:br/>
        <w:t>Otras cabeceras</w:t>
      </w:r>
      <w:r w:rsidRPr="00F76FB8">
        <w:rPr>
          <w:rFonts w:ascii="Verdana" w:hAnsi="Verdana"/>
          <w:b/>
          <w:bCs/>
        </w:rPr>
        <w:br/>
        <w:t>Rural</w:t>
      </w:r>
      <w:r w:rsidRPr="00F76FB8">
        <w:rPr>
          <w:rFonts w:ascii="Verdana" w:hAnsi="Verdana"/>
          <w:b/>
          <w:bCs/>
        </w:rPr>
        <w:br/>
      </w:r>
      <w:r w:rsidRPr="00F76FB8">
        <w:rPr>
          <w:rFonts w:ascii="Verdana" w:hAnsi="Verdana"/>
        </w:rPr>
        <w:br/>
        <w:t>0 – 48.49</w:t>
      </w:r>
      <w:r w:rsidRPr="00F76FB8">
        <w:rPr>
          <w:rFonts w:ascii="Verdana" w:hAnsi="Verdana"/>
        </w:rPr>
        <w:br/>
        <w:t>0 -45.34</w:t>
      </w:r>
      <w:r w:rsidRPr="00F76FB8">
        <w:rPr>
          <w:rFonts w:ascii="Verdana" w:hAnsi="Verdana"/>
        </w:rPr>
        <w:br/>
        <w:t>0 – 34.79</w:t>
      </w:r>
      <w:r w:rsidRPr="00F76FB8">
        <w:rPr>
          <w:rFonts w:ascii="Verdana" w:hAnsi="Verdana"/>
        </w:rPr>
        <w:br/>
      </w:r>
      <w:r w:rsidRPr="00F76FB8">
        <w:rPr>
          <w:rFonts w:ascii="Verdana" w:hAnsi="Verdana"/>
        </w:rPr>
        <w:br/>
      </w:r>
      <w:r w:rsidRPr="00F76FB8">
        <w:rPr>
          <w:rFonts w:ascii="Verdana" w:hAnsi="Verdana"/>
        </w:rPr>
        <w:br/>
        <w:t>14 ciudades principales: Bo</w:t>
      </w:r>
      <w:r w:rsidRPr="00F76FB8">
        <w:rPr>
          <w:rFonts w:ascii="Verdana" w:hAnsi="Verdana"/>
          <w:u w:val="single"/>
        </w:rPr>
        <w:t>g</w:t>
      </w:r>
      <w:r w:rsidRPr="00F76FB8">
        <w:rPr>
          <w:rFonts w:ascii="Verdana" w:hAnsi="Verdana"/>
        </w:rPr>
        <w:t>otá, Medellín</w:t>
      </w:r>
      <w:r w:rsidRPr="00F76FB8">
        <w:rPr>
          <w:rFonts w:ascii="Verdana" w:hAnsi="Verdana"/>
          <w:u w:val="single"/>
        </w:rPr>
        <w:t>,</w:t>
      </w:r>
      <w:r w:rsidRPr="00F76FB8">
        <w:rPr>
          <w:rFonts w:ascii="Verdana" w:hAnsi="Verdana"/>
        </w:rPr>
        <w:t> Cal</w:t>
      </w:r>
      <w:r w:rsidRPr="00F76FB8">
        <w:rPr>
          <w:rFonts w:ascii="Verdana" w:hAnsi="Verdana"/>
          <w:u w:val="single"/>
        </w:rPr>
        <w:t>i, </w:t>
      </w:r>
      <w:r w:rsidRPr="00F76FB8">
        <w:rPr>
          <w:rFonts w:ascii="Verdana" w:hAnsi="Verdana"/>
        </w:rPr>
        <w:t>Barran</w:t>
      </w:r>
      <w:r w:rsidRPr="00F76FB8">
        <w:rPr>
          <w:rFonts w:ascii="Verdana" w:hAnsi="Verdana"/>
          <w:u w:val="single"/>
        </w:rPr>
        <w:t>q</w:t>
      </w:r>
      <w:r w:rsidRPr="00F76FB8">
        <w:rPr>
          <w:rFonts w:ascii="Verdana" w:hAnsi="Verdana"/>
        </w:rPr>
        <w:t>u</w:t>
      </w:r>
      <w:r w:rsidRPr="00F76FB8">
        <w:rPr>
          <w:rFonts w:ascii="Verdana" w:hAnsi="Verdana"/>
          <w:u w:val="single"/>
        </w:rPr>
        <w:t>ill</w:t>
      </w:r>
      <w:r w:rsidRPr="00F76FB8">
        <w:rPr>
          <w:rFonts w:ascii="Verdana" w:hAnsi="Verdana"/>
        </w:rPr>
        <w:t>a, Carta</w:t>
      </w:r>
      <w:r w:rsidRPr="00F76FB8">
        <w:rPr>
          <w:rFonts w:ascii="Verdana" w:hAnsi="Verdana"/>
          <w:u w:val="single"/>
        </w:rPr>
        <w:t>g</w:t>
      </w:r>
      <w:r w:rsidRPr="00F76FB8">
        <w:rPr>
          <w:rFonts w:ascii="Verdana" w:hAnsi="Verdana"/>
        </w:rPr>
        <w:t>ena, Cúcuta, Bucara</w:t>
      </w:r>
      <w:r w:rsidRPr="00F76FB8">
        <w:rPr>
          <w:rFonts w:ascii="Verdana" w:hAnsi="Verdana"/>
          <w:u w:val="single"/>
        </w:rPr>
        <w:t>m</w:t>
      </w:r>
      <w:r w:rsidRPr="00F76FB8">
        <w:rPr>
          <w:rFonts w:ascii="Verdana" w:hAnsi="Verdana"/>
        </w:rPr>
        <w:t>an</w:t>
      </w:r>
      <w:r w:rsidRPr="00F76FB8">
        <w:rPr>
          <w:rFonts w:ascii="Verdana" w:hAnsi="Verdana"/>
          <w:u w:val="single"/>
        </w:rPr>
        <w:t>g</w:t>
      </w:r>
      <w:r w:rsidRPr="00F76FB8">
        <w:rPr>
          <w:rFonts w:ascii="Verdana" w:hAnsi="Verdana"/>
        </w:rPr>
        <w:t>a, Iba</w:t>
      </w:r>
      <w:r w:rsidRPr="00F76FB8">
        <w:rPr>
          <w:rFonts w:ascii="Verdana" w:hAnsi="Verdana"/>
          <w:u w:val="single"/>
        </w:rPr>
        <w:t>g</w:t>
      </w:r>
      <w:r w:rsidRPr="00F76FB8">
        <w:rPr>
          <w:rFonts w:ascii="Verdana" w:hAnsi="Verdana"/>
        </w:rPr>
        <w:t>ué, Pereira</w:t>
      </w:r>
      <w:r w:rsidRPr="00F76FB8">
        <w:rPr>
          <w:rFonts w:ascii="Verdana" w:hAnsi="Verdana"/>
          <w:u w:val="single"/>
        </w:rPr>
        <w:t>,</w:t>
      </w:r>
      <w:r w:rsidRPr="00F76FB8">
        <w:rPr>
          <w:rFonts w:ascii="Verdana" w:hAnsi="Verdana"/>
        </w:rPr>
        <w:t> V</w:t>
      </w:r>
      <w:r w:rsidRPr="00F76FB8">
        <w:rPr>
          <w:rFonts w:ascii="Verdana" w:hAnsi="Verdana"/>
          <w:u w:val="single"/>
        </w:rPr>
        <w:t>ill</w:t>
      </w:r>
      <w:r w:rsidRPr="00F76FB8">
        <w:rPr>
          <w:rFonts w:ascii="Verdana" w:hAnsi="Verdana"/>
        </w:rPr>
        <w:t>avicenc</w:t>
      </w:r>
      <w:r w:rsidRPr="00F76FB8">
        <w:rPr>
          <w:rFonts w:ascii="Verdana" w:hAnsi="Verdana"/>
          <w:u w:val="single"/>
        </w:rPr>
        <w:t>i</w:t>
      </w:r>
      <w:r w:rsidRPr="00F76FB8">
        <w:rPr>
          <w:rFonts w:ascii="Verdana" w:hAnsi="Verdana"/>
        </w:rPr>
        <w:t>o, Pasto, Monter</w:t>
      </w:r>
      <w:r w:rsidRPr="00F76FB8">
        <w:rPr>
          <w:rFonts w:ascii="Verdana" w:hAnsi="Verdana"/>
          <w:u w:val="single"/>
        </w:rPr>
        <w:t>í</w:t>
      </w:r>
      <w:r w:rsidRPr="00F76FB8">
        <w:rPr>
          <w:rFonts w:ascii="Verdana" w:hAnsi="Verdana"/>
        </w:rPr>
        <w:t>a, Man</w:t>
      </w:r>
      <w:r w:rsidRPr="00F76FB8">
        <w:rPr>
          <w:rFonts w:ascii="Verdana" w:hAnsi="Verdana"/>
          <w:u w:val="single"/>
        </w:rPr>
        <w:t>i</w:t>
      </w:r>
      <w:r w:rsidRPr="00F76FB8">
        <w:rPr>
          <w:rFonts w:ascii="Verdana" w:hAnsi="Verdana"/>
        </w:rPr>
        <w:t>zales </w:t>
      </w:r>
      <w:r w:rsidRPr="00F76FB8">
        <w:rPr>
          <w:rFonts w:ascii="Verdana" w:hAnsi="Verdana"/>
          <w:u w:val="single"/>
        </w:rPr>
        <w:t>y</w:t>
      </w:r>
      <w:r w:rsidRPr="00F76FB8">
        <w:rPr>
          <w:rFonts w:ascii="Verdana" w:hAnsi="Verdana"/>
        </w:rPr>
        <w:t> Santa Marta).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5"/>
        <w:gridCol w:w="2178"/>
        <w:gridCol w:w="1427"/>
        <w:gridCol w:w="1525"/>
        <w:gridCol w:w="916"/>
        <w:gridCol w:w="907"/>
      </w:tblGrid>
      <w:tr w:rsidR="00F76FB8" w:rsidRPr="00F76FB8" w14:paraId="613CD635"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053E71E0" w14:textId="77777777" w:rsidR="00F76FB8" w:rsidRPr="00F76FB8" w:rsidRDefault="00F76FB8" w:rsidP="00F76FB8">
            <w:pPr>
              <w:jc w:val="both"/>
              <w:rPr>
                <w:rFonts w:ascii="Verdana" w:hAnsi="Verdana"/>
              </w:rPr>
            </w:pPr>
            <w:r w:rsidRPr="00F76FB8">
              <w:rPr>
                <w:rFonts w:ascii="Verdana" w:hAnsi="Verdana"/>
                <w:b/>
                <w:bCs/>
              </w:rPr>
              <w:t>ACCIONES</w:t>
            </w:r>
            <w:r w:rsidRPr="00F76FB8">
              <w:rPr>
                <w:rFonts w:ascii="Verdana" w:hAnsi="Verdana"/>
                <w:b/>
                <w:bCs/>
              </w:rPr>
              <w:br/>
            </w:r>
          </w:p>
        </w:tc>
        <w:tc>
          <w:tcPr>
            <w:tcW w:w="4050" w:type="pct"/>
            <w:gridSpan w:val="5"/>
            <w:tcBorders>
              <w:top w:val="nil"/>
              <w:left w:val="nil"/>
              <w:bottom w:val="nil"/>
              <w:right w:val="nil"/>
            </w:tcBorders>
            <w:tcMar>
              <w:top w:w="0" w:type="dxa"/>
              <w:left w:w="0" w:type="dxa"/>
              <w:bottom w:w="0" w:type="dxa"/>
              <w:right w:w="0" w:type="dxa"/>
            </w:tcMar>
            <w:hideMark/>
          </w:tcPr>
          <w:p w14:paraId="47A35D3D" w14:textId="77777777" w:rsidR="00F76FB8" w:rsidRPr="00F76FB8" w:rsidRDefault="00F76FB8" w:rsidP="00F76FB8">
            <w:pPr>
              <w:jc w:val="both"/>
              <w:rPr>
                <w:rFonts w:ascii="Verdana" w:hAnsi="Verdana"/>
              </w:rPr>
            </w:pPr>
            <w:r w:rsidRPr="00F76FB8">
              <w:rPr>
                <w:rFonts w:ascii="Verdana" w:hAnsi="Verdana"/>
              </w:rPr>
              <w:t>Suministrar a los escolares por lo menos una ración de alimentos durante su asistencia a la jomada escolar diaria en la institución educativa, como complemento a la alimentación recibida en el hogar</w:t>
            </w:r>
          </w:p>
        </w:tc>
      </w:tr>
      <w:tr w:rsidR="00F76FB8" w:rsidRPr="00F76FB8" w14:paraId="188E8DAE"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75F2A26A" w14:textId="77777777" w:rsidR="00F76FB8" w:rsidRPr="00F76FB8" w:rsidRDefault="00F76FB8" w:rsidP="00F76FB8">
            <w:pPr>
              <w:jc w:val="both"/>
              <w:rPr>
                <w:rFonts w:ascii="Verdana" w:hAnsi="Verdana"/>
              </w:rPr>
            </w:pPr>
            <w:r w:rsidRPr="00F76FB8">
              <w:rPr>
                <w:rFonts w:ascii="Verdana" w:hAnsi="Verdana"/>
              </w:rPr>
              <w:br/>
            </w:r>
            <w:r w:rsidRPr="00F76FB8">
              <w:rPr>
                <w:rFonts w:ascii="Verdana" w:hAnsi="Verdana"/>
              </w:rPr>
              <w:br/>
            </w:r>
            <w:r w:rsidRPr="00F76FB8">
              <w:rPr>
                <w:rFonts w:ascii="Verdana" w:hAnsi="Verdana"/>
              </w:rPr>
              <w:br/>
            </w:r>
            <w:r w:rsidRPr="00F76FB8">
              <w:rPr>
                <w:rFonts w:ascii="Verdana" w:hAnsi="Verdana"/>
                <w:b/>
                <w:bCs/>
              </w:rPr>
              <w:t>PARÁMETROS</w:t>
            </w:r>
          </w:p>
        </w:tc>
        <w:tc>
          <w:tcPr>
            <w:tcW w:w="950" w:type="pct"/>
            <w:tcBorders>
              <w:top w:val="nil"/>
              <w:left w:val="nil"/>
              <w:bottom w:val="nil"/>
              <w:right w:val="nil"/>
            </w:tcBorders>
            <w:tcMar>
              <w:top w:w="0" w:type="dxa"/>
              <w:left w:w="0" w:type="dxa"/>
              <w:bottom w:w="0" w:type="dxa"/>
              <w:right w:w="0" w:type="dxa"/>
            </w:tcMar>
            <w:hideMark/>
          </w:tcPr>
          <w:p w14:paraId="784DC3AD" w14:textId="77777777" w:rsidR="00F76FB8" w:rsidRPr="00F76FB8" w:rsidRDefault="00F76FB8" w:rsidP="00F76FB8">
            <w:pPr>
              <w:jc w:val="both"/>
              <w:rPr>
                <w:rFonts w:ascii="Verdana" w:hAnsi="Verdana"/>
              </w:rPr>
            </w:pPr>
            <w:r w:rsidRPr="00F76FB8">
              <w:rPr>
                <w:rFonts w:ascii="Verdana" w:hAnsi="Verdana"/>
                <w:b/>
                <w:bCs/>
              </w:rPr>
              <w:t>TIEMPO DE FUNCIONAMIENTO</w:t>
            </w:r>
          </w:p>
        </w:tc>
        <w:tc>
          <w:tcPr>
            <w:tcW w:w="3100" w:type="pct"/>
            <w:gridSpan w:val="4"/>
            <w:tcBorders>
              <w:top w:val="nil"/>
              <w:left w:val="nil"/>
              <w:bottom w:val="nil"/>
              <w:right w:val="nil"/>
            </w:tcBorders>
            <w:tcMar>
              <w:top w:w="0" w:type="dxa"/>
              <w:left w:w="0" w:type="dxa"/>
              <w:bottom w:w="0" w:type="dxa"/>
              <w:right w:w="0" w:type="dxa"/>
            </w:tcMar>
            <w:hideMark/>
          </w:tcPr>
          <w:p w14:paraId="5A58B7C3" w14:textId="77777777" w:rsidR="00F76FB8" w:rsidRPr="00F76FB8" w:rsidRDefault="00F76FB8" w:rsidP="00F76FB8">
            <w:pPr>
              <w:jc w:val="both"/>
              <w:rPr>
                <w:rFonts w:ascii="Verdana" w:hAnsi="Verdana"/>
              </w:rPr>
            </w:pPr>
            <w:r w:rsidRPr="00F76FB8">
              <w:rPr>
                <w:rFonts w:ascii="Verdana" w:hAnsi="Verdana"/>
              </w:rPr>
              <w:t xml:space="preserve">180 </w:t>
            </w:r>
            <w:proofErr w:type="gramStart"/>
            <w:r w:rsidRPr="00F76FB8">
              <w:rPr>
                <w:rFonts w:ascii="Verdana" w:hAnsi="Verdana"/>
              </w:rPr>
              <w:t>Días</w:t>
            </w:r>
            <w:proofErr w:type="gramEnd"/>
          </w:p>
        </w:tc>
      </w:tr>
      <w:tr w:rsidR="00F76FB8" w:rsidRPr="00F76FB8" w14:paraId="1E0FF000" w14:textId="77777777" w:rsidTr="00F76FB8">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2FDE1DE2" w14:textId="77777777" w:rsidR="00F76FB8" w:rsidRPr="00F76FB8" w:rsidRDefault="00F76FB8" w:rsidP="00F76FB8">
            <w:pPr>
              <w:jc w:val="both"/>
              <w:rPr>
                <w:rFonts w:ascii="Verdana" w:hAnsi="Verdana"/>
              </w:rPr>
            </w:pPr>
            <w:r w:rsidRPr="00F76FB8">
              <w:rPr>
                <w:rFonts w:ascii="Verdana" w:hAnsi="Verdana"/>
                <w:b/>
                <w:bCs/>
              </w:rPr>
              <w:t>ROTACIÓN</w:t>
            </w:r>
          </w:p>
        </w:tc>
        <w:tc>
          <w:tcPr>
            <w:tcW w:w="3100" w:type="pct"/>
            <w:gridSpan w:val="4"/>
            <w:tcBorders>
              <w:top w:val="nil"/>
              <w:left w:val="nil"/>
              <w:bottom w:val="nil"/>
              <w:right w:val="nil"/>
            </w:tcBorders>
            <w:tcMar>
              <w:top w:w="0" w:type="dxa"/>
              <w:left w:w="0" w:type="dxa"/>
              <w:bottom w:w="0" w:type="dxa"/>
              <w:right w:w="0" w:type="dxa"/>
            </w:tcMar>
            <w:hideMark/>
          </w:tcPr>
          <w:p w14:paraId="772D407D" w14:textId="77777777" w:rsidR="00F76FB8" w:rsidRPr="00F76FB8" w:rsidRDefault="00F76FB8" w:rsidP="00F76FB8">
            <w:pPr>
              <w:jc w:val="both"/>
              <w:rPr>
                <w:rFonts w:ascii="Verdana" w:hAnsi="Verdana"/>
              </w:rPr>
            </w:pPr>
            <w:r w:rsidRPr="00F76FB8">
              <w:rPr>
                <w:rFonts w:ascii="Verdana" w:hAnsi="Verdana"/>
              </w:rPr>
              <w:t>Un niño por cupo</w:t>
            </w:r>
          </w:p>
        </w:tc>
      </w:tr>
      <w:tr w:rsidR="00F76FB8" w:rsidRPr="00F76FB8" w14:paraId="28423E3D" w14:textId="77777777" w:rsidTr="00F76FB8">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6476FBC0" w14:textId="77777777" w:rsidR="00F76FB8" w:rsidRPr="00F76FB8" w:rsidRDefault="00F76FB8" w:rsidP="00F76FB8">
            <w:pPr>
              <w:jc w:val="both"/>
              <w:rPr>
                <w:rFonts w:ascii="Verdana" w:hAnsi="Verdana"/>
              </w:rPr>
            </w:pPr>
            <w:r w:rsidRPr="00F76FB8">
              <w:rPr>
                <w:rFonts w:ascii="Verdana" w:hAnsi="Verdana"/>
                <w:b/>
                <w:bCs/>
              </w:rPr>
              <w:t>BIENESTARINA</w:t>
            </w:r>
          </w:p>
        </w:tc>
        <w:tc>
          <w:tcPr>
            <w:tcW w:w="3100" w:type="pct"/>
            <w:gridSpan w:val="4"/>
            <w:tcBorders>
              <w:top w:val="nil"/>
              <w:left w:val="nil"/>
              <w:bottom w:val="nil"/>
              <w:right w:val="nil"/>
            </w:tcBorders>
            <w:tcMar>
              <w:top w:w="0" w:type="dxa"/>
              <w:left w:w="0" w:type="dxa"/>
              <w:bottom w:w="0" w:type="dxa"/>
              <w:right w:w="0" w:type="dxa"/>
            </w:tcMar>
            <w:hideMark/>
          </w:tcPr>
          <w:p w14:paraId="43A4E717" w14:textId="77777777" w:rsidR="00F76FB8" w:rsidRPr="00F76FB8" w:rsidRDefault="00F76FB8" w:rsidP="00F76FB8">
            <w:pPr>
              <w:jc w:val="both"/>
              <w:rPr>
                <w:rFonts w:ascii="Verdana" w:hAnsi="Verdana"/>
              </w:rPr>
            </w:pPr>
            <w:r w:rsidRPr="00F76FB8">
              <w:rPr>
                <w:rFonts w:ascii="Verdana" w:hAnsi="Verdana"/>
              </w:rPr>
              <w:t>10 gr. cupo niño día (180 días)</w:t>
            </w:r>
          </w:p>
        </w:tc>
      </w:tr>
      <w:tr w:rsidR="00F76FB8" w:rsidRPr="00F76FB8" w14:paraId="40E7915B"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105A7EAF" w14:textId="77777777" w:rsidR="00F76FB8" w:rsidRPr="00F76FB8" w:rsidRDefault="00F76FB8" w:rsidP="00F76FB8">
            <w:pPr>
              <w:jc w:val="both"/>
              <w:rPr>
                <w:rFonts w:ascii="Verdana" w:hAnsi="Verdana"/>
              </w:rPr>
            </w:pPr>
          </w:p>
        </w:tc>
        <w:tc>
          <w:tcPr>
            <w:tcW w:w="950" w:type="pct"/>
            <w:tcBorders>
              <w:top w:val="nil"/>
              <w:left w:val="nil"/>
              <w:bottom w:val="nil"/>
              <w:right w:val="nil"/>
            </w:tcBorders>
            <w:tcMar>
              <w:top w:w="0" w:type="dxa"/>
              <w:left w:w="0" w:type="dxa"/>
              <w:bottom w:w="0" w:type="dxa"/>
              <w:right w:w="0" w:type="dxa"/>
            </w:tcMar>
            <w:hideMark/>
          </w:tcPr>
          <w:p w14:paraId="7ABAAEDA" w14:textId="77777777" w:rsidR="00F76FB8" w:rsidRPr="00F76FB8" w:rsidRDefault="00F76FB8" w:rsidP="00F76FB8">
            <w:pPr>
              <w:jc w:val="both"/>
              <w:rPr>
                <w:rFonts w:ascii="Verdana" w:hAnsi="Verdana"/>
              </w:rPr>
            </w:pPr>
            <w:r w:rsidRPr="00F76FB8">
              <w:rPr>
                <w:rFonts w:ascii="Verdana" w:hAnsi="Verdana"/>
                <w:b/>
                <w:bCs/>
              </w:rPr>
              <w:br/>
            </w:r>
            <w:r w:rsidRPr="00F76FB8">
              <w:rPr>
                <w:rFonts w:ascii="Verdana" w:hAnsi="Verdana"/>
                <w:b/>
                <w:bCs/>
              </w:rPr>
              <w:br/>
            </w:r>
            <w:r w:rsidRPr="00F76FB8">
              <w:rPr>
                <w:rFonts w:ascii="Verdana" w:hAnsi="Verdana"/>
                <w:b/>
                <w:bCs/>
              </w:rPr>
              <w:br/>
              <w:t>COSTO</w:t>
            </w:r>
          </w:p>
        </w:tc>
        <w:tc>
          <w:tcPr>
            <w:tcW w:w="3100" w:type="pct"/>
            <w:gridSpan w:val="4"/>
            <w:tcBorders>
              <w:top w:val="nil"/>
              <w:left w:val="nil"/>
              <w:bottom w:val="nil"/>
              <w:right w:val="nil"/>
            </w:tcBorders>
            <w:tcMar>
              <w:top w:w="0" w:type="dxa"/>
              <w:left w:w="0" w:type="dxa"/>
              <w:bottom w:w="0" w:type="dxa"/>
              <w:right w:w="0" w:type="dxa"/>
            </w:tcMar>
            <w:hideMark/>
          </w:tcPr>
          <w:p w14:paraId="66D2D2A2" w14:textId="77777777" w:rsidR="00F76FB8" w:rsidRPr="00F76FB8" w:rsidRDefault="00F76FB8" w:rsidP="00F76FB8">
            <w:pPr>
              <w:jc w:val="both"/>
              <w:rPr>
                <w:rFonts w:ascii="Verdana" w:hAnsi="Verdana"/>
              </w:rPr>
            </w:pPr>
            <w:r w:rsidRPr="00F76FB8">
              <w:rPr>
                <w:rFonts w:ascii="Verdana" w:hAnsi="Verdana"/>
              </w:rPr>
              <w:t xml:space="preserve">Desayuno: $ 915 Ración/Escolar/día (Incluye el valor de </w:t>
            </w:r>
            <w:proofErr w:type="spellStart"/>
            <w:r w:rsidRPr="00F76FB8">
              <w:rPr>
                <w:rFonts w:ascii="Verdana" w:hAnsi="Verdana"/>
              </w:rPr>
              <w:t>Bienestarina</w:t>
            </w:r>
            <w:proofErr w:type="spellEnd"/>
            <w:r w:rsidRPr="00F76FB8">
              <w:rPr>
                <w:rFonts w:ascii="Verdana" w:hAnsi="Verdana"/>
              </w:rPr>
              <w:t xml:space="preserve"> $35 10 Gramos/cupo/día)</w:t>
            </w:r>
            <w:r w:rsidRPr="00F76FB8">
              <w:rPr>
                <w:rFonts w:ascii="Verdana" w:hAnsi="Verdana"/>
              </w:rPr>
              <w:br/>
              <w:t xml:space="preserve">Almuerzo: $ 1.232 Ración/Escolar/día (Incluye el valor de </w:t>
            </w:r>
            <w:proofErr w:type="spellStart"/>
            <w:r w:rsidRPr="00F76FB8">
              <w:rPr>
                <w:rFonts w:ascii="Verdana" w:hAnsi="Verdana"/>
              </w:rPr>
              <w:t>Bienestarina</w:t>
            </w:r>
            <w:proofErr w:type="spellEnd"/>
            <w:r w:rsidRPr="00F76FB8">
              <w:rPr>
                <w:rFonts w:ascii="Verdana" w:hAnsi="Verdana"/>
              </w:rPr>
              <w:t xml:space="preserve"> $35 10 Gramos/cupo/día)</w:t>
            </w:r>
            <w:r w:rsidRPr="00F76FB8">
              <w:rPr>
                <w:rFonts w:ascii="Verdana" w:hAnsi="Verdana"/>
              </w:rPr>
              <w:br/>
              <w:t xml:space="preserve">Internado Rural: $2.147 cupo/niño/día. (Incluye el valor de </w:t>
            </w:r>
            <w:proofErr w:type="spellStart"/>
            <w:r w:rsidRPr="00F76FB8">
              <w:rPr>
                <w:rFonts w:ascii="Verdana" w:hAnsi="Verdana"/>
              </w:rPr>
              <w:t>Bienestarina</w:t>
            </w:r>
            <w:proofErr w:type="spellEnd"/>
            <w:r w:rsidRPr="00F76FB8">
              <w:rPr>
                <w:rFonts w:ascii="Verdana" w:hAnsi="Verdana"/>
              </w:rPr>
              <w:t xml:space="preserve"> $35 10 Gramos/cupo/día)</w:t>
            </w:r>
            <w:r w:rsidRPr="00F76FB8">
              <w:rPr>
                <w:rFonts w:ascii="Verdana" w:hAnsi="Verdana"/>
              </w:rPr>
              <w:br/>
            </w:r>
            <w:r w:rsidRPr="00F76FB8">
              <w:rPr>
                <w:rFonts w:ascii="Verdana" w:hAnsi="Verdana"/>
              </w:rPr>
              <w:lastRenderedPageBreak/>
              <w:t>Se mantiene la unificación de costos para las modalidades de desayuno y almuerzo en el país, con excepción de las Regionales Bogotá, San Andrés, Amazonas, Guainía, Vaupés y Vichada.</w:t>
            </w:r>
            <w:r w:rsidRPr="00F76FB8">
              <w:rPr>
                <w:rFonts w:ascii="Verdana" w:hAnsi="Verdana"/>
              </w:rPr>
              <w:br/>
            </w:r>
            <w:r w:rsidRPr="00F76FB8">
              <w:rPr>
                <w:rFonts w:ascii="Verdana" w:hAnsi="Verdana"/>
              </w:rPr>
              <w:br/>
              <w:t>Para desayunos y complemento alimentario jomada tarde debe garantizarse que los niños beneficiarios </w:t>
            </w:r>
            <w:r w:rsidRPr="00F76FB8">
              <w:rPr>
                <w:rFonts w:ascii="Verdana" w:hAnsi="Verdana"/>
                <w:u w:val="single"/>
              </w:rPr>
              <w:t>no paguen cuota de</w:t>
            </w:r>
            <w:r w:rsidRPr="00F76FB8">
              <w:rPr>
                <w:rFonts w:ascii="Verdana" w:hAnsi="Verdana"/>
              </w:rPr>
              <w:t> </w:t>
            </w:r>
            <w:r w:rsidRPr="00F76FB8">
              <w:rPr>
                <w:rFonts w:ascii="Verdana" w:hAnsi="Verdana"/>
                <w:u w:val="single"/>
              </w:rPr>
              <w:t>participación.</w:t>
            </w:r>
            <w:r w:rsidRPr="00F76FB8">
              <w:rPr>
                <w:rFonts w:ascii="Verdana" w:hAnsi="Verdana"/>
              </w:rPr>
              <w:t> Para almuerzos, mientras se logra el desmonte total de cuotas de participación, la cuota máxima de participación por semana debe ser el 11% de un SMLV 2011. Si las familias no pueden pagar cuota de participación esto no debe excluir al niño del servicio, se debe gestionar la consecución de este valor a través de cofinanciación. El ICBF, reconoce las cuotas compensatorias para niños y niñas de familias desplazadas, en la Modalidad Almuerzo.</w:t>
            </w:r>
            <w:r w:rsidRPr="00F76FB8">
              <w:rPr>
                <w:rFonts w:ascii="Verdana" w:hAnsi="Verdana"/>
              </w:rPr>
              <w:br/>
            </w:r>
            <w:r w:rsidRPr="00F76FB8">
              <w:rPr>
                <w:rFonts w:ascii="Verdana" w:hAnsi="Verdana"/>
              </w:rPr>
              <w:br/>
              <w:t>En la Regional Cundinamarca continúa la modalidad Refrigerio Reforzado en lugar de Desayuno, conservando los mismos criterios definidos mediante Resolución 0684 de Marzo 29 de 2006.</w:t>
            </w:r>
            <w:r w:rsidRPr="00F76FB8">
              <w:rPr>
                <w:rFonts w:ascii="Verdana" w:hAnsi="Verdana"/>
              </w:rPr>
              <w:br/>
            </w:r>
            <w:r w:rsidRPr="00F76FB8">
              <w:rPr>
                <w:rFonts w:ascii="Verdana" w:hAnsi="Verdana"/>
              </w:rPr>
              <w:br/>
              <w:t xml:space="preserve">Para las unidades de servicio que requieran dotación y menaje, es necesario fortalecer la gestión con recursos del municipio: por Ley 1176 de 2007, (por educación: calidad o recursos especiales para alimentación escolar, por salud, fortalecimiento Plan Nacional de Alimentación y Nutrición), recursos propios del municipio, recursos de libre Inversión, Resguardos Indígenas, Gobernación, </w:t>
            </w:r>
            <w:proofErr w:type="spellStart"/>
            <w:r w:rsidRPr="00F76FB8">
              <w:rPr>
                <w:rFonts w:ascii="Verdana" w:hAnsi="Verdana"/>
              </w:rPr>
              <w:t>ONGs</w:t>
            </w:r>
            <w:proofErr w:type="spellEnd"/>
            <w:r w:rsidRPr="00F76FB8">
              <w:rPr>
                <w:rFonts w:ascii="Verdana" w:hAnsi="Verdana"/>
              </w:rPr>
              <w:t>, regalías. Cooperación Internacional u otras.</w:t>
            </w:r>
            <w:r w:rsidRPr="00F76FB8">
              <w:rPr>
                <w:rFonts w:ascii="Verdana" w:hAnsi="Verdana"/>
              </w:rPr>
              <w:br/>
            </w:r>
            <w:r w:rsidRPr="00F76FB8">
              <w:rPr>
                <w:rFonts w:ascii="Verdana" w:hAnsi="Verdana"/>
                <w:b/>
                <w:bCs/>
              </w:rPr>
              <w:t>Cofinanciación: </w:t>
            </w:r>
            <w:r w:rsidRPr="00F76FB8">
              <w:rPr>
                <w:rFonts w:ascii="Verdana" w:hAnsi="Verdana"/>
              </w:rPr>
              <w:t xml:space="preserve">La Ley 1176 de 2007 a través del Sistema General de Participaciones - Asignación Especial para Alimentación Escolar destina recursos a los </w:t>
            </w:r>
            <w:r w:rsidRPr="00F76FB8">
              <w:rPr>
                <w:rFonts w:ascii="Verdana" w:hAnsi="Verdana"/>
              </w:rPr>
              <w:lastRenderedPageBreak/>
              <w:t xml:space="preserve">Distritos y Municipios para la prestación de este servicio, por lo cual se debe promover la realización de convenios con los Entes Territoriales y otros </w:t>
            </w:r>
            <w:proofErr w:type="spellStart"/>
            <w:r w:rsidRPr="00F76FB8">
              <w:rPr>
                <w:rFonts w:ascii="Verdana" w:hAnsi="Verdana"/>
              </w:rPr>
              <w:t>cofinanciadores</w:t>
            </w:r>
            <w:proofErr w:type="spellEnd"/>
            <w:r w:rsidRPr="00F76FB8">
              <w:rPr>
                <w:rFonts w:ascii="Verdana" w:hAnsi="Verdana"/>
              </w:rPr>
              <w:t xml:space="preserve"> que permitan la integración de recursos de asistencia alimentaria en una bolsa común de tal forma que permita cualificar la minuta, ampliar cobertura (cupos y días de atención) mejorar la prestación del</w:t>
            </w:r>
            <w:r w:rsidRPr="00F76FB8">
              <w:rPr>
                <w:rFonts w:ascii="Verdana" w:hAnsi="Verdana"/>
                <w:u w:val="single"/>
              </w:rPr>
              <w:t> </w:t>
            </w:r>
            <w:r w:rsidRPr="00F76FB8">
              <w:rPr>
                <w:rFonts w:ascii="Verdana" w:hAnsi="Verdana"/>
                <w:b/>
                <w:bCs/>
              </w:rPr>
              <w:t>servicio y el desmonte total de las cuotas de participación en almuerzo escolar.</w:t>
            </w:r>
            <w:r w:rsidRPr="00F76FB8">
              <w:rPr>
                <w:rFonts w:ascii="Verdana" w:hAnsi="Verdana"/>
                <w:b/>
                <w:bCs/>
              </w:rPr>
              <w:br/>
            </w:r>
            <w:r w:rsidRPr="00F76FB8">
              <w:rPr>
                <w:rFonts w:ascii="Verdana" w:hAnsi="Verdana"/>
              </w:rPr>
              <w:br/>
            </w:r>
            <w:r w:rsidRPr="00F76FB8">
              <w:rPr>
                <w:rFonts w:ascii="Verdana" w:hAnsi="Verdana"/>
                <w:b/>
                <w:bCs/>
              </w:rPr>
              <w:t>Estos recursos y los demás del Sistema General de Participaciones - SGP que financien programas de alimentación escolar serán complementarios a los asignados por otras instituciones públicas o privadas que destinen recursos para el mismo fin (ICBF, Gobernaciones, Fundaciones, Organizaciones no Gubernamentales, Internacionales), con el propósito de atender progresivamente de los grados inferiores a los superiores, iniciando por el grado transición, para brindar el servicio de alimentación escolar a todos los niños, niñas y adolescentes en vulnerabilidad matriculados en el sistema educativo oficial del Distrito o Municipio, dando prioridad a la población desplazada.</w:t>
            </w:r>
            <w:r w:rsidRPr="00F76FB8">
              <w:rPr>
                <w:rFonts w:ascii="Verdana" w:hAnsi="Verdana"/>
              </w:rPr>
              <w:br/>
            </w:r>
            <w:r w:rsidRPr="00F76FB8">
              <w:rPr>
                <w:rFonts w:ascii="Verdana" w:hAnsi="Verdana"/>
              </w:rPr>
              <w:br/>
            </w:r>
            <w:r w:rsidRPr="00F76FB8">
              <w:rPr>
                <w:rFonts w:ascii="Verdana" w:hAnsi="Verdana"/>
                <w:b/>
                <w:bCs/>
              </w:rPr>
              <w:t xml:space="preserve">Para los beneficiarios de la modalidad ALMUERZO que estén en situación de desplazamiento, el ICBF reconocerá el valor correspondiente a la cuota de participación establecida mediante Resolución 1094 de 2005, lo cual se podrá financiar con cargo al mismo rubro de Almuerzo o al de Fondo para el Pago de Cuotas de Participación o Tasa Compensatoria del Proyecto 2 - </w:t>
            </w:r>
            <w:r w:rsidRPr="00F76FB8">
              <w:rPr>
                <w:rFonts w:ascii="Verdana" w:hAnsi="Verdana"/>
                <w:b/>
                <w:bCs/>
              </w:rPr>
              <w:lastRenderedPageBreak/>
              <w:t>Desplazados, de acuerdo con la siguiente tarifa: 11% SMDV.</w:t>
            </w:r>
          </w:p>
        </w:tc>
      </w:tr>
      <w:tr w:rsidR="00F76FB8" w:rsidRPr="00F76FB8" w14:paraId="47C141AF"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0EC0173E" w14:textId="77777777" w:rsidR="00F76FB8" w:rsidRPr="00F76FB8" w:rsidRDefault="00F76FB8" w:rsidP="00F76FB8">
            <w:pPr>
              <w:jc w:val="both"/>
              <w:rPr>
                <w:rFonts w:ascii="Verdana" w:hAnsi="Verdana"/>
              </w:rPr>
            </w:pPr>
            <w:r w:rsidRPr="00F76FB8">
              <w:rPr>
                <w:rFonts w:ascii="Verdana" w:hAnsi="Verdana"/>
                <w:b/>
                <w:bCs/>
              </w:rPr>
              <w:lastRenderedPageBreak/>
              <w:t>CONTRATACIÓN</w:t>
            </w:r>
          </w:p>
        </w:tc>
        <w:tc>
          <w:tcPr>
            <w:tcW w:w="4050" w:type="pct"/>
            <w:gridSpan w:val="5"/>
            <w:tcBorders>
              <w:top w:val="nil"/>
              <w:left w:val="nil"/>
              <w:bottom w:val="nil"/>
              <w:right w:val="nil"/>
            </w:tcBorders>
            <w:tcMar>
              <w:top w:w="0" w:type="dxa"/>
              <w:left w:w="0" w:type="dxa"/>
              <w:bottom w:w="0" w:type="dxa"/>
              <w:right w:w="0" w:type="dxa"/>
            </w:tcMar>
            <w:hideMark/>
          </w:tcPr>
          <w:p w14:paraId="7A486E6D" w14:textId="77777777" w:rsidR="00F76FB8" w:rsidRPr="00F76FB8" w:rsidRDefault="00F76FB8" w:rsidP="00F76FB8">
            <w:pPr>
              <w:jc w:val="both"/>
              <w:rPr>
                <w:rFonts w:ascii="Verdana" w:hAnsi="Verdana"/>
              </w:rPr>
            </w:pPr>
            <w:r w:rsidRPr="00F76FB8">
              <w:rPr>
                <w:rFonts w:ascii="Verdana" w:hAnsi="Verdana"/>
                <w:b/>
                <w:bCs/>
              </w:rPr>
              <w:t>La selección del operador u operadores del programa se hará prioritariamente por medio de Convocatoria Pública.</w:t>
            </w:r>
            <w:r w:rsidRPr="00F76FB8">
              <w:rPr>
                <w:rFonts w:ascii="Verdana" w:hAnsi="Verdana"/>
              </w:rPr>
              <w:br/>
            </w:r>
            <w:r w:rsidRPr="00F76FB8">
              <w:rPr>
                <w:rFonts w:ascii="Verdana" w:hAnsi="Verdana"/>
                <w:b/>
                <w:bCs/>
              </w:rPr>
              <w:br/>
              <w:t>Contratos de aporte con Cajas de Compensación Familiar, cooperativas, asociaciones de padres de familia y otras ONG, siempre y cuando se garantice el compromiso de los padres de familia y la participación de la comunidad en el desarrollo de acciones propias del programa y que el operador que se escoja sea de reconocida idoneidad y cuente con la capacidad técnica y operativa y cumpla con todas las obligaciones que se le exijan.</w:t>
            </w:r>
            <w:r w:rsidRPr="00F76FB8">
              <w:rPr>
                <w:rFonts w:ascii="Verdana" w:hAnsi="Verdana"/>
                <w:b/>
                <w:bCs/>
              </w:rPr>
              <w:br/>
            </w:r>
            <w:r w:rsidRPr="00F76FB8">
              <w:rPr>
                <w:rFonts w:ascii="Verdana" w:hAnsi="Verdana"/>
              </w:rPr>
              <w:br/>
            </w:r>
            <w:r w:rsidRPr="00F76FB8">
              <w:rPr>
                <w:rFonts w:ascii="Verdana" w:hAnsi="Verdana"/>
                <w:b/>
                <w:bCs/>
              </w:rPr>
              <w:t>Convenios de cofinanciación con las entidades territoriales, en virtud de los cuales el ICBF puede entregar los recursos correspondientes a la modalidad para ser manejados directamente por estas, en cuyo caso es requisito indispensable la asesoría técnica y el acompañamiento permanente al desarrollo del programa por parte del Centro Zonal, en estos casos debe especificarse en los convenios que el ICBF garantice la asistencia técnica.</w:t>
            </w:r>
            <w:r w:rsidRPr="00F76FB8">
              <w:rPr>
                <w:rFonts w:ascii="Verdana" w:hAnsi="Verdana"/>
                <w:b/>
                <w:bCs/>
              </w:rPr>
              <w:br/>
            </w:r>
            <w:r w:rsidRPr="00F76FB8">
              <w:rPr>
                <w:rFonts w:ascii="Verdana" w:hAnsi="Verdana"/>
              </w:rPr>
              <w:br/>
            </w:r>
            <w:r w:rsidRPr="00F76FB8">
              <w:rPr>
                <w:rFonts w:ascii="Verdana" w:hAnsi="Verdana"/>
                <w:b/>
                <w:bCs/>
              </w:rPr>
              <w:t>La modalidad Internado Rural será contratada y ejecutada directamente desde la Sede Nacional, la supervisión se hará por medio de las Direcciones Regionales.</w:t>
            </w:r>
            <w:r w:rsidRPr="00F76FB8">
              <w:rPr>
                <w:rFonts w:ascii="Verdana" w:hAnsi="Verdana"/>
              </w:rPr>
              <w:br/>
            </w:r>
            <w:r w:rsidRPr="00F76FB8">
              <w:rPr>
                <w:rFonts w:ascii="Verdana" w:hAnsi="Verdana"/>
                <w:b/>
                <w:bCs/>
              </w:rPr>
              <w:t>Forma de Pago:</w:t>
            </w:r>
            <w:r w:rsidRPr="00F76FB8">
              <w:rPr>
                <w:rFonts w:ascii="Verdana" w:hAnsi="Verdana"/>
              </w:rPr>
              <w:br/>
            </w:r>
            <w:r w:rsidRPr="00F76FB8">
              <w:rPr>
                <w:rFonts w:ascii="Verdana" w:hAnsi="Verdana"/>
                <w:b/>
                <w:bCs/>
              </w:rPr>
              <w:br/>
              <w:t>Se dará un anticipo para la compra de alimentos no perecederos que garantice el inicio del servicio el primer día de clase. Los pagos se realizarán mes vencido dentro del mes siguiente a la operación del servicio. Cada Regional, acorde con su situación específica de PAC y costos generados por la frecuencia de pago, definirá el periodo de pago, con el fin de racionalizar los gastos de los operadores en el cumplimiento de esta actividad. Para los casos de comunidades indígenas o áreas rurales dispersas puede establecerse períodos de pago por trimestre o mayores según se especifique en la minuta de contrato de aporte.</w:t>
            </w:r>
            <w:r w:rsidRPr="00F76FB8">
              <w:rPr>
                <w:rFonts w:ascii="Verdana" w:hAnsi="Verdana"/>
                <w:b/>
                <w:bCs/>
              </w:rPr>
              <w:br/>
            </w:r>
            <w:r w:rsidRPr="00F76FB8">
              <w:rPr>
                <w:rFonts w:ascii="Verdana" w:hAnsi="Verdana"/>
              </w:rPr>
              <w:lastRenderedPageBreak/>
              <w:br/>
            </w:r>
            <w:r w:rsidRPr="00F76FB8">
              <w:rPr>
                <w:rFonts w:ascii="Verdana" w:hAnsi="Verdana"/>
                <w:b/>
                <w:bCs/>
              </w:rPr>
              <w:t>Las pólizas y publicaciones deberán ser asumidas por la Entidad contratista. Excepcionalmente las regionales podrán programar en sus presupuestos recursos para apoyar el pago de estos valores a asociaciones de padres u otras organizaciones sin ánimo de lucro, que por las características del contrato de aporte, en cuanto a volumen de raciones y costos del servicio, se considere indispensable que deban ser reconocidos por el ICBF.</w:t>
            </w:r>
            <w:r w:rsidRPr="00F76FB8">
              <w:rPr>
                <w:rFonts w:ascii="Verdana" w:hAnsi="Verdana"/>
                <w:b/>
                <w:bCs/>
              </w:rPr>
              <w:br/>
            </w:r>
            <w:r w:rsidRPr="00F76FB8">
              <w:rPr>
                <w:rFonts w:ascii="Verdana" w:hAnsi="Verdana"/>
              </w:rPr>
              <w:br/>
            </w:r>
            <w:r w:rsidRPr="00F76FB8">
              <w:rPr>
                <w:rFonts w:ascii="Verdana" w:hAnsi="Verdana"/>
                <w:b/>
                <w:bCs/>
              </w:rPr>
              <w:t>Si se considera que para la prestación del servicio de alimentación escolar es necesario pactar un anticipo, podrá hacerse hasta por el equivalente al valor proyectado de los dos primeros meses de prestación servicio, sin que en ningún caso pueda superar el 50% del valor del contrato.</w:t>
            </w:r>
          </w:p>
        </w:tc>
      </w:tr>
      <w:tr w:rsidR="00F76FB8" w:rsidRPr="00F76FB8" w14:paraId="18E4933C"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5C01BA9A" w14:textId="77777777" w:rsidR="00F76FB8" w:rsidRPr="00F76FB8" w:rsidRDefault="00F76FB8" w:rsidP="00F76FB8">
            <w:pPr>
              <w:jc w:val="both"/>
              <w:rPr>
                <w:rFonts w:ascii="Verdana" w:hAnsi="Verdana"/>
              </w:rPr>
            </w:pPr>
            <w:r w:rsidRPr="00F76FB8">
              <w:rPr>
                <w:rFonts w:ascii="Verdana" w:hAnsi="Verdana"/>
                <w:b/>
                <w:bCs/>
              </w:rPr>
              <w:lastRenderedPageBreak/>
              <w:t>CLASIFICADOR DEL GASTO</w:t>
            </w:r>
          </w:p>
        </w:tc>
        <w:tc>
          <w:tcPr>
            <w:tcW w:w="4050" w:type="pct"/>
            <w:gridSpan w:val="5"/>
            <w:tcBorders>
              <w:top w:val="nil"/>
              <w:left w:val="nil"/>
              <w:bottom w:val="nil"/>
              <w:right w:val="nil"/>
            </w:tcBorders>
            <w:tcMar>
              <w:top w:w="0" w:type="dxa"/>
              <w:left w:w="0" w:type="dxa"/>
              <w:bottom w:w="0" w:type="dxa"/>
              <w:right w:w="0" w:type="dxa"/>
            </w:tcMar>
            <w:hideMark/>
          </w:tcPr>
          <w:p w14:paraId="49609297" w14:textId="77777777" w:rsidR="00F76FB8" w:rsidRPr="00F76FB8" w:rsidRDefault="00F76FB8" w:rsidP="00F76FB8">
            <w:pPr>
              <w:jc w:val="both"/>
              <w:rPr>
                <w:rFonts w:ascii="Verdana" w:hAnsi="Verdana"/>
              </w:rPr>
            </w:pPr>
            <w:r w:rsidRPr="00F76FB8">
              <w:rPr>
                <w:rFonts w:ascii="Verdana" w:hAnsi="Verdana"/>
              </w:rPr>
              <w:t>· </w:t>
            </w:r>
            <w:r w:rsidRPr="00F76FB8">
              <w:rPr>
                <w:rFonts w:ascii="Verdana" w:hAnsi="Verdana"/>
                <w:b/>
                <w:bCs/>
              </w:rPr>
              <w:t>Transferencias por Contratos de Aporte para la prestación integral del servicio de alimentación escolar.</w:t>
            </w:r>
            <w:r w:rsidRPr="00F76FB8">
              <w:rPr>
                <w:rFonts w:ascii="Verdana" w:hAnsi="Verdana"/>
                <w:b/>
                <w:bCs/>
              </w:rPr>
              <w:br/>
            </w:r>
            <w:r w:rsidRPr="00F76FB8">
              <w:rPr>
                <w:rFonts w:ascii="Verdana" w:hAnsi="Verdana"/>
              </w:rPr>
              <w:br/>
              <w:t>· </w:t>
            </w:r>
            <w:r w:rsidRPr="00F76FB8">
              <w:rPr>
                <w:rFonts w:ascii="Verdana" w:hAnsi="Verdana"/>
                <w:b/>
                <w:bCs/>
              </w:rPr>
              <w:t>Contrato de suministros, transporte y/o todos aquellos servicios o gastos requeridos para el suministro y entrega de las raciones industrializadas. Este clasificador podrá ser ejecutado por la Sede Nacional o por las Direcciones Regionales del ICBF</w:t>
            </w:r>
            <w:r w:rsidRPr="00F76FB8">
              <w:rPr>
                <w:rFonts w:ascii="Verdana" w:hAnsi="Verdana"/>
                <w:b/>
                <w:bCs/>
              </w:rPr>
              <w:br/>
            </w:r>
            <w:r w:rsidRPr="00F76FB8">
              <w:rPr>
                <w:rFonts w:ascii="Verdana" w:hAnsi="Verdana"/>
              </w:rPr>
              <w:br/>
              <w:t>· </w:t>
            </w:r>
            <w:r w:rsidRPr="00F76FB8">
              <w:rPr>
                <w:rFonts w:ascii="Verdana" w:hAnsi="Verdana"/>
                <w:b/>
                <w:bCs/>
              </w:rPr>
              <w:t xml:space="preserve">Contratos o convenios </w:t>
            </w:r>
            <w:proofErr w:type="spellStart"/>
            <w:r w:rsidRPr="00F76FB8">
              <w:rPr>
                <w:rFonts w:ascii="Verdana" w:hAnsi="Verdana"/>
                <w:b/>
                <w:bCs/>
              </w:rPr>
              <w:t>inter-administrativos</w:t>
            </w:r>
            <w:proofErr w:type="spellEnd"/>
            <w:r w:rsidRPr="00F76FB8">
              <w:rPr>
                <w:rFonts w:ascii="Verdana" w:hAnsi="Verdana"/>
                <w:b/>
                <w:bCs/>
              </w:rPr>
              <w:t xml:space="preserve"> de cofinanciación y cooperación.</w:t>
            </w:r>
            <w:r w:rsidRPr="00F76FB8">
              <w:rPr>
                <w:rFonts w:ascii="Verdana" w:hAnsi="Verdana"/>
              </w:rPr>
              <w:br/>
            </w:r>
            <w:r w:rsidRPr="00F76FB8">
              <w:rPr>
                <w:rFonts w:ascii="Verdana" w:hAnsi="Verdana"/>
                <w:b/>
                <w:bCs/>
              </w:rPr>
              <w:br/>
            </w:r>
            <w:r w:rsidRPr="00F76FB8">
              <w:rPr>
                <w:rFonts w:ascii="Verdana" w:hAnsi="Verdana"/>
              </w:rPr>
              <w:t>· </w:t>
            </w:r>
            <w:r w:rsidRPr="00F76FB8">
              <w:rPr>
                <w:rFonts w:ascii="Verdana" w:hAnsi="Verdana"/>
                <w:b/>
                <w:bCs/>
              </w:rPr>
              <w:t>Financiación de actividades, estrategias, tecnologías (que no impliquen compra de equipo), metodologías, sistemas y demás gastos que demande el diseño, prueba, implementación y mejora del control y seguimiento del programa de alimentación escolar, con el fin de garantizar que las raciones efectivamente lleguen a la población escolar matriculada en las instituciones educativas oficiales. Este clasificador solamente podrá ser ejecutado por la Sede Nacional.</w:t>
            </w:r>
            <w:r w:rsidRPr="00F76FB8">
              <w:rPr>
                <w:rFonts w:ascii="Verdana" w:hAnsi="Verdana"/>
                <w:b/>
                <w:bCs/>
              </w:rPr>
              <w:br/>
            </w:r>
          </w:p>
        </w:tc>
      </w:tr>
      <w:tr w:rsidR="00F76FB8" w:rsidRPr="00F76FB8" w14:paraId="10D9AA6B"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13F11940" w14:textId="77777777" w:rsidR="00F76FB8" w:rsidRPr="00F76FB8" w:rsidRDefault="00F76FB8" w:rsidP="00F76FB8">
            <w:pPr>
              <w:jc w:val="both"/>
              <w:rPr>
                <w:rFonts w:ascii="Verdana" w:hAnsi="Verdana"/>
              </w:rPr>
            </w:pPr>
            <w:r w:rsidRPr="00F76FB8">
              <w:rPr>
                <w:rFonts w:ascii="Verdana" w:hAnsi="Verdana"/>
                <w:b/>
                <w:bCs/>
              </w:rPr>
              <w:t>INDICADORES DE SEGUIMIENTO Y EVALUACIÓN</w:t>
            </w:r>
          </w:p>
        </w:tc>
        <w:tc>
          <w:tcPr>
            <w:tcW w:w="4050" w:type="pct"/>
            <w:gridSpan w:val="5"/>
            <w:tcBorders>
              <w:top w:val="nil"/>
              <w:left w:val="nil"/>
              <w:bottom w:val="nil"/>
              <w:right w:val="nil"/>
            </w:tcBorders>
            <w:tcMar>
              <w:top w:w="0" w:type="dxa"/>
              <w:left w:w="0" w:type="dxa"/>
              <w:bottom w:w="0" w:type="dxa"/>
              <w:right w:w="0" w:type="dxa"/>
            </w:tcMar>
            <w:hideMark/>
          </w:tcPr>
          <w:p w14:paraId="2362656C" w14:textId="77777777" w:rsidR="00F76FB8" w:rsidRPr="00F76FB8" w:rsidRDefault="00F76FB8" w:rsidP="00F76FB8">
            <w:pPr>
              <w:jc w:val="both"/>
              <w:rPr>
                <w:rFonts w:ascii="Verdana" w:hAnsi="Verdana"/>
              </w:rPr>
            </w:pPr>
            <w:r w:rsidRPr="00F76FB8">
              <w:rPr>
                <w:rFonts w:ascii="Verdana" w:hAnsi="Verdana"/>
                <w:b/>
                <w:bCs/>
              </w:rPr>
              <w:t>Niños, niñas y adolescentes atendidos por el Programa de Alimentación Escolar</w:t>
            </w:r>
            <w:r w:rsidRPr="00F76FB8">
              <w:rPr>
                <w:rFonts w:ascii="Verdana" w:hAnsi="Verdana"/>
              </w:rPr>
              <w:br/>
            </w:r>
            <w:r w:rsidRPr="00F76FB8">
              <w:rPr>
                <w:rFonts w:ascii="Verdana" w:hAnsi="Verdana"/>
                <w:b/>
                <w:bCs/>
              </w:rPr>
              <w:t>Niños, niñas y adolescentes en situación de desplazamiento atendidos por el Programa de Alimentación Escolar</w:t>
            </w:r>
            <w:r w:rsidRPr="00F76FB8">
              <w:rPr>
                <w:rFonts w:ascii="Verdana" w:hAnsi="Verdana"/>
                <w:b/>
                <w:bCs/>
              </w:rPr>
              <w:br/>
              <w:t>Días promedio de atención del Programa de Alimentación Escolar</w:t>
            </w:r>
            <w:r w:rsidRPr="00F76FB8">
              <w:rPr>
                <w:rFonts w:ascii="Verdana" w:hAnsi="Verdana"/>
                <w:b/>
                <w:bCs/>
              </w:rPr>
              <w:br/>
            </w:r>
          </w:p>
        </w:tc>
      </w:tr>
      <w:tr w:rsidR="00F76FB8" w:rsidRPr="00F76FB8" w14:paraId="54283B98" w14:textId="77777777" w:rsidTr="00F76FB8">
        <w:trPr>
          <w:tblCellSpacing w:w="15" w:type="dxa"/>
        </w:trPr>
        <w:tc>
          <w:tcPr>
            <w:tcW w:w="950" w:type="pct"/>
            <w:tcBorders>
              <w:top w:val="nil"/>
              <w:left w:val="nil"/>
              <w:bottom w:val="nil"/>
              <w:right w:val="nil"/>
            </w:tcBorders>
            <w:tcMar>
              <w:top w:w="0" w:type="dxa"/>
              <w:left w:w="0" w:type="dxa"/>
              <w:bottom w:w="0" w:type="dxa"/>
              <w:right w:w="0" w:type="dxa"/>
            </w:tcMar>
            <w:hideMark/>
          </w:tcPr>
          <w:p w14:paraId="096B779B" w14:textId="77777777" w:rsidR="00F76FB8" w:rsidRPr="00F76FB8" w:rsidRDefault="00F76FB8" w:rsidP="00F76FB8">
            <w:pPr>
              <w:jc w:val="both"/>
              <w:rPr>
                <w:rFonts w:ascii="Verdana" w:hAnsi="Verdana"/>
              </w:rPr>
            </w:pPr>
            <w:r w:rsidRPr="00F76FB8">
              <w:rPr>
                <w:rFonts w:ascii="Verdana" w:hAnsi="Verdana"/>
                <w:b/>
                <w:bCs/>
              </w:rPr>
              <w:lastRenderedPageBreak/>
              <w:t>LINEAMIENTOS TÉCNICOS</w:t>
            </w:r>
          </w:p>
        </w:tc>
        <w:tc>
          <w:tcPr>
            <w:tcW w:w="4050" w:type="pct"/>
            <w:gridSpan w:val="5"/>
            <w:tcBorders>
              <w:top w:val="nil"/>
              <w:left w:val="nil"/>
              <w:bottom w:val="nil"/>
              <w:right w:val="nil"/>
            </w:tcBorders>
            <w:tcMar>
              <w:top w:w="0" w:type="dxa"/>
              <w:left w:w="0" w:type="dxa"/>
              <w:bottom w:w="0" w:type="dxa"/>
              <w:right w:w="0" w:type="dxa"/>
            </w:tcMar>
            <w:hideMark/>
          </w:tcPr>
          <w:p w14:paraId="7AD839A4" w14:textId="77777777" w:rsidR="00F76FB8" w:rsidRPr="00F76FB8" w:rsidRDefault="00F76FB8" w:rsidP="00F76FB8">
            <w:pPr>
              <w:jc w:val="both"/>
              <w:rPr>
                <w:rFonts w:ascii="Verdana" w:hAnsi="Verdana"/>
              </w:rPr>
            </w:pPr>
            <w:r w:rsidRPr="00F76FB8">
              <w:rPr>
                <w:rFonts w:ascii="Verdana" w:hAnsi="Verdana"/>
                <w:b/>
                <w:bCs/>
              </w:rPr>
              <w:t>Lineamientos Técnico Administrativos y Estándares del Programa de Alimentación Escolar</w:t>
            </w:r>
          </w:p>
        </w:tc>
      </w:tr>
      <w:tr w:rsidR="00F76FB8" w:rsidRPr="00F76FB8" w14:paraId="7C01BB7F" w14:textId="77777777" w:rsidTr="00F76FB8">
        <w:trPr>
          <w:tblCellSpacing w:w="15" w:type="dxa"/>
        </w:trPr>
        <w:tc>
          <w:tcPr>
            <w:tcW w:w="400" w:type="pct"/>
            <w:tcBorders>
              <w:top w:val="nil"/>
              <w:left w:val="nil"/>
              <w:bottom w:val="nil"/>
              <w:right w:val="nil"/>
            </w:tcBorders>
            <w:tcMar>
              <w:top w:w="0" w:type="dxa"/>
              <w:left w:w="0" w:type="dxa"/>
              <w:bottom w:w="0" w:type="dxa"/>
              <w:right w:w="0" w:type="dxa"/>
            </w:tcMar>
            <w:hideMark/>
          </w:tcPr>
          <w:p w14:paraId="2683092B" w14:textId="77777777" w:rsidR="00F76FB8" w:rsidRPr="00F76FB8" w:rsidRDefault="00F76FB8" w:rsidP="00F76FB8">
            <w:pPr>
              <w:jc w:val="both"/>
              <w:rPr>
                <w:rFonts w:ascii="Verdana" w:hAnsi="Verdana"/>
              </w:rPr>
            </w:pPr>
            <w:r w:rsidRPr="00F76FB8">
              <w:rPr>
                <w:rFonts w:ascii="Verdana" w:hAnsi="Verdana"/>
              </w:rPr>
              <w:t>Vo. Bo.</w:t>
            </w:r>
          </w:p>
        </w:tc>
        <w:tc>
          <w:tcPr>
            <w:tcW w:w="1250" w:type="pct"/>
            <w:tcBorders>
              <w:top w:val="nil"/>
              <w:left w:val="nil"/>
              <w:bottom w:val="nil"/>
              <w:right w:val="nil"/>
            </w:tcBorders>
            <w:tcMar>
              <w:top w:w="0" w:type="dxa"/>
              <w:left w:w="0" w:type="dxa"/>
              <w:bottom w:w="0" w:type="dxa"/>
              <w:right w:w="0" w:type="dxa"/>
            </w:tcMar>
            <w:hideMark/>
          </w:tcPr>
          <w:p w14:paraId="0C036D06" w14:textId="77777777" w:rsidR="00F76FB8" w:rsidRPr="00F76FB8" w:rsidRDefault="00F76FB8" w:rsidP="00F76FB8">
            <w:pPr>
              <w:jc w:val="both"/>
              <w:rPr>
                <w:rFonts w:ascii="Verdana" w:hAnsi="Verdana"/>
              </w:rPr>
            </w:pPr>
            <w:r w:rsidRPr="00F76FB8">
              <w:rPr>
                <w:rFonts w:ascii="Verdana" w:hAnsi="Verdana"/>
              </w:rPr>
              <w:t>FERNANDO ALEXANDER GARZÓN LASSO</w:t>
            </w:r>
            <w:r w:rsidRPr="00F76FB8">
              <w:rPr>
                <w:rFonts w:ascii="Verdana" w:hAnsi="Verdana"/>
              </w:rPr>
              <w:br/>
              <w:t>DIRECTOR NIÑEZ Y ADOLESCENCIA</w:t>
            </w:r>
          </w:p>
        </w:tc>
        <w:tc>
          <w:tcPr>
            <w:tcW w:w="750" w:type="pct"/>
            <w:tcBorders>
              <w:top w:val="nil"/>
              <w:left w:val="nil"/>
              <w:bottom w:val="nil"/>
              <w:right w:val="nil"/>
            </w:tcBorders>
            <w:tcMar>
              <w:top w:w="0" w:type="dxa"/>
              <w:left w:w="0" w:type="dxa"/>
              <w:bottom w:w="0" w:type="dxa"/>
              <w:right w:w="0" w:type="dxa"/>
            </w:tcMar>
            <w:hideMark/>
          </w:tcPr>
          <w:p w14:paraId="7A7A2DB5" w14:textId="77777777" w:rsidR="00F76FB8" w:rsidRPr="00F76FB8" w:rsidRDefault="00F76FB8" w:rsidP="00F76FB8">
            <w:pPr>
              <w:jc w:val="both"/>
              <w:rPr>
                <w:rFonts w:ascii="Verdana" w:hAnsi="Verdana"/>
              </w:rPr>
            </w:pPr>
            <w:r w:rsidRPr="00F76FB8">
              <w:rPr>
                <w:rFonts w:ascii="Verdana" w:hAnsi="Verdana"/>
              </w:rPr>
              <w:t xml:space="preserve">MARIO PARDO </w:t>
            </w:r>
            <w:proofErr w:type="spellStart"/>
            <w:r w:rsidRPr="00F76FB8">
              <w:rPr>
                <w:rFonts w:ascii="Verdana" w:hAnsi="Verdana"/>
              </w:rPr>
              <w:t>PARDO</w:t>
            </w:r>
            <w:proofErr w:type="spellEnd"/>
          </w:p>
        </w:tc>
        <w:tc>
          <w:tcPr>
            <w:tcW w:w="1100" w:type="pct"/>
            <w:tcBorders>
              <w:top w:val="nil"/>
              <w:left w:val="nil"/>
              <w:bottom w:val="nil"/>
              <w:right w:val="nil"/>
            </w:tcBorders>
            <w:tcMar>
              <w:top w:w="0" w:type="dxa"/>
              <w:left w:w="0" w:type="dxa"/>
              <w:bottom w:w="0" w:type="dxa"/>
              <w:right w:w="0" w:type="dxa"/>
            </w:tcMar>
            <w:hideMark/>
          </w:tcPr>
          <w:p w14:paraId="3C38713D" w14:textId="77777777" w:rsidR="00F76FB8" w:rsidRPr="00F76FB8" w:rsidRDefault="00F76FB8" w:rsidP="00F76FB8">
            <w:pPr>
              <w:jc w:val="both"/>
              <w:rPr>
                <w:rFonts w:ascii="Verdana" w:hAnsi="Verdana"/>
              </w:rPr>
            </w:pPr>
            <w:r w:rsidRPr="00F76FB8">
              <w:rPr>
                <w:rFonts w:ascii="Verdana" w:hAnsi="Verdana"/>
              </w:rPr>
              <w:t>CARLOS ENRIQUE GARZÓN GÓMEZ</w:t>
            </w:r>
          </w:p>
        </w:tc>
        <w:tc>
          <w:tcPr>
            <w:tcW w:w="800" w:type="pct"/>
            <w:tcBorders>
              <w:top w:val="nil"/>
              <w:left w:val="nil"/>
              <w:bottom w:val="nil"/>
              <w:right w:val="nil"/>
            </w:tcBorders>
            <w:tcMar>
              <w:top w:w="0" w:type="dxa"/>
              <w:left w:w="0" w:type="dxa"/>
              <w:bottom w:w="0" w:type="dxa"/>
              <w:right w:w="0" w:type="dxa"/>
            </w:tcMar>
            <w:hideMark/>
          </w:tcPr>
          <w:p w14:paraId="5C5D0DFF" w14:textId="77777777" w:rsidR="00F76FB8" w:rsidRPr="00F76FB8" w:rsidRDefault="00F76FB8" w:rsidP="00F76FB8">
            <w:pPr>
              <w:jc w:val="both"/>
              <w:rPr>
                <w:rFonts w:ascii="Verdana" w:hAnsi="Verdana"/>
              </w:rPr>
            </w:pPr>
            <w:r w:rsidRPr="00F76FB8">
              <w:rPr>
                <w:rFonts w:ascii="Verdana" w:hAnsi="Verdana"/>
              </w:rPr>
              <w:t>ROCIO ENCISO GARZÓN</w:t>
            </w:r>
          </w:p>
        </w:tc>
        <w:tc>
          <w:tcPr>
            <w:tcW w:w="700" w:type="pct"/>
            <w:tcBorders>
              <w:top w:val="nil"/>
              <w:left w:val="nil"/>
              <w:bottom w:val="nil"/>
              <w:right w:val="nil"/>
            </w:tcBorders>
            <w:tcMar>
              <w:top w:w="0" w:type="dxa"/>
              <w:left w:w="0" w:type="dxa"/>
              <w:bottom w:w="0" w:type="dxa"/>
              <w:right w:w="0" w:type="dxa"/>
            </w:tcMar>
            <w:hideMark/>
          </w:tcPr>
          <w:p w14:paraId="78EECB7F" w14:textId="77777777" w:rsidR="00F76FB8" w:rsidRPr="00F76FB8" w:rsidRDefault="00F76FB8" w:rsidP="00F76FB8">
            <w:pPr>
              <w:jc w:val="both"/>
              <w:rPr>
                <w:rFonts w:ascii="Verdana" w:hAnsi="Verdana"/>
              </w:rPr>
            </w:pPr>
            <w:r w:rsidRPr="00F76FB8">
              <w:rPr>
                <w:rFonts w:ascii="Verdana" w:hAnsi="Verdana"/>
              </w:rPr>
              <w:t>FECHA DE AJUSTE:</w:t>
            </w:r>
            <w:r w:rsidRPr="00F76FB8">
              <w:rPr>
                <w:rFonts w:ascii="Verdana" w:hAnsi="Verdana"/>
              </w:rPr>
              <w:br/>
            </w:r>
            <w:proofErr w:type="gramStart"/>
            <w:r w:rsidRPr="00F76FB8">
              <w:rPr>
                <w:rFonts w:ascii="Verdana" w:hAnsi="Verdana"/>
              </w:rPr>
              <w:t>Octubre</w:t>
            </w:r>
            <w:proofErr w:type="gramEnd"/>
            <w:r w:rsidRPr="00F76FB8">
              <w:rPr>
                <w:rFonts w:ascii="Verdana" w:hAnsi="Verdana"/>
              </w:rPr>
              <w:t xml:space="preserve"> 2012</w:t>
            </w:r>
          </w:p>
        </w:tc>
      </w:tr>
      <w:tr w:rsidR="00F76FB8" w:rsidRPr="00F76FB8" w14:paraId="685740F9" w14:textId="77777777" w:rsidTr="00F76FB8">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6982FAC9" w14:textId="77777777" w:rsidR="00F76FB8" w:rsidRPr="00F76FB8" w:rsidRDefault="00F76FB8" w:rsidP="00F76FB8">
            <w:pPr>
              <w:jc w:val="both"/>
              <w:rPr>
                <w:rFonts w:ascii="Verdana" w:hAnsi="Verdana"/>
              </w:rPr>
            </w:pPr>
            <w:r w:rsidRPr="00F76FB8">
              <w:rPr>
                <w:rFonts w:ascii="Verdana" w:hAnsi="Verdana"/>
              </w:rPr>
              <w:t>Área Responsable</w:t>
            </w:r>
          </w:p>
        </w:tc>
        <w:tc>
          <w:tcPr>
            <w:tcW w:w="750" w:type="pct"/>
            <w:tcBorders>
              <w:top w:val="nil"/>
              <w:left w:val="nil"/>
              <w:bottom w:val="nil"/>
              <w:right w:val="nil"/>
            </w:tcBorders>
            <w:tcMar>
              <w:top w:w="0" w:type="dxa"/>
              <w:left w:w="0" w:type="dxa"/>
              <w:bottom w:w="0" w:type="dxa"/>
              <w:right w:w="0" w:type="dxa"/>
            </w:tcMar>
            <w:hideMark/>
          </w:tcPr>
          <w:p w14:paraId="60DBD067" w14:textId="77777777" w:rsidR="00F76FB8" w:rsidRPr="00F76FB8" w:rsidRDefault="00F76FB8" w:rsidP="00F76FB8">
            <w:pPr>
              <w:jc w:val="both"/>
              <w:rPr>
                <w:rFonts w:ascii="Verdana" w:hAnsi="Verdana"/>
              </w:rPr>
            </w:pPr>
            <w:r w:rsidRPr="00F76FB8">
              <w:rPr>
                <w:rFonts w:ascii="Verdana" w:hAnsi="Verdana"/>
              </w:rPr>
              <w:t>Sub. Programación</w:t>
            </w:r>
          </w:p>
        </w:tc>
        <w:tc>
          <w:tcPr>
            <w:tcW w:w="1100" w:type="pct"/>
            <w:tcBorders>
              <w:top w:val="nil"/>
              <w:left w:val="nil"/>
              <w:bottom w:val="nil"/>
              <w:right w:val="nil"/>
            </w:tcBorders>
            <w:tcMar>
              <w:top w:w="0" w:type="dxa"/>
              <w:left w:w="0" w:type="dxa"/>
              <w:bottom w:w="0" w:type="dxa"/>
              <w:right w:w="0" w:type="dxa"/>
            </w:tcMar>
            <w:hideMark/>
          </w:tcPr>
          <w:p w14:paraId="6BD6E205" w14:textId="77777777" w:rsidR="00F76FB8" w:rsidRPr="00F76FB8" w:rsidRDefault="00F76FB8" w:rsidP="00F76FB8">
            <w:pPr>
              <w:jc w:val="both"/>
              <w:rPr>
                <w:rFonts w:ascii="Verdana" w:hAnsi="Verdana"/>
              </w:rPr>
            </w:pPr>
            <w:r w:rsidRPr="00F76FB8">
              <w:rPr>
                <w:rFonts w:ascii="Verdana" w:hAnsi="Verdana"/>
              </w:rPr>
              <w:t>Sub. Mejoramiento Organizacional</w:t>
            </w:r>
          </w:p>
        </w:tc>
        <w:tc>
          <w:tcPr>
            <w:tcW w:w="1500" w:type="pct"/>
            <w:gridSpan w:val="2"/>
            <w:tcBorders>
              <w:top w:val="nil"/>
              <w:left w:val="nil"/>
              <w:bottom w:val="nil"/>
              <w:right w:val="nil"/>
            </w:tcBorders>
            <w:tcMar>
              <w:top w:w="0" w:type="dxa"/>
              <w:left w:w="0" w:type="dxa"/>
              <w:bottom w:w="0" w:type="dxa"/>
              <w:right w:w="0" w:type="dxa"/>
            </w:tcMar>
            <w:hideMark/>
          </w:tcPr>
          <w:p w14:paraId="2DA9DB85" w14:textId="77777777" w:rsidR="00F76FB8" w:rsidRPr="00F76FB8" w:rsidRDefault="00F76FB8" w:rsidP="00F76FB8">
            <w:pPr>
              <w:jc w:val="both"/>
              <w:rPr>
                <w:rFonts w:ascii="Verdana" w:hAnsi="Verdana"/>
              </w:rPr>
            </w:pPr>
            <w:r w:rsidRPr="00F76FB8">
              <w:rPr>
                <w:rFonts w:ascii="Verdana" w:hAnsi="Verdana"/>
              </w:rPr>
              <w:t>Sub. De Evaluación</w:t>
            </w:r>
          </w:p>
        </w:tc>
      </w:tr>
    </w:tbl>
    <w:p w14:paraId="69BD67AC" w14:textId="04A60641" w:rsidR="00A43640" w:rsidRPr="00F76FB8" w:rsidRDefault="00A43640" w:rsidP="00F76FB8">
      <w:pPr>
        <w:jc w:val="both"/>
        <w:rPr>
          <w:rFonts w:ascii="Verdana" w:hAnsi="Verdana"/>
        </w:rPr>
      </w:pPr>
    </w:p>
    <w:sectPr w:rsidR="00A43640" w:rsidRPr="00F76F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76"/>
    <w:rsid w:val="00042CFC"/>
    <w:rsid w:val="003E6876"/>
    <w:rsid w:val="00A43640"/>
    <w:rsid w:val="00EB7D1E"/>
    <w:rsid w:val="00F76F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39F6"/>
  <w15:chartTrackingRefBased/>
  <w15:docId w15:val="{B2E93D28-DC60-41FC-A7A8-899AB83A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76FB8"/>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F76FB8"/>
    <w:rPr>
      <w:color w:val="0563C1" w:themeColor="hyperlink"/>
      <w:u w:val="single"/>
    </w:rPr>
  </w:style>
  <w:style w:type="character" w:styleId="Mencinsinresolver">
    <w:name w:val="Unresolved Mention"/>
    <w:basedOn w:val="Fuentedeprrafopredeter"/>
    <w:uiPriority w:val="99"/>
    <w:semiHidden/>
    <w:unhideWhenUsed/>
    <w:rsid w:val="00F7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0258">
      <w:bodyDiv w:val="1"/>
      <w:marLeft w:val="0"/>
      <w:marRight w:val="0"/>
      <w:marTop w:val="0"/>
      <w:marBottom w:val="0"/>
      <w:divBdr>
        <w:top w:val="none" w:sz="0" w:space="0" w:color="auto"/>
        <w:left w:val="none" w:sz="0" w:space="0" w:color="auto"/>
        <w:bottom w:val="none" w:sz="0" w:space="0" w:color="auto"/>
        <w:right w:val="none" w:sz="0" w:space="0" w:color="auto"/>
      </w:divBdr>
    </w:div>
    <w:div w:id="314533889">
      <w:bodyDiv w:val="1"/>
      <w:marLeft w:val="0"/>
      <w:marRight w:val="0"/>
      <w:marTop w:val="0"/>
      <w:marBottom w:val="0"/>
      <w:divBdr>
        <w:top w:val="none" w:sz="0" w:space="0" w:color="auto"/>
        <w:left w:val="none" w:sz="0" w:space="0" w:color="auto"/>
        <w:bottom w:val="none" w:sz="0" w:space="0" w:color="auto"/>
        <w:right w:val="none" w:sz="0" w:space="0" w:color="auto"/>
      </w:divBdr>
    </w:div>
    <w:div w:id="885333950">
      <w:bodyDiv w:val="1"/>
      <w:marLeft w:val="0"/>
      <w:marRight w:val="0"/>
      <w:marTop w:val="0"/>
      <w:marBottom w:val="0"/>
      <w:divBdr>
        <w:top w:val="none" w:sz="0" w:space="0" w:color="auto"/>
        <w:left w:val="none" w:sz="0" w:space="0" w:color="auto"/>
        <w:bottom w:val="none" w:sz="0" w:space="0" w:color="auto"/>
        <w:right w:val="none" w:sz="0" w:space="0" w:color="auto"/>
      </w:divBdr>
    </w:div>
    <w:div w:id="1067730440">
      <w:bodyDiv w:val="1"/>
      <w:marLeft w:val="0"/>
      <w:marRight w:val="0"/>
      <w:marTop w:val="0"/>
      <w:marBottom w:val="0"/>
      <w:divBdr>
        <w:top w:val="none" w:sz="0" w:space="0" w:color="auto"/>
        <w:left w:val="none" w:sz="0" w:space="0" w:color="auto"/>
        <w:bottom w:val="none" w:sz="0" w:space="0" w:color="auto"/>
        <w:right w:val="none" w:sz="0" w:space="0" w:color="auto"/>
      </w:divBdr>
    </w:div>
    <w:div w:id="1079058235">
      <w:bodyDiv w:val="1"/>
      <w:marLeft w:val="0"/>
      <w:marRight w:val="0"/>
      <w:marTop w:val="0"/>
      <w:marBottom w:val="0"/>
      <w:divBdr>
        <w:top w:val="none" w:sz="0" w:space="0" w:color="auto"/>
        <w:left w:val="none" w:sz="0" w:space="0" w:color="auto"/>
        <w:bottom w:val="none" w:sz="0" w:space="0" w:color="auto"/>
        <w:right w:val="none" w:sz="0" w:space="0" w:color="auto"/>
      </w:divBdr>
    </w:div>
    <w:div w:id="1624144613">
      <w:bodyDiv w:val="1"/>
      <w:marLeft w:val="0"/>
      <w:marRight w:val="0"/>
      <w:marTop w:val="0"/>
      <w:marBottom w:val="0"/>
      <w:divBdr>
        <w:top w:val="none" w:sz="0" w:space="0" w:color="auto"/>
        <w:left w:val="none" w:sz="0" w:space="0" w:color="auto"/>
        <w:bottom w:val="none" w:sz="0" w:space="0" w:color="auto"/>
        <w:right w:val="none" w:sz="0" w:space="0" w:color="auto"/>
      </w:divBdr>
    </w:div>
    <w:div w:id="1801024448">
      <w:bodyDiv w:val="1"/>
      <w:marLeft w:val="0"/>
      <w:marRight w:val="0"/>
      <w:marTop w:val="0"/>
      <w:marBottom w:val="0"/>
      <w:divBdr>
        <w:top w:val="none" w:sz="0" w:space="0" w:color="auto"/>
        <w:left w:val="none" w:sz="0" w:space="0" w:color="auto"/>
        <w:bottom w:val="none" w:sz="0" w:space="0" w:color="auto"/>
        <w:right w:val="none" w:sz="0" w:space="0" w:color="auto"/>
      </w:divBdr>
    </w:div>
    <w:div w:id="18762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84136-7785-450C-B351-9B1594390A0A}"/>
</file>

<file path=customXml/itemProps2.xml><?xml version="1.0" encoding="utf-8"?>
<ds:datastoreItem xmlns:ds="http://schemas.openxmlformats.org/officeDocument/2006/customXml" ds:itemID="{976A2DFC-4DBD-40E0-A3E8-EC879EA3A9F1}"/>
</file>

<file path=customXml/itemProps3.xml><?xml version="1.0" encoding="utf-8"?>
<ds:datastoreItem xmlns:ds="http://schemas.openxmlformats.org/officeDocument/2006/customXml" ds:itemID="{52A336B1-FB3D-41A4-83F6-66E9DFFECD3B}"/>
</file>

<file path=docProps/app.xml><?xml version="1.0" encoding="utf-8"?>
<Properties xmlns="http://schemas.openxmlformats.org/officeDocument/2006/extended-properties" xmlns:vt="http://schemas.openxmlformats.org/officeDocument/2006/docPropsVTypes">
  <Template>Normal</Template>
  <TotalTime>3</TotalTime>
  <Pages>1</Pages>
  <Words>2072</Words>
  <Characters>11402</Characters>
  <Application>Microsoft Office Word</Application>
  <DocSecurity>0</DocSecurity>
  <Lines>95</Lines>
  <Paragraphs>26</Paragraphs>
  <ScaleCrop>false</ScaleCrop>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2026-02-01T19:29:00Z</dcterms:created>
  <dcterms:modified xsi:type="dcterms:W3CDTF">2026-02-02T18:13:00Z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