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589200BB" w:rsidR="006D5ECF" w:rsidRPr="008B031C" w:rsidRDefault="00251F6B" w:rsidP="00251F6B">
      <w:pPr>
        <w:jc w:val="center"/>
        <w:rPr>
          <w:rFonts w:ascii="Verdana" w:hAnsi="Verdana"/>
          <w:sz w:val="22"/>
          <w:szCs w:val="22"/>
        </w:rPr>
      </w:pPr>
      <w:r w:rsidRPr="008B031C">
        <w:rPr>
          <w:rFonts w:ascii="Verdana" w:hAnsi="Verdana"/>
          <w:b/>
          <w:bCs/>
          <w:sz w:val="22"/>
          <w:szCs w:val="22"/>
        </w:rPr>
        <w:t xml:space="preserve">RESOLUCIÓN </w:t>
      </w:r>
      <w:r w:rsidR="0022439E" w:rsidRPr="008B031C">
        <w:rPr>
          <w:rFonts w:ascii="Verdana" w:hAnsi="Verdana"/>
          <w:b/>
          <w:bCs/>
          <w:sz w:val="22"/>
          <w:szCs w:val="22"/>
        </w:rPr>
        <w:t xml:space="preserve">7860 </w:t>
      </w:r>
      <w:r w:rsidRPr="008B031C">
        <w:rPr>
          <w:rFonts w:ascii="Verdana" w:hAnsi="Verdana"/>
          <w:b/>
          <w:bCs/>
          <w:sz w:val="22"/>
          <w:szCs w:val="22"/>
        </w:rPr>
        <w:t>DE 2023</w:t>
      </w:r>
    </w:p>
    <w:p w14:paraId="7FAA1F65" w14:textId="1EEF01A1" w:rsidR="006D1939" w:rsidRPr="0022439E" w:rsidRDefault="006D1939" w:rsidP="006D1939">
      <w:pPr>
        <w:rPr>
          <w:rFonts w:ascii="Verdana" w:hAnsi="Verdana"/>
          <w:sz w:val="20"/>
          <w:szCs w:val="20"/>
        </w:rPr>
      </w:pPr>
      <w:r w:rsidRPr="0022439E">
        <w:rPr>
          <w:rFonts w:ascii="Verdana" w:hAnsi="Verdana"/>
          <w:sz w:val="20"/>
          <w:szCs w:val="20"/>
        </w:rPr>
        <w:t xml:space="preserve">Fecha de Expedición: </w:t>
      </w:r>
      <w:r w:rsidR="00166563" w:rsidRPr="0022439E">
        <w:rPr>
          <w:rFonts w:ascii="Verdana" w:hAnsi="Verdana"/>
          <w:sz w:val="20"/>
          <w:szCs w:val="20"/>
        </w:rPr>
        <w:t>20 de diciembre</w:t>
      </w:r>
      <w:r w:rsidRPr="0022439E">
        <w:rPr>
          <w:rFonts w:ascii="Verdana" w:hAnsi="Verdana"/>
          <w:sz w:val="20"/>
          <w:szCs w:val="20"/>
        </w:rPr>
        <w:t xml:space="preserve"> de 20</w:t>
      </w:r>
      <w:r w:rsidR="00D5214B" w:rsidRPr="0022439E">
        <w:rPr>
          <w:rFonts w:ascii="Verdana" w:hAnsi="Verdana"/>
          <w:sz w:val="20"/>
          <w:szCs w:val="20"/>
        </w:rPr>
        <w:t>23</w:t>
      </w:r>
    </w:p>
    <w:p w14:paraId="3C8362D2" w14:textId="757D236F" w:rsidR="006D1939" w:rsidRPr="0022439E" w:rsidRDefault="006D1939" w:rsidP="006D1939">
      <w:pPr>
        <w:rPr>
          <w:rFonts w:ascii="Verdana" w:hAnsi="Verdana"/>
          <w:sz w:val="20"/>
          <w:szCs w:val="20"/>
        </w:rPr>
      </w:pPr>
      <w:r w:rsidRPr="0022439E">
        <w:rPr>
          <w:rFonts w:ascii="Verdana" w:hAnsi="Verdana"/>
          <w:sz w:val="20"/>
          <w:szCs w:val="20"/>
        </w:rPr>
        <w:t xml:space="preserve">Fecha de </w:t>
      </w:r>
      <w:proofErr w:type="gramStart"/>
      <w:r w:rsidRPr="0022439E">
        <w:rPr>
          <w:rFonts w:ascii="Verdana" w:hAnsi="Verdana"/>
          <w:sz w:val="20"/>
          <w:szCs w:val="20"/>
        </w:rPr>
        <w:t>entrada en vigencia</w:t>
      </w:r>
      <w:proofErr w:type="gramEnd"/>
      <w:r w:rsidRPr="0022439E">
        <w:rPr>
          <w:rFonts w:ascii="Verdana" w:hAnsi="Verdana"/>
          <w:sz w:val="20"/>
          <w:szCs w:val="20"/>
        </w:rPr>
        <w:t xml:space="preserve">: </w:t>
      </w:r>
      <w:r w:rsidR="00166563" w:rsidRPr="0022439E">
        <w:rPr>
          <w:rFonts w:ascii="Verdana" w:hAnsi="Verdana"/>
          <w:sz w:val="20"/>
          <w:szCs w:val="20"/>
        </w:rPr>
        <w:t>20 de diciembre</w:t>
      </w:r>
      <w:r w:rsidR="00251F6B" w:rsidRPr="0022439E">
        <w:rPr>
          <w:rFonts w:ascii="Verdana" w:hAnsi="Verdana"/>
          <w:sz w:val="20"/>
          <w:szCs w:val="20"/>
        </w:rPr>
        <w:t xml:space="preserve"> de 2023</w:t>
      </w:r>
    </w:p>
    <w:p w14:paraId="1772F951" w14:textId="709EA2E3" w:rsidR="006D1939" w:rsidRPr="0022439E" w:rsidRDefault="006D1939" w:rsidP="006D1939">
      <w:pPr>
        <w:rPr>
          <w:rFonts w:ascii="Verdana" w:hAnsi="Verdana"/>
          <w:sz w:val="20"/>
          <w:szCs w:val="20"/>
        </w:rPr>
      </w:pPr>
      <w:r w:rsidRPr="0022439E">
        <w:rPr>
          <w:rFonts w:ascii="Verdana" w:hAnsi="Verdana"/>
          <w:sz w:val="20"/>
          <w:szCs w:val="20"/>
        </w:rPr>
        <w:t xml:space="preserve">Estado de la vigencia: </w:t>
      </w:r>
      <w:r w:rsidR="0022439E" w:rsidRPr="0022439E">
        <w:rPr>
          <w:rFonts w:ascii="Verdana" w:hAnsi="Verdana"/>
          <w:sz w:val="20"/>
          <w:szCs w:val="20"/>
        </w:rPr>
        <w:t xml:space="preserve">vigente </w:t>
      </w:r>
    </w:p>
    <w:p w14:paraId="30D368E6" w14:textId="77777777" w:rsidR="006D1939" w:rsidRPr="0022439E" w:rsidRDefault="006D1939" w:rsidP="006D1939">
      <w:pPr>
        <w:rPr>
          <w:rFonts w:ascii="Verdana" w:hAnsi="Verdana"/>
          <w:sz w:val="20"/>
          <w:szCs w:val="20"/>
        </w:rPr>
      </w:pPr>
    </w:p>
    <w:p w14:paraId="396C1C8B" w14:textId="5BD60A96" w:rsidR="006D1939" w:rsidRPr="0022439E" w:rsidRDefault="006D1939" w:rsidP="006D1939">
      <w:pPr>
        <w:rPr>
          <w:rFonts w:ascii="Verdana" w:hAnsi="Verdana"/>
          <w:sz w:val="20"/>
          <w:szCs w:val="20"/>
        </w:rPr>
      </w:pPr>
      <w:r w:rsidRPr="0022439E">
        <w:rPr>
          <w:rFonts w:ascii="Verdana" w:hAnsi="Verdana"/>
          <w:sz w:val="20"/>
          <w:szCs w:val="20"/>
        </w:rPr>
        <w:t xml:space="preserve">Fecha de publicación en Diario Oficial: </w:t>
      </w:r>
      <w:r w:rsidR="0022439E" w:rsidRPr="0022439E">
        <w:rPr>
          <w:rFonts w:ascii="Verdana" w:hAnsi="Verdana"/>
          <w:sz w:val="20"/>
          <w:szCs w:val="20"/>
        </w:rPr>
        <w:t>N/A</w:t>
      </w:r>
    </w:p>
    <w:p w14:paraId="038FC3F0" w14:textId="57F700F8" w:rsidR="006D1939" w:rsidRPr="0022439E" w:rsidRDefault="006D1939" w:rsidP="006D1939">
      <w:pPr>
        <w:rPr>
          <w:rFonts w:ascii="Verdana" w:hAnsi="Verdana"/>
          <w:sz w:val="20"/>
          <w:szCs w:val="20"/>
        </w:rPr>
      </w:pPr>
      <w:r w:rsidRPr="0022439E">
        <w:rPr>
          <w:rFonts w:ascii="Verdana" w:hAnsi="Verdana"/>
          <w:sz w:val="20"/>
          <w:szCs w:val="20"/>
        </w:rPr>
        <w:t xml:space="preserve">Número del Diario Oficial: </w:t>
      </w:r>
      <w:r w:rsidR="00251F6B" w:rsidRPr="0022439E">
        <w:rPr>
          <w:rFonts w:ascii="Verdana" w:hAnsi="Verdana"/>
          <w:sz w:val="20"/>
          <w:szCs w:val="20"/>
        </w:rPr>
        <w:t>N</w:t>
      </w:r>
      <w:r w:rsidR="0022439E" w:rsidRPr="0022439E">
        <w:rPr>
          <w:rFonts w:ascii="Verdana" w:hAnsi="Verdana"/>
          <w:sz w:val="20"/>
          <w:szCs w:val="20"/>
        </w:rPr>
        <w:t>/A</w:t>
      </w:r>
    </w:p>
    <w:p w14:paraId="5E657EE0" w14:textId="75DE0D1F" w:rsidR="00DB3505" w:rsidRPr="008B031C" w:rsidRDefault="00DB3505" w:rsidP="00251F6B">
      <w:pPr>
        <w:jc w:val="center"/>
        <w:rPr>
          <w:rFonts w:ascii="Verdana" w:hAnsi="Verdana"/>
          <w:sz w:val="22"/>
          <w:szCs w:val="22"/>
        </w:rPr>
      </w:pPr>
      <w:r w:rsidRPr="008B031C">
        <w:rPr>
          <w:rFonts w:ascii="Verdana" w:hAnsi="Verdana"/>
          <w:b/>
          <w:bCs/>
          <w:sz w:val="22"/>
          <w:szCs w:val="22"/>
        </w:rPr>
        <w:t xml:space="preserve">RESOLUCIÓN </w:t>
      </w:r>
      <w:r w:rsidR="00AE0A61" w:rsidRPr="008B031C">
        <w:rPr>
          <w:rFonts w:ascii="Verdana" w:hAnsi="Verdana"/>
          <w:b/>
          <w:bCs/>
          <w:sz w:val="22"/>
          <w:szCs w:val="22"/>
        </w:rPr>
        <w:t>7860</w:t>
      </w:r>
      <w:r w:rsidRPr="008B031C">
        <w:rPr>
          <w:rFonts w:ascii="Verdana" w:hAnsi="Verdana"/>
          <w:b/>
          <w:bCs/>
          <w:sz w:val="22"/>
          <w:szCs w:val="22"/>
        </w:rPr>
        <w:t xml:space="preserve"> DE 2023</w:t>
      </w:r>
    </w:p>
    <w:p w14:paraId="76C13A6D" w14:textId="4CAD0669" w:rsidR="00DB3505" w:rsidRPr="008B031C" w:rsidRDefault="00DB3505" w:rsidP="00251F6B">
      <w:pPr>
        <w:jc w:val="center"/>
        <w:rPr>
          <w:rFonts w:ascii="Verdana" w:hAnsi="Verdana"/>
          <w:b/>
          <w:bCs/>
          <w:sz w:val="22"/>
          <w:szCs w:val="22"/>
        </w:rPr>
      </w:pPr>
      <w:r w:rsidRPr="008B031C">
        <w:rPr>
          <w:rFonts w:ascii="Verdana" w:hAnsi="Verdana"/>
          <w:b/>
          <w:bCs/>
          <w:sz w:val="22"/>
          <w:szCs w:val="22"/>
        </w:rPr>
        <w:t>(</w:t>
      </w:r>
      <w:r w:rsidR="0043285A" w:rsidRPr="008B031C">
        <w:rPr>
          <w:rFonts w:ascii="Verdana" w:hAnsi="Verdana"/>
          <w:b/>
          <w:bCs/>
          <w:sz w:val="22"/>
          <w:szCs w:val="22"/>
        </w:rPr>
        <w:t>20</w:t>
      </w:r>
      <w:r w:rsidR="00251F6B" w:rsidRPr="008B031C">
        <w:rPr>
          <w:rFonts w:ascii="Verdana" w:hAnsi="Verdana"/>
          <w:b/>
          <w:bCs/>
          <w:sz w:val="22"/>
          <w:szCs w:val="22"/>
        </w:rPr>
        <w:t xml:space="preserve"> de </w:t>
      </w:r>
      <w:r w:rsidR="0043285A" w:rsidRPr="008B031C">
        <w:rPr>
          <w:rFonts w:ascii="Verdana" w:hAnsi="Verdana"/>
          <w:b/>
          <w:bCs/>
          <w:sz w:val="22"/>
          <w:szCs w:val="22"/>
        </w:rPr>
        <w:t>diciembre</w:t>
      </w:r>
      <w:r w:rsidRPr="008B031C">
        <w:rPr>
          <w:rFonts w:ascii="Verdana" w:hAnsi="Verdana"/>
          <w:b/>
          <w:bCs/>
          <w:sz w:val="22"/>
          <w:szCs w:val="22"/>
        </w:rPr>
        <w:t>)</w:t>
      </w:r>
    </w:p>
    <w:p w14:paraId="379024D7" w14:textId="2FE20C9F" w:rsidR="004B3BC2" w:rsidRPr="008B031C" w:rsidRDefault="004B3BC2" w:rsidP="00251F6B">
      <w:pPr>
        <w:jc w:val="center"/>
        <w:rPr>
          <w:rFonts w:ascii="Verdana" w:hAnsi="Verdana"/>
          <w:b/>
          <w:bCs/>
          <w:sz w:val="22"/>
          <w:szCs w:val="22"/>
        </w:rPr>
      </w:pPr>
      <w:r w:rsidRPr="008B031C">
        <w:rPr>
          <w:rFonts w:ascii="Verdana" w:hAnsi="Verdana"/>
          <w:b/>
          <w:bCs/>
          <w:sz w:val="22"/>
          <w:szCs w:val="22"/>
        </w:rPr>
        <w:t xml:space="preserve">LA DIRECTORA GENERAL DEL INSTITUTO COLOMBIANO DE BIENESTAR FAMILIAR (ICBF) CECILIA DE LA FUENTE DE LLERAS </w:t>
      </w:r>
    </w:p>
    <w:p w14:paraId="6A9733C5" w14:textId="74B7504A" w:rsidR="006939EE" w:rsidRPr="008B031C" w:rsidRDefault="006939EE" w:rsidP="00251F6B">
      <w:pPr>
        <w:jc w:val="center"/>
        <w:rPr>
          <w:rFonts w:ascii="Verdana" w:hAnsi="Verdana"/>
          <w:sz w:val="22"/>
          <w:szCs w:val="22"/>
        </w:rPr>
      </w:pPr>
      <w:r w:rsidRPr="008B031C">
        <w:rPr>
          <w:rFonts w:ascii="Verdana" w:hAnsi="Verdana"/>
          <w:sz w:val="22"/>
          <w:szCs w:val="22"/>
        </w:rPr>
        <w:t>“Por la cual se derogan las resoluciones 3796 del 1 de agosto de 2022 y 5972 del 25 de agosto de 2023”</w:t>
      </w:r>
    </w:p>
    <w:p w14:paraId="3D6C6B14" w14:textId="6748B010" w:rsidR="00DB3505" w:rsidRPr="008B031C" w:rsidRDefault="00DB3505" w:rsidP="00251F6B">
      <w:pPr>
        <w:jc w:val="center"/>
        <w:rPr>
          <w:rFonts w:ascii="Verdana" w:hAnsi="Verdana"/>
          <w:sz w:val="22"/>
          <w:szCs w:val="22"/>
        </w:rPr>
      </w:pPr>
      <w:r w:rsidRPr="008B031C">
        <w:rPr>
          <w:rFonts w:ascii="Verdana" w:hAnsi="Verdana"/>
          <w:b/>
          <w:bCs/>
          <w:sz w:val="22"/>
          <w:szCs w:val="22"/>
        </w:rPr>
        <w:t>LA DIRECTORA GENERAL DEL INSTITUTO COLOMBIANO DE BIENESTAR FAMILIAR CECILIA DE LA FUENTE DE LLERAS,</w:t>
      </w:r>
    </w:p>
    <w:p w14:paraId="0899A1A6" w14:textId="77777777" w:rsidR="009410E2" w:rsidRPr="008B031C" w:rsidRDefault="009410E2" w:rsidP="009410E2">
      <w:pPr>
        <w:spacing w:after="0" w:line="216" w:lineRule="auto"/>
        <w:ind w:left="10" w:hanging="10"/>
        <w:jc w:val="center"/>
        <w:rPr>
          <w:rFonts w:ascii="Verdana" w:hAnsi="Verdana"/>
          <w:sz w:val="22"/>
          <w:szCs w:val="22"/>
        </w:rPr>
      </w:pPr>
      <w:r w:rsidRPr="008B031C">
        <w:rPr>
          <w:rFonts w:ascii="Verdana" w:hAnsi="Verdana"/>
          <w:sz w:val="22"/>
          <w:szCs w:val="22"/>
        </w:rPr>
        <w:t>En ejercicio de sus facultades legales y estatutarias y, en especial de las que le confiere el literal b) del artículo 28 de la Ley 7 de 1979, el artículo</w:t>
      </w:r>
    </w:p>
    <w:p w14:paraId="324B2A11" w14:textId="30FB3E04" w:rsidR="009410E2" w:rsidRPr="008B031C" w:rsidRDefault="009410E2" w:rsidP="009410E2">
      <w:pPr>
        <w:spacing w:after="188" w:line="216" w:lineRule="auto"/>
        <w:ind w:left="10" w:hanging="10"/>
        <w:jc w:val="center"/>
        <w:rPr>
          <w:rFonts w:ascii="Verdana" w:hAnsi="Verdana"/>
          <w:sz w:val="22"/>
          <w:szCs w:val="22"/>
        </w:rPr>
      </w:pPr>
      <w:r w:rsidRPr="008B031C">
        <w:rPr>
          <w:rFonts w:ascii="Verdana" w:hAnsi="Verdana"/>
          <w:sz w:val="22"/>
          <w:szCs w:val="22"/>
        </w:rPr>
        <w:t>78 de la Ley 489 de 1998, la Ley 1437 de 2011 y el artículo 2 del Decreto 987 de 2012 y,</w:t>
      </w:r>
    </w:p>
    <w:p w14:paraId="62EE6393" w14:textId="26CD6FEA" w:rsidR="00DB3505" w:rsidRPr="008B031C" w:rsidRDefault="00DB3505" w:rsidP="00251F6B">
      <w:pPr>
        <w:jc w:val="center"/>
        <w:rPr>
          <w:rFonts w:ascii="Verdana" w:hAnsi="Verdana"/>
          <w:sz w:val="22"/>
          <w:szCs w:val="22"/>
        </w:rPr>
      </w:pPr>
      <w:r w:rsidRPr="008B031C">
        <w:rPr>
          <w:rFonts w:ascii="Verdana" w:hAnsi="Verdana"/>
          <w:b/>
          <w:bCs/>
          <w:sz w:val="22"/>
          <w:szCs w:val="22"/>
        </w:rPr>
        <w:t>CONSIDERANDO:</w:t>
      </w:r>
    </w:p>
    <w:p w14:paraId="3E3DC471" w14:textId="77777777" w:rsidR="006514F6" w:rsidRPr="008B031C" w:rsidRDefault="006514F6" w:rsidP="002806F2">
      <w:pPr>
        <w:pStyle w:val="Prrafodelista"/>
        <w:numPr>
          <w:ilvl w:val="0"/>
          <w:numId w:val="2"/>
        </w:numPr>
        <w:rPr>
          <w:rFonts w:ascii="Verdana" w:hAnsi="Verdana"/>
          <w:sz w:val="22"/>
          <w:szCs w:val="22"/>
        </w:rPr>
      </w:pPr>
      <w:r w:rsidRPr="008B031C">
        <w:rPr>
          <w:rFonts w:ascii="Verdana" w:hAnsi="Verdana"/>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781DC613" w14:textId="4B472EA2" w:rsidR="00231795" w:rsidRPr="008B031C" w:rsidRDefault="00231795" w:rsidP="002806F2">
      <w:pPr>
        <w:pStyle w:val="Prrafodelista"/>
        <w:numPr>
          <w:ilvl w:val="0"/>
          <w:numId w:val="2"/>
        </w:numPr>
        <w:rPr>
          <w:rFonts w:ascii="Verdana" w:hAnsi="Verdana"/>
          <w:sz w:val="22"/>
          <w:szCs w:val="22"/>
        </w:rPr>
      </w:pPr>
      <w:r w:rsidRPr="008B031C">
        <w:rPr>
          <w:rFonts w:ascii="Verdana" w:hAnsi="Verdana"/>
          <w:sz w:val="22"/>
          <w:szCs w:val="22"/>
        </w:rPr>
        <w:t>Que, a su vez, el artículo 44 de la Carta Constitucional desarrolla la categoría de sujetos de especial protección constitucional de los niños, niñas y adolescentes al establecer que sus derechos prevalecen sobre los derechos de los demás.</w:t>
      </w:r>
    </w:p>
    <w:p w14:paraId="0B1CF843" w14:textId="354D7746" w:rsidR="00383B5B" w:rsidRPr="008B031C" w:rsidRDefault="00383B5B" w:rsidP="002806F2">
      <w:pPr>
        <w:pStyle w:val="Prrafodelista"/>
        <w:numPr>
          <w:ilvl w:val="0"/>
          <w:numId w:val="2"/>
        </w:numPr>
        <w:rPr>
          <w:rFonts w:ascii="Verdana" w:hAnsi="Verdana"/>
          <w:sz w:val="22"/>
          <w:szCs w:val="22"/>
        </w:rPr>
      </w:pPr>
      <w:r w:rsidRPr="008B031C">
        <w:rPr>
          <w:rFonts w:ascii="Verdana" w:hAnsi="Verdana"/>
          <w:sz w:val="22"/>
          <w:szCs w:val="22"/>
        </w:rPr>
        <w:t>Que el Instituto Colombiano de Bienestar Familiar - ICBF es la entidad del Estado colombiano que trabaja por la prevención y protección integral de la primera infancia, infancia, adolescencia y el fortalecimiento de las familias en Colombia, brindando atención especialmente a aquellos en condiciones de amenaza, inobservancia o vulneración de sus derechos.</w:t>
      </w:r>
    </w:p>
    <w:p w14:paraId="22D7DD8E" w14:textId="77777777" w:rsidR="007F1A82" w:rsidRPr="008B031C" w:rsidRDefault="007F1A82" w:rsidP="007F1A82">
      <w:pPr>
        <w:pStyle w:val="Prrafodelista"/>
        <w:numPr>
          <w:ilvl w:val="0"/>
          <w:numId w:val="2"/>
        </w:numPr>
        <w:ind w:right="9"/>
        <w:rPr>
          <w:rFonts w:ascii="Verdana" w:hAnsi="Verdana"/>
          <w:sz w:val="22"/>
          <w:szCs w:val="22"/>
        </w:rPr>
      </w:pPr>
      <w:proofErr w:type="gramStart"/>
      <w:r w:rsidRPr="008B031C">
        <w:rPr>
          <w:rFonts w:ascii="Verdana" w:hAnsi="Verdana"/>
          <w:sz w:val="22"/>
          <w:szCs w:val="22"/>
        </w:rPr>
        <w:t>Que</w:t>
      </w:r>
      <w:proofErr w:type="gramEnd"/>
      <w:r w:rsidRPr="008B031C">
        <w:rPr>
          <w:rFonts w:ascii="Verdana" w:hAnsi="Verdana"/>
          <w:sz w:val="22"/>
          <w:szCs w:val="22"/>
        </w:rPr>
        <w:t xml:space="preserve"> en el marco descrito, el ICBF expidió la Resolución 0011 de 2022, a través de la cual se modificó la Resolución 060 de 2013, con el fin de crear el Grupo Interno de Trabajo "Guardianes de la Niñez y la Adolescencia" en la Dirección General.</w:t>
      </w:r>
    </w:p>
    <w:p w14:paraId="2EFC5F11" w14:textId="5C40E039" w:rsidR="007F1A82" w:rsidRPr="008B031C" w:rsidRDefault="009F37CB" w:rsidP="002806F2">
      <w:pPr>
        <w:pStyle w:val="Prrafodelista"/>
        <w:numPr>
          <w:ilvl w:val="0"/>
          <w:numId w:val="2"/>
        </w:numPr>
        <w:rPr>
          <w:rFonts w:ascii="Verdana" w:hAnsi="Verdana"/>
          <w:sz w:val="22"/>
          <w:szCs w:val="22"/>
        </w:rPr>
      </w:pPr>
      <w:r w:rsidRPr="008B031C">
        <w:rPr>
          <w:rFonts w:ascii="Verdana" w:hAnsi="Verdana"/>
          <w:sz w:val="22"/>
          <w:szCs w:val="22"/>
        </w:rPr>
        <w:t xml:space="preserve">Que no obstante lo anterior, en el marco de la Política Nacional de Infancia y Adolescencia 2018-2023, mediante Resolución 3796 de 2022 el ICBF creó en la Dirección General el Grupo Interno de trabajo "Coordinación e Implementación de la Alianza Nacional contra la violencia hacia niñas, </w:t>
      </w:r>
      <w:r w:rsidRPr="008B031C">
        <w:rPr>
          <w:rFonts w:ascii="Verdana" w:hAnsi="Verdana"/>
          <w:sz w:val="22"/>
          <w:szCs w:val="22"/>
        </w:rPr>
        <w:lastRenderedPageBreak/>
        <w:t>niños y adolescentes", el cual, entre otras, asumió las funciones del Grupo Interno de Trabajo "Guardianes de la Niñez y la Adolescencia", razón por la cual, se procedió con su derogatoria en el mismo acto administrativo.</w:t>
      </w:r>
    </w:p>
    <w:p w14:paraId="7BE0BC80" w14:textId="285A0B4A" w:rsidR="00980C0C" w:rsidRPr="008B031C" w:rsidRDefault="00980C0C" w:rsidP="002806F2">
      <w:pPr>
        <w:pStyle w:val="Prrafodelista"/>
        <w:numPr>
          <w:ilvl w:val="0"/>
          <w:numId w:val="2"/>
        </w:numPr>
        <w:rPr>
          <w:rFonts w:ascii="Verdana" w:hAnsi="Verdana"/>
          <w:sz w:val="22"/>
          <w:szCs w:val="22"/>
        </w:rPr>
      </w:pPr>
      <w:r w:rsidRPr="008B031C">
        <w:rPr>
          <w:rFonts w:ascii="Verdana" w:hAnsi="Verdana"/>
          <w:sz w:val="22"/>
          <w:szCs w:val="22"/>
        </w:rPr>
        <w:t>Que, de otro lado, la Ley 2294 de 2023 por medio de la cual se expide el Plan Nacional de Desarrollo 2022-2026 "Colombia Potencia Mundial de la Vida", tiene como propósito sentar las bases para que el país se convierta en un líder de la protección de la vida, se propicie la superación de injusticias y exclusiones históricas, la no repetición del conflicto y el cambio en nuestro relacionamiento con la naturaleza.</w:t>
      </w:r>
    </w:p>
    <w:p w14:paraId="677493CC" w14:textId="77777777" w:rsidR="00EE6225" w:rsidRPr="008B031C" w:rsidRDefault="00EE6225" w:rsidP="00EE6225">
      <w:pPr>
        <w:pStyle w:val="Prrafodelista"/>
        <w:numPr>
          <w:ilvl w:val="0"/>
          <w:numId w:val="2"/>
        </w:numPr>
        <w:ind w:right="9"/>
        <w:rPr>
          <w:rFonts w:ascii="Verdana" w:hAnsi="Verdana"/>
          <w:sz w:val="22"/>
          <w:szCs w:val="22"/>
        </w:rPr>
      </w:pPr>
      <w:r w:rsidRPr="008B031C">
        <w:rPr>
          <w:rFonts w:ascii="Verdana" w:hAnsi="Verdana"/>
          <w:sz w:val="22"/>
          <w:szCs w:val="22"/>
        </w:rPr>
        <w:t>Que en el marco del nuevo Plan Nacional de Desarrollo se propone que bajo un cambio de enfoque se creen las '</w:t>
      </w:r>
      <w:r w:rsidRPr="008B031C">
        <w:rPr>
          <w:rFonts w:ascii="Verdana" w:hAnsi="Verdana"/>
          <w:sz w:val="22"/>
          <w:szCs w:val="22"/>
          <w:vertAlign w:val="superscript"/>
        </w:rPr>
        <w:t xml:space="preserve">i </w:t>
      </w:r>
      <w:r w:rsidRPr="008B031C">
        <w:rPr>
          <w:rFonts w:ascii="Verdana" w:hAnsi="Verdana"/>
          <w:sz w:val="22"/>
          <w:szCs w:val="22"/>
        </w:rPr>
        <w:t>comunidades protectoras integrales" como una red que convoque a las familias, comunidades próximas y oferta institucional, a la protección de la vida de cada niña, niño y adolescente.</w:t>
      </w:r>
    </w:p>
    <w:p w14:paraId="546FFE1D" w14:textId="6F3FDDBA" w:rsidR="00EE6225" w:rsidRPr="008B031C" w:rsidRDefault="00E550EB" w:rsidP="002806F2">
      <w:pPr>
        <w:pStyle w:val="Prrafodelista"/>
        <w:numPr>
          <w:ilvl w:val="0"/>
          <w:numId w:val="2"/>
        </w:numPr>
        <w:rPr>
          <w:rFonts w:ascii="Verdana" w:hAnsi="Verdana"/>
          <w:sz w:val="22"/>
          <w:szCs w:val="22"/>
        </w:rPr>
      </w:pPr>
      <w:proofErr w:type="gramStart"/>
      <w:r w:rsidRPr="008B031C">
        <w:rPr>
          <w:rFonts w:ascii="Verdana" w:hAnsi="Verdana"/>
          <w:sz w:val="22"/>
          <w:szCs w:val="22"/>
        </w:rPr>
        <w:t>Que</w:t>
      </w:r>
      <w:proofErr w:type="gramEnd"/>
      <w:r w:rsidRPr="008B031C">
        <w:rPr>
          <w:rFonts w:ascii="Verdana" w:hAnsi="Verdana"/>
          <w:sz w:val="22"/>
          <w:szCs w:val="22"/>
        </w:rPr>
        <w:t xml:space="preserve"> de conformidad con lo indicado, la nueva hoja de ruta del Gobierno Nacional tiene como fundamento la implementación de mecanismos de prevención de violencias contra niños, niñas y adolescentes, con base en un enfoque de colaboración colectiva y busca avanzar progresivamente en la desinstitucionalización de la niñez en protección, para darle paso a </w:t>
      </w:r>
      <w:r w:rsidR="00C471FE" w:rsidRPr="008B031C">
        <w:rPr>
          <w:rFonts w:ascii="Verdana" w:hAnsi="Verdana"/>
          <w:sz w:val="22"/>
          <w:szCs w:val="22"/>
        </w:rPr>
        <w:t>las comunidades</w:t>
      </w:r>
      <w:r w:rsidRPr="008B031C">
        <w:rPr>
          <w:rFonts w:ascii="Verdana" w:hAnsi="Verdana"/>
          <w:sz w:val="22"/>
          <w:szCs w:val="22"/>
        </w:rPr>
        <w:t xml:space="preserve"> protectoras integrales".</w:t>
      </w:r>
    </w:p>
    <w:p w14:paraId="19F98FFB" w14:textId="574C7EF2" w:rsidR="00CC6B0F" w:rsidRPr="008B031C" w:rsidRDefault="00CC6B0F" w:rsidP="002806F2">
      <w:pPr>
        <w:pStyle w:val="Prrafodelista"/>
        <w:numPr>
          <w:ilvl w:val="0"/>
          <w:numId w:val="2"/>
        </w:numPr>
        <w:rPr>
          <w:rFonts w:ascii="Verdana" w:hAnsi="Verdana"/>
          <w:sz w:val="22"/>
          <w:szCs w:val="22"/>
        </w:rPr>
      </w:pPr>
      <w:r w:rsidRPr="008B031C">
        <w:rPr>
          <w:rFonts w:ascii="Verdana" w:hAnsi="Verdana"/>
          <w:sz w:val="22"/>
          <w:szCs w:val="22"/>
        </w:rPr>
        <w:t>Que en el marco de los nuevos mandatos y metas consagrados en el Plan Nacional de Desarrollo, el ICBF ha modificado las estrategias vigentes, entre estas, las relacionadas con el funcionamiento del Grupo Interno de Trabajo "Coordinación e Implementación de la Alianza Nacional contra la Violencia hacia Niñas, Niños y Adolescentes", cuyo equipo de trabajo, además, ha sido redistribuido para la atención de otras necesidades identificadas por la Entidad/ razón por la cual se hace necesario derogar la Resolución 3796 de 2022, acto administrativo que lo creó.</w:t>
      </w:r>
    </w:p>
    <w:p w14:paraId="5BEB1A87" w14:textId="686E9383" w:rsidR="00CC6B0F" w:rsidRPr="008B031C" w:rsidRDefault="00C471FE" w:rsidP="002806F2">
      <w:pPr>
        <w:pStyle w:val="Prrafodelista"/>
        <w:numPr>
          <w:ilvl w:val="0"/>
          <w:numId w:val="2"/>
        </w:numPr>
        <w:rPr>
          <w:rFonts w:ascii="Verdana" w:hAnsi="Verdana"/>
          <w:sz w:val="22"/>
          <w:szCs w:val="22"/>
        </w:rPr>
      </w:pPr>
      <w:proofErr w:type="gramStart"/>
      <w:r w:rsidRPr="008B031C">
        <w:rPr>
          <w:rFonts w:ascii="Verdana" w:hAnsi="Verdana"/>
          <w:sz w:val="22"/>
          <w:szCs w:val="22"/>
        </w:rPr>
        <w:t>Que</w:t>
      </w:r>
      <w:proofErr w:type="gramEnd"/>
      <w:r w:rsidRPr="008B031C">
        <w:rPr>
          <w:rFonts w:ascii="Verdana" w:hAnsi="Verdana"/>
          <w:sz w:val="22"/>
          <w:szCs w:val="22"/>
        </w:rPr>
        <w:t xml:space="preserve"> por razones de oportunidad y conveniencia, resulta procedente la derogatoria de los actos administrativos. Así lo ha resaltado la Corte Constitucional en sentencia C-901 de 2011, en los siguientes términos:</w:t>
      </w:r>
    </w:p>
    <w:p w14:paraId="5F63B3AB" w14:textId="77777777" w:rsidR="008B031C" w:rsidRPr="008B031C" w:rsidRDefault="008B031C" w:rsidP="008B031C">
      <w:pPr>
        <w:pStyle w:val="Prrafodelista"/>
        <w:spacing w:after="290" w:line="216" w:lineRule="auto"/>
        <w:ind w:left="1416" w:right="902"/>
        <w:rPr>
          <w:rFonts w:ascii="Verdana" w:hAnsi="Verdana"/>
          <w:sz w:val="22"/>
          <w:szCs w:val="22"/>
        </w:rPr>
      </w:pPr>
      <w:r w:rsidRPr="008B031C">
        <w:rPr>
          <w:rFonts w:ascii="Verdana" w:eastAsia="Courier New" w:hAnsi="Verdana" w:cs="Courier New"/>
          <w:sz w:val="22"/>
          <w:szCs w:val="22"/>
        </w:rPr>
        <w:t>"L</w:t>
      </w:r>
      <w:r w:rsidRPr="008B031C">
        <w:rPr>
          <w:rFonts w:ascii="Verdana" w:hAnsi="Verdana"/>
          <w:sz w:val="22"/>
          <w:szCs w:val="22"/>
        </w:rPr>
        <w:t>a</w:t>
      </w:r>
      <w:r w:rsidRPr="008B031C">
        <w:rPr>
          <w:rFonts w:ascii="Verdana" w:eastAsia="Courier New" w:hAnsi="Verdana" w:cs="Courier New"/>
          <w:sz w:val="22"/>
          <w:szCs w:val="22"/>
        </w:rPr>
        <w:t xml:space="preserve"> derogación tiene como función "dejar sin efecto e/ deber ser de otra norma, expulsándola de/ ordenamiento. Por e//o se ha entendido que la derogación es la cesación de la vigencia de una disposición como efecto de una norma posterior", que no se fundamenta en un cuestionamiento sobre la validez de </w:t>
      </w:r>
      <w:r w:rsidRPr="008B031C">
        <w:rPr>
          <w:rFonts w:ascii="Verdana" w:hAnsi="Verdana"/>
          <w:sz w:val="22"/>
          <w:szCs w:val="22"/>
        </w:rPr>
        <w:t>las normas</w:t>
      </w:r>
      <w:r w:rsidRPr="008B031C">
        <w:rPr>
          <w:rFonts w:ascii="Verdana" w:eastAsia="Courier New" w:hAnsi="Verdana" w:cs="Courier New"/>
          <w:sz w:val="22"/>
          <w:szCs w:val="22"/>
        </w:rPr>
        <w:t xml:space="preserve">, </w:t>
      </w:r>
      <w:r w:rsidRPr="008B031C">
        <w:rPr>
          <w:rFonts w:ascii="Verdana" w:hAnsi="Verdana"/>
          <w:sz w:val="22"/>
          <w:szCs w:val="22"/>
        </w:rPr>
        <w:t>por</w:t>
      </w:r>
      <w:r w:rsidRPr="008B031C">
        <w:rPr>
          <w:rFonts w:ascii="Verdana" w:eastAsia="Courier New" w:hAnsi="Verdana" w:cs="Courier New"/>
          <w:sz w:val="22"/>
          <w:szCs w:val="22"/>
        </w:rPr>
        <w:t xml:space="preserve"> ejemplo, cuando es declarada inexequible, "sino en criterios de oportunidad libremente evaluados por las autoridades </w:t>
      </w:r>
      <w:r w:rsidRPr="008B031C">
        <w:rPr>
          <w:rFonts w:ascii="Verdana" w:hAnsi="Verdana"/>
          <w:sz w:val="22"/>
          <w:szCs w:val="22"/>
        </w:rPr>
        <w:t>competentes</w:t>
      </w:r>
      <w:r w:rsidRPr="008B031C">
        <w:rPr>
          <w:rFonts w:ascii="Verdana" w:eastAsia="Courier New" w:hAnsi="Verdana" w:cs="Courier New"/>
          <w:sz w:val="22"/>
          <w:szCs w:val="22"/>
        </w:rPr>
        <w:t>, Así la derogación no deriva de conflictos entre normas de distinta jerarquía sino de la libertad política del</w:t>
      </w:r>
      <w:r w:rsidRPr="008B031C">
        <w:rPr>
          <w:rFonts w:ascii="Verdana" w:hAnsi="Verdana"/>
          <w:sz w:val="22"/>
          <w:szCs w:val="22"/>
        </w:rPr>
        <w:t xml:space="preserve"> legislador</w:t>
      </w:r>
      <w:r w:rsidRPr="008B031C">
        <w:rPr>
          <w:rFonts w:ascii="Verdana" w:eastAsia="Courier New" w:hAnsi="Verdana" w:cs="Courier New"/>
          <w:sz w:val="22"/>
          <w:szCs w:val="22"/>
        </w:rPr>
        <w:t>.</w:t>
      </w:r>
      <w:r w:rsidRPr="008B031C">
        <w:rPr>
          <w:rFonts w:ascii="Verdana" w:hAnsi="Verdana"/>
          <w:sz w:val="22"/>
          <w:szCs w:val="22"/>
        </w:rPr>
        <w:t>"</w:t>
      </w:r>
    </w:p>
    <w:p w14:paraId="4FFE071D" w14:textId="24385F66" w:rsidR="008B031C" w:rsidRDefault="00AC6DBF" w:rsidP="008B031C">
      <w:pPr>
        <w:pStyle w:val="Prrafodelista"/>
        <w:numPr>
          <w:ilvl w:val="0"/>
          <w:numId w:val="2"/>
        </w:numPr>
        <w:rPr>
          <w:rFonts w:ascii="Verdana" w:hAnsi="Verdana"/>
          <w:sz w:val="22"/>
          <w:szCs w:val="22"/>
        </w:rPr>
      </w:pPr>
      <w:r w:rsidRPr="00C63F33">
        <w:rPr>
          <w:rFonts w:ascii="Verdana" w:hAnsi="Verdana"/>
          <w:sz w:val="22"/>
          <w:szCs w:val="22"/>
        </w:rPr>
        <w:t>Que,</w:t>
      </w:r>
      <w:r w:rsidR="00C63F33" w:rsidRPr="00C63F33">
        <w:rPr>
          <w:rFonts w:ascii="Verdana" w:hAnsi="Verdana"/>
          <w:sz w:val="22"/>
          <w:szCs w:val="22"/>
        </w:rPr>
        <w:t xml:space="preserve"> al respecto, el Consejo de Estado en sentencia del 31 de mayo de 2012, señala:</w:t>
      </w:r>
    </w:p>
    <w:p w14:paraId="379A66B9" w14:textId="108310DF" w:rsidR="00C63F33" w:rsidRDefault="00AC6DBF" w:rsidP="00AC6DBF">
      <w:pPr>
        <w:ind w:left="1416"/>
        <w:rPr>
          <w:rFonts w:ascii="Verdana" w:hAnsi="Verdana"/>
          <w:sz w:val="22"/>
          <w:szCs w:val="22"/>
        </w:rPr>
      </w:pPr>
      <w:r>
        <w:rPr>
          <w:rFonts w:ascii="Verdana" w:hAnsi="Verdana"/>
          <w:sz w:val="22"/>
          <w:szCs w:val="22"/>
        </w:rPr>
        <w:t>“</w:t>
      </w:r>
      <w:r w:rsidRPr="00AC6DBF">
        <w:rPr>
          <w:rFonts w:ascii="Verdana" w:hAnsi="Verdana"/>
          <w:sz w:val="22"/>
          <w:szCs w:val="22"/>
        </w:rPr>
        <w:t>Derogatoria es la abolición de un acto administrativo por decisión unilateral y discrecional de la autoridad u organismo que lo expidió. Así se tiene que es</w:t>
      </w:r>
      <w:r>
        <w:rPr>
          <w:rFonts w:ascii="Verdana" w:hAnsi="Verdana"/>
          <w:sz w:val="22"/>
          <w:szCs w:val="22"/>
        </w:rPr>
        <w:t>a</w:t>
      </w:r>
      <w:r w:rsidRPr="00AC6DBF">
        <w:rPr>
          <w:rFonts w:ascii="Verdana" w:hAnsi="Verdana"/>
          <w:sz w:val="22"/>
          <w:szCs w:val="22"/>
        </w:rPr>
        <w:t xml:space="preserve"> misma autoridad que expidió e</w:t>
      </w:r>
      <w:r>
        <w:rPr>
          <w:rFonts w:ascii="Verdana" w:hAnsi="Verdana"/>
          <w:sz w:val="22"/>
          <w:szCs w:val="22"/>
        </w:rPr>
        <w:t xml:space="preserve">l </w:t>
      </w:r>
      <w:r w:rsidRPr="00AC6DBF">
        <w:rPr>
          <w:rFonts w:ascii="Verdana" w:hAnsi="Verdana"/>
          <w:sz w:val="22"/>
          <w:szCs w:val="22"/>
        </w:rPr>
        <w:t>act</w:t>
      </w:r>
      <w:r>
        <w:rPr>
          <w:rFonts w:ascii="Verdana" w:hAnsi="Verdana"/>
          <w:sz w:val="22"/>
          <w:szCs w:val="22"/>
        </w:rPr>
        <w:t xml:space="preserve">o </w:t>
      </w:r>
      <w:r w:rsidRPr="00AC6DBF">
        <w:rPr>
          <w:rFonts w:ascii="Verdana" w:hAnsi="Verdana"/>
          <w:sz w:val="22"/>
          <w:szCs w:val="22"/>
        </w:rPr>
        <w:t>administrativo de carácter genera/ o particular, siempre y cu</w:t>
      </w:r>
      <w:r>
        <w:rPr>
          <w:rFonts w:ascii="Verdana" w:hAnsi="Verdana"/>
          <w:sz w:val="22"/>
          <w:szCs w:val="22"/>
        </w:rPr>
        <w:t>a</w:t>
      </w:r>
      <w:r w:rsidRPr="00AC6DBF">
        <w:rPr>
          <w:rFonts w:ascii="Verdana" w:hAnsi="Verdana"/>
          <w:sz w:val="22"/>
          <w:szCs w:val="22"/>
        </w:rPr>
        <w:t xml:space="preserve">ndo este último no haya creado un derecho, la que lo hace desaparecer </w:t>
      </w:r>
      <w:r w:rsidRPr="00AC6DBF">
        <w:rPr>
          <w:rFonts w:ascii="Verdana" w:hAnsi="Verdana"/>
          <w:sz w:val="22"/>
          <w:szCs w:val="22"/>
        </w:rPr>
        <w:lastRenderedPageBreak/>
        <w:t>de</w:t>
      </w:r>
      <w:r>
        <w:rPr>
          <w:rFonts w:ascii="Verdana" w:hAnsi="Verdana"/>
          <w:sz w:val="22"/>
          <w:szCs w:val="22"/>
        </w:rPr>
        <w:t>l</w:t>
      </w:r>
      <w:r w:rsidRPr="00AC6DBF">
        <w:rPr>
          <w:rFonts w:ascii="Verdana" w:hAnsi="Verdana"/>
          <w:sz w:val="22"/>
          <w:szCs w:val="22"/>
        </w:rPr>
        <w:t xml:space="preserve"> mundo jurídico, por razones de conveniencia o de oportunidad en ejercicio de su potestad discrecional de la ad</w:t>
      </w:r>
      <w:r>
        <w:rPr>
          <w:rFonts w:ascii="Verdana" w:hAnsi="Verdana"/>
          <w:sz w:val="22"/>
          <w:szCs w:val="22"/>
        </w:rPr>
        <w:t>m</w:t>
      </w:r>
      <w:r w:rsidRPr="00AC6DBF">
        <w:rPr>
          <w:rFonts w:ascii="Verdana" w:hAnsi="Verdana"/>
          <w:sz w:val="22"/>
          <w:szCs w:val="22"/>
        </w:rPr>
        <w:t>inistración</w:t>
      </w:r>
      <w:r>
        <w:rPr>
          <w:rFonts w:ascii="Verdana" w:hAnsi="Verdana"/>
          <w:sz w:val="22"/>
          <w:szCs w:val="22"/>
        </w:rPr>
        <w:t>”</w:t>
      </w:r>
    </w:p>
    <w:p w14:paraId="7B8234CC" w14:textId="42F465A8" w:rsidR="00AC6DBF" w:rsidRDefault="00E5493B" w:rsidP="00AC6DBF">
      <w:pPr>
        <w:pStyle w:val="Prrafodelista"/>
        <w:numPr>
          <w:ilvl w:val="0"/>
          <w:numId w:val="2"/>
        </w:numPr>
        <w:rPr>
          <w:rFonts w:ascii="Verdana" w:hAnsi="Verdana"/>
          <w:sz w:val="22"/>
          <w:szCs w:val="22"/>
        </w:rPr>
      </w:pPr>
      <w:r w:rsidRPr="00E5493B">
        <w:rPr>
          <w:rFonts w:ascii="Verdana" w:hAnsi="Verdana"/>
          <w:sz w:val="22"/>
          <w:szCs w:val="22"/>
        </w:rPr>
        <w:t>Que en vigencia de la Resolución 3796 de 2022, ya referida, la Resolución 5972 de 2023 resolvió derogar la Resolución 0011 de 2022, sin embargo, este acto administrativo ya había sido derogado por la Resolución 3796 de 2022.</w:t>
      </w:r>
    </w:p>
    <w:p w14:paraId="75ECB37C" w14:textId="1928FC95" w:rsidR="00E5493B" w:rsidRDefault="00570D25" w:rsidP="00AC6DBF">
      <w:pPr>
        <w:pStyle w:val="Prrafodelista"/>
        <w:numPr>
          <w:ilvl w:val="0"/>
          <w:numId w:val="2"/>
        </w:numPr>
        <w:rPr>
          <w:rFonts w:ascii="Verdana" w:hAnsi="Verdana"/>
          <w:sz w:val="22"/>
          <w:szCs w:val="22"/>
        </w:rPr>
      </w:pPr>
      <w:proofErr w:type="gramStart"/>
      <w:r w:rsidRPr="00570D25">
        <w:rPr>
          <w:rFonts w:ascii="Verdana" w:hAnsi="Verdana"/>
          <w:sz w:val="22"/>
          <w:szCs w:val="22"/>
        </w:rPr>
        <w:t>Que</w:t>
      </w:r>
      <w:proofErr w:type="gramEnd"/>
      <w:r w:rsidRPr="00570D25">
        <w:rPr>
          <w:rFonts w:ascii="Verdana" w:hAnsi="Verdana"/>
          <w:sz w:val="22"/>
          <w:szCs w:val="22"/>
        </w:rPr>
        <w:t xml:space="preserve"> en el marco de lo descrito, se hace preciso derogar las Resoluciones 3796 de 2022 y 5972 de 2023.</w:t>
      </w:r>
    </w:p>
    <w:p w14:paraId="57BA9723" w14:textId="28C63689" w:rsidR="00C471FE" w:rsidRPr="008020FD" w:rsidRDefault="008020FD" w:rsidP="008020FD">
      <w:pPr>
        <w:pStyle w:val="Prrafodelista"/>
        <w:numPr>
          <w:ilvl w:val="0"/>
          <w:numId w:val="2"/>
        </w:numPr>
        <w:rPr>
          <w:rFonts w:ascii="Verdana" w:hAnsi="Verdana"/>
          <w:sz w:val="22"/>
          <w:szCs w:val="22"/>
        </w:rPr>
      </w:pPr>
      <w:r>
        <w:rPr>
          <w:rFonts w:ascii="Verdana" w:hAnsi="Verdana"/>
          <w:sz w:val="22"/>
          <w:szCs w:val="22"/>
        </w:rPr>
        <w:t xml:space="preserve">En mérito de los expuesto, </w:t>
      </w:r>
    </w:p>
    <w:p w14:paraId="4D19E32B" w14:textId="77777777" w:rsidR="00DB3505" w:rsidRPr="008B031C" w:rsidRDefault="00DB3505" w:rsidP="00692A8A">
      <w:pPr>
        <w:jc w:val="center"/>
        <w:rPr>
          <w:rFonts w:ascii="Verdana" w:hAnsi="Verdana"/>
          <w:sz w:val="22"/>
          <w:szCs w:val="22"/>
        </w:rPr>
      </w:pPr>
      <w:r w:rsidRPr="008B031C">
        <w:rPr>
          <w:rFonts w:ascii="Verdana" w:hAnsi="Verdana"/>
          <w:b/>
          <w:bCs/>
          <w:sz w:val="22"/>
          <w:szCs w:val="22"/>
        </w:rPr>
        <w:t>RESUELVE:</w:t>
      </w:r>
    </w:p>
    <w:p w14:paraId="52802B47" w14:textId="5EE86827" w:rsidR="00DB3505" w:rsidRPr="008B031C" w:rsidRDefault="00DB3505" w:rsidP="00DB3505">
      <w:pPr>
        <w:rPr>
          <w:rFonts w:ascii="Verdana" w:hAnsi="Verdana"/>
          <w:sz w:val="22"/>
          <w:szCs w:val="22"/>
        </w:rPr>
      </w:pPr>
      <w:bookmarkStart w:id="0" w:name="1"/>
      <w:r w:rsidRPr="008B031C">
        <w:rPr>
          <w:rFonts w:ascii="Verdana" w:hAnsi="Verdana"/>
          <w:b/>
          <w:bCs/>
          <w:sz w:val="22"/>
          <w:szCs w:val="22"/>
        </w:rPr>
        <w:t>ARTÍCULO 1o.</w:t>
      </w:r>
      <w:bookmarkEnd w:id="0"/>
      <w:r w:rsidRPr="008B031C">
        <w:rPr>
          <w:rFonts w:ascii="Verdana" w:hAnsi="Verdana"/>
          <w:sz w:val="22"/>
          <w:szCs w:val="22"/>
        </w:rPr>
        <w:t> </w:t>
      </w:r>
      <w:r w:rsidR="0008062A" w:rsidRPr="0008062A">
        <w:rPr>
          <w:rFonts w:ascii="Verdana" w:hAnsi="Verdana"/>
          <w:sz w:val="22"/>
          <w:szCs w:val="22"/>
        </w:rPr>
        <w:t>DEROGAR las Resoluciones 3796 del 1 de agosto de 2022 y 5972 del 25 de agosto de 2023, de acuerdo con lo expuesto en los considerandos del presente acto administrativo.</w:t>
      </w:r>
    </w:p>
    <w:p w14:paraId="6C682FD4" w14:textId="4EBB1FF3" w:rsidR="00DB3505" w:rsidRPr="008B031C" w:rsidRDefault="00DB3505" w:rsidP="00DB3505">
      <w:pPr>
        <w:rPr>
          <w:rFonts w:ascii="Verdana" w:hAnsi="Verdana"/>
          <w:sz w:val="22"/>
          <w:szCs w:val="22"/>
        </w:rPr>
      </w:pPr>
      <w:bookmarkStart w:id="1" w:name="2"/>
      <w:r w:rsidRPr="008B031C">
        <w:rPr>
          <w:rFonts w:ascii="Verdana" w:hAnsi="Verdana"/>
          <w:b/>
          <w:bCs/>
          <w:sz w:val="22"/>
          <w:szCs w:val="22"/>
        </w:rPr>
        <w:t>ARTÍCULO 2o.</w:t>
      </w:r>
      <w:bookmarkEnd w:id="1"/>
      <w:r w:rsidRPr="008B031C">
        <w:rPr>
          <w:rFonts w:ascii="Verdana" w:hAnsi="Verdana"/>
          <w:sz w:val="22"/>
          <w:szCs w:val="22"/>
        </w:rPr>
        <w:t> </w:t>
      </w:r>
      <w:r w:rsidR="00166563" w:rsidRPr="00166563">
        <w:rPr>
          <w:rFonts w:ascii="Verdana" w:hAnsi="Verdana"/>
          <w:sz w:val="22"/>
          <w:szCs w:val="22"/>
        </w:rPr>
        <w:t>La presente Resolución rige a partir de la fecha de su expedición.</w:t>
      </w:r>
    </w:p>
    <w:p w14:paraId="6F2189C5" w14:textId="6AB3FB40" w:rsidR="00DB3505" w:rsidRPr="008B031C" w:rsidRDefault="00DE103B" w:rsidP="00DE103B">
      <w:pPr>
        <w:jc w:val="center"/>
        <w:rPr>
          <w:rFonts w:ascii="Verdana" w:hAnsi="Verdana"/>
          <w:b/>
          <w:bCs/>
          <w:sz w:val="22"/>
          <w:szCs w:val="22"/>
        </w:rPr>
      </w:pPr>
      <w:r w:rsidRPr="008B031C">
        <w:rPr>
          <w:rFonts w:ascii="Verdana" w:hAnsi="Verdana"/>
          <w:b/>
          <w:bCs/>
          <w:sz w:val="22"/>
          <w:szCs w:val="22"/>
        </w:rPr>
        <w:t xml:space="preserve">COMUNÍQUESE Y CÚMPLASE, </w:t>
      </w:r>
    </w:p>
    <w:p w14:paraId="74AF46DF" w14:textId="51613FEF" w:rsidR="00DB3505" w:rsidRPr="008B031C" w:rsidRDefault="00DB3505" w:rsidP="00DE103B">
      <w:pPr>
        <w:jc w:val="center"/>
        <w:rPr>
          <w:rFonts w:ascii="Verdana" w:hAnsi="Verdana"/>
          <w:sz w:val="22"/>
          <w:szCs w:val="22"/>
        </w:rPr>
      </w:pPr>
      <w:r w:rsidRPr="008B031C">
        <w:rPr>
          <w:rFonts w:ascii="Verdana" w:hAnsi="Verdana"/>
          <w:sz w:val="22"/>
          <w:szCs w:val="22"/>
        </w:rPr>
        <w:t xml:space="preserve">Dada en Bogotá, D. C., a </w:t>
      </w:r>
      <w:r w:rsidR="00DE103B" w:rsidRPr="008B031C">
        <w:rPr>
          <w:rFonts w:ascii="Verdana" w:hAnsi="Verdana"/>
          <w:sz w:val="22"/>
          <w:szCs w:val="22"/>
        </w:rPr>
        <w:t xml:space="preserve">los </w:t>
      </w:r>
      <w:r w:rsidR="00166563">
        <w:rPr>
          <w:rFonts w:ascii="Verdana" w:hAnsi="Verdana"/>
          <w:sz w:val="22"/>
          <w:szCs w:val="22"/>
        </w:rPr>
        <w:t xml:space="preserve">20 </w:t>
      </w:r>
      <w:r w:rsidR="00DE103B" w:rsidRPr="008B031C">
        <w:rPr>
          <w:rFonts w:ascii="Verdana" w:hAnsi="Verdana"/>
          <w:sz w:val="22"/>
          <w:szCs w:val="22"/>
        </w:rPr>
        <w:t xml:space="preserve">días del mes </w:t>
      </w:r>
      <w:r w:rsidRPr="008B031C">
        <w:rPr>
          <w:rFonts w:ascii="Verdana" w:hAnsi="Verdana"/>
          <w:sz w:val="22"/>
          <w:szCs w:val="22"/>
        </w:rPr>
        <w:t xml:space="preserve">de </w:t>
      </w:r>
      <w:r w:rsidR="00166563">
        <w:rPr>
          <w:rFonts w:ascii="Verdana" w:hAnsi="Verdana"/>
          <w:sz w:val="22"/>
          <w:szCs w:val="22"/>
        </w:rPr>
        <w:t>diciembre</w:t>
      </w:r>
      <w:r w:rsidRPr="008B031C">
        <w:rPr>
          <w:rFonts w:ascii="Verdana" w:hAnsi="Verdana"/>
          <w:sz w:val="22"/>
          <w:szCs w:val="22"/>
        </w:rPr>
        <w:t xml:space="preserve"> de 2023.</w:t>
      </w:r>
    </w:p>
    <w:p w14:paraId="0499E739" w14:textId="0B9B6996" w:rsidR="00DE103B" w:rsidRPr="008B031C" w:rsidRDefault="00166563" w:rsidP="00DE103B">
      <w:pPr>
        <w:jc w:val="center"/>
        <w:rPr>
          <w:rFonts w:ascii="Verdana" w:hAnsi="Verdana"/>
          <w:sz w:val="22"/>
          <w:szCs w:val="22"/>
        </w:rPr>
      </w:pPr>
      <w:r>
        <w:rPr>
          <w:rFonts w:ascii="Verdana" w:hAnsi="Verdana"/>
          <w:b/>
          <w:bCs/>
          <w:sz w:val="22"/>
          <w:szCs w:val="22"/>
        </w:rPr>
        <w:t>ASTRID ELIANA CÁCERES CÁRDENAS</w:t>
      </w:r>
    </w:p>
    <w:p w14:paraId="1ECFFF6B" w14:textId="70FE0601" w:rsidR="00A724C4" w:rsidRPr="008B031C" w:rsidRDefault="00DE103B" w:rsidP="00251F6B">
      <w:pPr>
        <w:jc w:val="center"/>
        <w:rPr>
          <w:rFonts w:ascii="Verdana" w:hAnsi="Verdana"/>
          <w:sz w:val="22"/>
          <w:szCs w:val="22"/>
        </w:rPr>
      </w:pPr>
      <w:r w:rsidRPr="008B031C">
        <w:rPr>
          <w:rFonts w:ascii="Verdana" w:hAnsi="Verdana"/>
          <w:sz w:val="22"/>
          <w:szCs w:val="22"/>
        </w:rPr>
        <w:t>LA DIRECTORA GENERAL</w:t>
      </w:r>
    </w:p>
    <w:sectPr w:rsidR="00A724C4" w:rsidRPr="008B03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4663" w14:textId="77777777" w:rsidR="00D67334" w:rsidRDefault="00D67334" w:rsidP="00251F6B">
      <w:pPr>
        <w:spacing w:after="0"/>
      </w:pPr>
      <w:r>
        <w:separator/>
      </w:r>
    </w:p>
  </w:endnote>
  <w:endnote w:type="continuationSeparator" w:id="0">
    <w:p w14:paraId="53F8842B" w14:textId="77777777" w:rsidR="00D67334" w:rsidRDefault="00D67334"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3C4E" w14:textId="77777777" w:rsidR="00D67334" w:rsidRDefault="00D67334" w:rsidP="00251F6B">
      <w:pPr>
        <w:spacing w:after="0"/>
      </w:pPr>
      <w:r>
        <w:separator/>
      </w:r>
    </w:p>
  </w:footnote>
  <w:footnote w:type="continuationSeparator" w:id="0">
    <w:p w14:paraId="6D3955C7" w14:textId="77777777" w:rsidR="00D67334" w:rsidRDefault="00D67334"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0792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8062A"/>
    <w:rsid w:val="00166563"/>
    <w:rsid w:val="0022439E"/>
    <w:rsid w:val="00231795"/>
    <w:rsid w:val="00243CB4"/>
    <w:rsid w:val="00251F6B"/>
    <w:rsid w:val="002806F2"/>
    <w:rsid w:val="0029437E"/>
    <w:rsid w:val="00383B5B"/>
    <w:rsid w:val="00387331"/>
    <w:rsid w:val="0043285A"/>
    <w:rsid w:val="004B3BC2"/>
    <w:rsid w:val="005041B1"/>
    <w:rsid w:val="00570D25"/>
    <w:rsid w:val="006514F6"/>
    <w:rsid w:val="00657673"/>
    <w:rsid w:val="00692A8A"/>
    <w:rsid w:val="006939EE"/>
    <w:rsid w:val="006C543E"/>
    <w:rsid w:val="006D1939"/>
    <w:rsid w:val="006D5ECF"/>
    <w:rsid w:val="0072219C"/>
    <w:rsid w:val="007504D1"/>
    <w:rsid w:val="007F1A82"/>
    <w:rsid w:val="008020FD"/>
    <w:rsid w:val="00863A26"/>
    <w:rsid w:val="008B031C"/>
    <w:rsid w:val="00910704"/>
    <w:rsid w:val="00933C0C"/>
    <w:rsid w:val="009410E2"/>
    <w:rsid w:val="00980C0C"/>
    <w:rsid w:val="009F37CB"/>
    <w:rsid w:val="00A32E31"/>
    <w:rsid w:val="00A724C4"/>
    <w:rsid w:val="00AC6DBF"/>
    <w:rsid w:val="00AE0A61"/>
    <w:rsid w:val="00BC26A9"/>
    <w:rsid w:val="00C07F46"/>
    <w:rsid w:val="00C471FE"/>
    <w:rsid w:val="00C63F33"/>
    <w:rsid w:val="00CC6B0F"/>
    <w:rsid w:val="00D5214B"/>
    <w:rsid w:val="00D67334"/>
    <w:rsid w:val="00DB3505"/>
    <w:rsid w:val="00DE103B"/>
    <w:rsid w:val="00E5493B"/>
    <w:rsid w:val="00E550EB"/>
    <w:rsid w:val="00EB0ADB"/>
    <w:rsid w:val="00EE6225"/>
    <w:rsid w:val="00F83E5C"/>
    <w:rsid w:val="00FA37BE"/>
    <w:rsid w:val="00FB43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3C6FF166-D81D-4842-8FF2-B9D4FF666985}"/>
</file>

<file path=customXml/itemProps3.xml><?xml version="1.0" encoding="utf-8"?>
<ds:datastoreItem xmlns:ds="http://schemas.openxmlformats.org/officeDocument/2006/customXml" ds:itemID="{E0B5429A-2A04-40E0-80D7-493F75063A25}"/>
</file>

<file path=customXml/itemProps4.xml><?xml version="1.0" encoding="utf-8"?>
<ds:datastoreItem xmlns:ds="http://schemas.openxmlformats.org/officeDocument/2006/customXml" ds:itemID="{64564FF6-A8E1-4F8C-A4CD-3E4CA5D562D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121</TotalTime>
  <Pages>3</Pages>
  <Words>956</Words>
  <Characters>5262</Characters>
  <Application>Microsoft Office Word</Application>
  <DocSecurity>0</DocSecurity>
  <Lines>43</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42</cp:revision>
  <dcterms:created xsi:type="dcterms:W3CDTF">2026-03-03T16:25:00Z</dcterms:created>
  <dcterms:modified xsi:type="dcterms:W3CDTF">2026-03-16T23:45:00Z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