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70979" w14:textId="77777777" w:rsidR="00DA14EB" w:rsidRPr="00DA14EB" w:rsidRDefault="00DA14EB" w:rsidP="00DA14EB">
      <w:pPr>
        <w:jc w:val="center"/>
        <w:rPr>
          <w:rFonts w:ascii="Verdana" w:hAnsi="Verdana"/>
        </w:rPr>
      </w:pPr>
      <w:r w:rsidRPr="00DA14EB">
        <w:rPr>
          <w:rFonts w:ascii="Verdana" w:hAnsi="Verdana"/>
          <w:b/>
          <w:bCs/>
        </w:rPr>
        <w:t>RESOLUCIÓN 7801 DE 2012</w:t>
      </w:r>
    </w:p>
    <w:p w14:paraId="1787989F" w14:textId="3B3ED4F7" w:rsidR="00DA14EB" w:rsidRPr="00A85783" w:rsidRDefault="00DA14EB" w:rsidP="00DA14EB">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DA14EB">
        <w:rPr>
          <w:rFonts w:ascii="Verdana" w:hAnsi="Verdana"/>
          <w:sz w:val="20"/>
          <w:szCs w:val="20"/>
        </w:rPr>
        <w:t xml:space="preserve">25 de octubre </w:t>
      </w:r>
      <w:r w:rsidRPr="00A85783">
        <w:rPr>
          <w:rFonts w:ascii="Verdana" w:hAnsi="Verdana"/>
          <w:sz w:val="20"/>
          <w:szCs w:val="20"/>
        </w:rPr>
        <w:t xml:space="preserve">de </w:t>
      </w:r>
      <w:r>
        <w:rPr>
          <w:rFonts w:ascii="Verdana" w:hAnsi="Verdana"/>
          <w:sz w:val="20"/>
          <w:szCs w:val="20"/>
        </w:rPr>
        <w:t>2012</w:t>
      </w:r>
    </w:p>
    <w:p w14:paraId="6EE864A7" w14:textId="77777777" w:rsidR="00D20A52" w:rsidRDefault="00DA14EB" w:rsidP="00DA14EB">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00D20A52">
        <w:rPr>
          <w:rFonts w:ascii="Verdana" w:hAnsi="Verdana"/>
          <w:sz w:val="20"/>
          <w:szCs w:val="20"/>
        </w:rPr>
        <w:t>11 de noviembre de 2012</w:t>
      </w:r>
    </w:p>
    <w:p w14:paraId="64072B4F" w14:textId="5A4A493C" w:rsidR="00DA14EB" w:rsidRPr="00A85783" w:rsidRDefault="00DA14EB" w:rsidP="00DA14EB">
      <w:pPr>
        <w:pStyle w:val="Sinespaciado"/>
        <w:rPr>
          <w:rFonts w:ascii="Verdana" w:hAnsi="Verdana"/>
          <w:sz w:val="20"/>
          <w:szCs w:val="20"/>
        </w:rPr>
      </w:pPr>
      <w:r w:rsidRPr="00A85783">
        <w:rPr>
          <w:rFonts w:ascii="Verdana" w:hAnsi="Verdana"/>
          <w:sz w:val="20"/>
          <w:szCs w:val="20"/>
        </w:rPr>
        <w:t xml:space="preserve">Estado de la vigencia: Vigente </w:t>
      </w:r>
    </w:p>
    <w:p w14:paraId="02155649" w14:textId="77777777" w:rsidR="00DA14EB" w:rsidRDefault="00DA14EB" w:rsidP="00DA14EB">
      <w:pPr>
        <w:pStyle w:val="Sinespaciado"/>
        <w:rPr>
          <w:rFonts w:ascii="Verdana" w:hAnsi="Verdana"/>
          <w:sz w:val="20"/>
          <w:szCs w:val="20"/>
        </w:rPr>
      </w:pPr>
    </w:p>
    <w:p w14:paraId="079BE72B" w14:textId="29D1DABE" w:rsidR="00DA14EB" w:rsidRPr="00A85783" w:rsidRDefault="00DA14EB" w:rsidP="00DA14EB">
      <w:pPr>
        <w:pStyle w:val="Sinespaciado"/>
        <w:rPr>
          <w:rFonts w:ascii="Verdana" w:hAnsi="Verdana"/>
          <w:sz w:val="20"/>
          <w:szCs w:val="20"/>
        </w:rPr>
      </w:pPr>
      <w:r w:rsidRPr="00A85783">
        <w:rPr>
          <w:rFonts w:ascii="Verdana" w:hAnsi="Verdana"/>
          <w:sz w:val="20"/>
          <w:szCs w:val="20"/>
        </w:rPr>
        <w:t xml:space="preserve">Fecha de publicación en Diario Oficial: </w:t>
      </w:r>
      <w:r>
        <w:rPr>
          <w:rFonts w:ascii="Verdana" w:hAnsi="Verdana"/>
          <w:sz w:val="20"/>
          <w:szCs w:val="20"/>
        </w:rPr>
        <w:t>11 de noviembre de 2012</w:t>
      </w:r>
    </w:p>
    <w:p w14:paraId="03001C64" w14:textId="7A0E76B6" w:rsidR="00DA14EB" w:rsidRDefault="00DA14EB" w:rsidP="00DA14EB">
      <w:pPr>
        <w:pStyle w:val="Sinespaciado"/>
        <w:rPr>
          <w:rFonts w:ascii="Verdana" w:hAnsi="Verdana"/>
          <w:sz w:val="20"/>
          <w:szCs w:val="20"/>
        </w:rPr>
      </w:pPr>
      <w:r w:rsidRPr="00A85783">
        <w:rPr>
          <w:rFonts w:ascii="Verdana" w:hAnsi="Verdana"/>
          <w:sz w:val="20"/>
          <w:szCs w:val="20"/>
        </w:rPr>
        <w:t xml:space="preserve">Número del Diario Oficial: </w:t>
      </w:r>
      <w:r w:rsidRPr="00DA14EB">
        <w:rPr>
          <w:rFonts w:ascii="Verdana" w:hAnsi="Verdana"/>
          <w:sz w:val="20"/>
          <w:szCs w:val="20"/>
        </w:rPr>
        <w:t>48.611</w:t>
      </w:r>
    </w:p>
    <w:p w14:paraId="58F7DBCE" w14:textId="77777777" w:rsidR="00D20A52" w:rsidRDefault="00D20A52" w:rsidP="00DA14EB">
      <w:pPr>
        <w:pStyle w:val="Sinespaciado"/>
        <w:rPr>
          <w:rFonts w:ascii="Verdana" w:hAnsi="Verdana"/>
          <w:sz w:val="20"/>
          <w:szCs w:val="20"/>
        </w:rPr>
      </w:pPr>
    </w:p>
    <w:bookmarkEnd w:id="0"/>
    <w:p w14:paraId="5D41E3E1" w14:textId="77777777" w:rsidR="00DA14EB" w:rsidRPr="00DA14EB" w:rsidRDefault="00DA14EB" w:rsidP="00DA14EB">
      <w:pPr>
        <w:jc w:val="center"/>
        <w:rPr>
          <w:rFonts w:ascii="Verdana" w:hAnsi="Verdana"/>
        </w:rPr>
      </w:pPr>
      <w:r w:rsidRPr="00DA14EB">
        <w:rPr>
          <w:rFonts w:ascii="Verdana" w:hAnsi="Verdana"/>
          <w:b/>
          <w:bCs/>
        </w:rPr>
        <w:t>RESOLUCIÓN 7801 DE 2012</w:t>
      </w:r>
    </w:p>
    <w:p w14:paraId="43D003EF" w14:textId="7A061429" w:rsidR="00DA14EB" w:rsidRPr="00DA14EB" w:rsidRDefault="00DA14EB" w:rsidP="00DA14EB">
      <w:pPr>
        <w:jc w:val="center"/>
        <w:rPr>
          <w:rFonts w:ascii="Verdana" w:hAnsi="Verdana"/>
        </w:rPr>
      </w:pPr>
      <w:r w:rsidRPr="00DA14EB">
        <w:rPr>
          <w:rFonts w:ascii="Verdana" w:hAnsi="Verdana"/>
        </w:rPr>
        <w:t>(</w:t>
      </w:r>
      <w:r>
        <w:rPr>
          <w:rFonts w:ascii="Verdana" w:hAnsi="Verdana"/>
        </w:rPr>
        <w:t xml:space="preserve">25 de </w:t>
      </w:r>
      <w:r w:rsidRPr="00DA14EB">
        <w:rPr>
          <w:rFonts w:ascii="Verdana" w:hAnsi="Verdana"/>
        </w:rPr>
        <w:t>octubre)</w:t>
      </w:r>
    </w:p>
    <w:p w14:paraId="12C10E2A" w14:textId="77777777" w:rsidR="00DA14EB" w:rsidRPr="00DA14EB" w:rsidRDefault="00DA14EB" w:rsidP="00DA14EB">
      <w:pPr>
        <w:jc w:val="center"/>
        <w:rPr>
          <w:rFonts w:ascii="Verdana" w:hAnsi="Verdana"/>
        </w:rPr>
      </w:pPr>
      <w:r w:rsidRPr="00DA14EB">
        <w:rPr>
          <w:rFonts w:ascii="Verdana" w:hAnsi="Verdana"/>
          <w:b/>
          <w:bCs/>
        </w:rPr>
        <w:t>INSTITUTO COLOMBIANO DE BIENESTAR FAMILIAR</w:t>
      </w:r>
    </w:p>
    <w:p w14:paraId="13492A17" w14:textId="77777777" w:rsidR="00DA14EB" w:rsidRPr="00DA14EB" w:rsidRDefault="00DA14EB" w:rsidP="00DA14EB">
      <w:pPr>
        <w:jc w:val="center"/>
        <w:rPr>
          <w:rFonts w:ascii="Verdana" w:hAnsi="Verdana"/>
        </w:rPr>
      </w:pPr>
      <w:r w:rsidRPr="00DA14EB">
        <w:rPr>
          <w:rFonts w:ascii="Verdana" w:hAnsi="Verdana"/>
          <w:b/>
          <w:bCs/>
        </w:rPr>
        <w:t>DIRECCIÓN GENERAL</w:t>
      </w:r>
    </w:p>
    <w:p w14:paraId="78E07D1C" w14:textId="77777777" w:rsidR="00DA14EB" w:rsidRPr="00DA14EB" w:rsidRDefault="00DA14EB" w:rsidP="00DA14EB">
      <w:pPr>
        <w:jc w:val="center"/>
        <w:rPr>
          <w:rFonts w:ascii="Verdana" w:hAnsi="Verdana"/>
        </w:rPr>
      </w:pPr>
      <w:r w:rsidRPr="00DA14EB">
        <w:rPr>
          <w:rFonts w:ascii="Verdana" w:hAnsi="Verdana"/>
        </w:rPr>
        <w:t>Por la cual se suprime el Comité de Costos del Instituto Colombiano de Bienestar Familiar Cecilia de la Fuente de Lleras y se deroga una Resolución.</w:t>
      </w:r>
    </w:p>
    <w:p w14:paraId="572C8352" w14:textId="77777777" w:rsidR="00DA14EB" w:rsidRPr="00DA14EB" w:rsidRDefault="00DA14EB" w:rsidP="00DA14EB">
      <w:pPr>
        <w:jc w:val="center"/>
        <w:rPr>
          <w:rFonts w:ascii="Verdana" w:hAnsi="Verdana"/>
        </w:rPr>
      </w:pPr>
      <w:r w:rsidRPr="00DA14EB">
        <w:rPr>
          <w:rFonts w:ascii="Verdana" w:hAnsi="Verdana"/>
          <w:b/>
          <w:bCs/>
        </w:rPr>
        <w:t>EL DIRECTOR GENERAL DEL INSTITUTO COLOMBIANO DE BIENESTAR FAMILIAR CECILIA DE LA FUENTE DE LLERAS,</w:t>
      </w:r>
    </w:p>
    <w:p w14:paraId="61B6CD35" w14:textId="71F51D56" w:rsidR="00DA14EB" w:rsidRPr="00DA14EB" w:rsidRDefault="00DA14EB" w:rsidP="00DA14EB">
      <w:pPr>
        <w:jc w:val="center"/>
        <w:rPr>
          <w:rFonts w:ascii="Verdana" w:hAnsi="Verdana"/>
        </w:rPr>
      </w:pPr>
      <w:r w:rsidRPr="00DA14EB">
        <w:rPr>
          <w:rFonts w:ascii="Verdana" w:hAnsi="Verdana"/>
        </w:rPr>
        <w:t>en uso de sus facultades constitucionales y legales, en especial las consagradas en el artículo 78 de la Ley 489 de 1998 y el Decreto 987 de 2012, y</w:t>
      </w:r>
    </w:p>
    <w:p w14:paraId="3CEB6416" w14:textId="77777777" w:rsidR="00DA14EB" w:rsidRPr="00DA14EB" w:rsidRDefault="00DA14EB" w:rsidP="00DA14EB">
      <w:pPr>
        <w:jc w:val="center"/>
        <w:rPr>
          <w:rFonts w:ascii="Verdana" w:hAnsi="Verdana"/>
        </w:rPr>
      </w:pPr>
      <w:r w:rsidRPr="00DA14EB">
        <w:rPr>
          <w:rFonts w:ascii="Verdana" w:hAnsi="Verdana"/>
          <w:b/>
          <w:bCs/>
        </w:rPr>
        <w:t>CONSIDERANDO:</w:t>
      </w:r>
    </w:p>
    <w:p w14:paraId="2D6B872B" w14:textId="603C962A" w:rsidR="00DA14EB" w:rsidRPr="00DA14EB" w:rsidRDefault="00DA14EB" w:rsidP="00DA14EB">
      <w:pPr>
        <w:jc w:val="both"/>
        <w:rPr>
          <w:rFonts w:ascii="Verdana" w:hAnsi="Verdana"/>
        </w:rPr>
      </w:pPr>
      <w:r w:rsidRPr="00DA14EB">
        <w:rPr>
          <w:rFonts w:ascii="Verdana" w:hAnsi="Verdana"/>
        </w:rPr>
        <w:t>Que el artículo 209 de la Constitución Política establece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112D5B09" w14:textId="606A32A1" w:rsidR="00DA14EB" w:rsidRPr="00DA14EB" w:rsidRDefault="00DA14EB" w:rsidP="00DA14EB">
      <w:pPr>
        <w:jc w:val="both"/>
        <w:rPr>
          <w:rFonts w:ascii="Verdana" w:hAnsi="Verdana"/>
        </w:rPr>
      </w:pPr>
      <w:r w:rsidRPr="00DA14EB">
        <w:rPr>
          <w:rFonts w:ascii="Verdana" w:hAnsi="Verdana"/>
        </w:rPr>
        <w:t>Que mediante Resolución número 3622 de agosto 23 de 2011, se creó el Comité de Costos del Instituto Colombiano de Bienestar Familiar Cecilia de la Fuente de Lleras, con el fin de definir y aprobar las estrategias, las políticas, modelos de costeo, costos estándar y los precios de referencia base.</w:t>
      </w:r>
    </w:p>
    <w:p w14:paraId="140A16A7" w14:textId="18BE609A" w:rsidR="00DA14EB" w:rsidRPr="00DA14EB" w:rsidRDefault="00DA14EB" w:rsidP="00DA14EB">
      <w:pPr>
        <w:jc w:val="both"/>
        <w:rPr>
          <w:rFonts w:ascii="Verdana" w:hAnsi="Verdana"/>
        </w:rPr>
      </w:pPr>
      <w:r w:rsidRPr="00DA14EB">
        <w:rPr>
          <w:rFonts w:ascii="Verdana" w:hAnsi="Verdana"/>
        </w:rPr>
        <w:t>Que mediante el Decreto número 4155 del 3 de noviembre de 2011 y de conformidad con lo establecido en el inciso 2o del artículo 170 de la Ley 1448 de 2011 se transformó el establecimiento público Agencia Presidencial para la Acción Social y la Cooperación Internacional (Acción Social), en el Departamento Administrativo para la Prosperidad Social como organismo principal de la administración pública del Sector Administrativo de Inclusión Social y Reconciliación.</w:t>
      </w:r>
    </w:p>
    <w:p w14:paraId="6213C8DA" w14:textId="166C8F9E" w:rsidR="00DA14EB" w:rsidRPr="00DA14EB" w:rsidRDefault="00DA14EB" w:rsidP="00DA14EB">
      <w:pPr>
        <w:jc w:val="both"/>
        <w:rPr>
          <w:rFonts w:ascii="Verdana" w:hAnsi="Verdana"/>
        </w:rPr>
      </w:pPr>
      <w:r w:rsidRPr="00DA14EB">
        <w:rPr>
          <w:rFonts w:ascii="Verdana" w:hAnsi="Verdana"/>
        </w:rPr>
        <w:t xml:space="preserve">Que mediante el Decreto número 4156 del 3 de noviembre de 2011 se determinó la adscripción del ICBF al Departamento Administrativo para la Prosperidad </w:t>
      </w:r>
      <w:r w:rsidRPr="00DA14EB">
        <w:rPr>
          <w:rFonts w:ascii="Verdana" w:hAnsi="Verdana"/>
        </w:rPr>
        <w:lastRenderedPageBreak/>
        <w:t>Social –DPS–formando parte del Sector Administrativo de la Inclusión Social y Reconciliación.</w:t>
      </w:r>
    </w:p>
    <w:p w14:paraId="2C0D3846" w14:textId="332D7EB1" w:rsidR="00DA14EB" w:rsidRPr="00DA14EB" w:rsidRDefault="00DA14EB" w:rsidP="00DA14EB">
      <w:pPr>
        <w:jc w:val="both"/>
        <w:rPr>
          <w:rFonts w:ascii="Verdana" w:hAnsi="Verdana"/>
        </w:rPr>
      </w:pPr>
      <w:r w:rsidRPr="00DA14EB">
        <w:rPr>
          <w:rFonts w:ascii="Verdana" w:hAnsi="Verdana"/>
        </w:rPr>
        <w:t xml:space="preserve">Que mediante el Decreto número 987 del 14 de mayo de 2012 por el </w:t>
      </w:r>
      <w:proofErr w:type="spellStart"/>
      <w:r w:rsidRPr="00DA14EB">
        <w:rPr>
          <w:rFonts w:ascii="Verdana" w:hAnsi="Verdana"/>
        </w:rPr>
        <w:t>cua</w:t>
      </w:r>
      <w:proofErr w:type="spellEnd"/>
      <w:r w:rsidRPr="00DA14EB">
        <w:rPr>
          <w:rFonts w:ascii="Verdana" w:hAnsi="Verdana"/>
        </w:rPr>
        <w:t xml:space="preserve"> se establece la nueva estructura del ICBF y se determinan las funciones de sus dependencias, se definieron por medio del artículo 16 las funciones de la Dirección de Logística y Abastecimiento, en el cual se señaló como función 6: “Adelantar las investigaciones de mercado del ICBF, requeridas para la selección de los proveedores y como función 7: “Desarrollar en coordinación con las dependencias interesadas, los modelos de costos y tarifas para cada uno de los programas y servicios del Instituto, y de los demás requeridos para el cumplimiento de las funciones de la Entidad”.</w:t>
      </w:r>
    </w:p>
    <w:p w14:paraId="1234B08C" w14:textId="77777777" w:rsidR="00DA14EB" w:rsidRPr="00DA14EB" w:rsidRDefault="00DA14EB" w:rsidP="00DA14EB">
      <w:pPr>
        <w:jc w:val="both"/>
        <w:rPr>
          <w:rFonts w:ascii="Verdana" w:hAnsi="Verdana"/>
        </w:rPr>
      </w:pPr>
      <w:r w:rsidRPr="00DA14EB">
        <w:rPr>
          <w:rFonts w:ascii="Verdana" w:hAnsi="Verdana"/>
        </w:rPr>
        <w:t>Que para desarrollar el Proyecto Estratégico del Sistema de Gestión Integral del Conocimiento y la Innovación, definido en el Mapa Estratégico de la Entidad el Instituto Colombiano de Bienestar Familiar Cecilia de la Fuente de Lleras, ICBF–, ha definido la Estrategia Permanente de Innovación y Cambio Organizacional – EPICO, la cual tiene un componente de innovación y racionalización de procedimientos, con el fin de convertir a ICBF en una entidad moderna y eficiente apreciada por los Colombianos.</w:t>
      </w:r>
    </w:p>
    <w:p w14:paraId="0A65998B" w14:textId="74E136BC" w:rsidR="00DA14EB" w:rsidRPr="00DA14EB" w:rsidRDefault="00DA14EB" w:rsidP="00DA14EB">
      <w:pPr>
        <w:jc w:val="both"/>
        <w:rPr>
          <w:rFonts w:ascii="Verdana" w:hAnsi="Verdana"/>
        </w:rPr>
      </w:pPr>
      <w:r w:rsidRPr="00DA14EB">
        <w:rPr>
          <w:rFonts w:ascii="Verdana" w:hAnsi="Verdana"/>
        </w:rPr>
        <w:t>Que mediante Resolución número 3042 del 29 de junio de 2012, por medio de la cual se aprueba el Manual del Sistema integrado de gestión y los Macroprocesos y Procesos del ICBF, se definió el proceso de Gestión Logística y Abastecimiento, a partir del cual se generó y aprobó el instructivo IT1.MPA1.P4, Realización de Estudio de mercado, en el cual se establecen las responsabilidades de elaboración y aprobación de los modelos de costos del ICBF, por lo que las funciones del Comité de Costos, se encuentran actualmente asignadas a la Dirección de Logística y Abastecimiento.</w:t>
      </w:r>
    </w:p>
    <w:p w14:paraId="76C02330" w14:textId="77777777" w:rsidR="00DA14EB" w:rsidRPr="00DA14EB" w:rsidRDefault="00DA14EB" w:rsidP="00DA14EB">
      <w:pPr>
        <w:jc w:val="both"/>
        <w:rPr>
          <w:rFonts w:ascii="Verdana" w:hAnsi="Verdana"/>
        </w:rPr>
      </w:pPr>
      <w:proofErr w:type="gramStart"/>
      <w:r w:rsidRPr="00DA14EB">
        <w:rPr>
          <w:rFonts w:ascii="Verdana" w:hAnsi="Verdana"/>
        </w:rPr>
        <w:t>Que</w:t>
      </w:r>
      <w:proofErr w:type="gramEnd"/>
      <w:r w:rsidRPr="00DA14EB">
        <w:rPr>
          <w:rFonts w:ascii="Verdana" w:hAnsi="Verdana"/>
        </w:rPr>
        <w:t xml:space="preserve"> en mérito de lo anterior,</w:t>
      </w:r>
    </w:p>
    <w:p w14:paraId="4412E365" w14:textId="77777777" w:rsidR="00DA14EB" w:rsidRPr="00DA14EB" w:rsidRDefault="00DA14EB" w:rsidP="00DA14EB">
      <w:pPr>
        <w:jc w:val="center"/>
        <w:rPr>
          <w:rFonts w:ascii="Verdana" w:hAnsi="Verdana"/>
        </w:rPr>
      </w:pPr>
      <w:r w:rsidRPr="00DA14EB">
        <w:rPr>
          <w:rFonts w:ascii="Verdana" w:hAnsi="Verdana"/>
          <w:b/>
          <w:bCs/>
        </w:rPr>
        <w:t>RESUELVE:</w:t>
      </w:r>
    </w:p>
    <w:p w14:paraId="23AA7661" w14:textId="77777777" w:rsidR="00DA14EB" w:rsidRPr="00DA14EB" w:rsidRDefault="00DA14EB" w:rsidP="00DA14EB">
      <w:pPr>
        <w:jc w:val="both"/>
        <w:rPr>
          <w:rFonts w:ascii="Verdana" w:hAnsi="Verdana"/>
        </w:rPr>
      </w:pPr>
      <w:bookmarkStart w:id="1" w:name="1"/>
      <w:r w:rsidRPr="00DA14EB">
        <w:rPr>
          <w:rFonts w:ascii="Verdana" w:hAnsi="Verdana"/>
          <w:b/>
          <w:bCs/>
        </w:rPr>
        <w:t>ARTÍCULO 1o.</w:t>
      </w:r>
      <w:bookmarkEnd w:id="1"/>
      <w:r w:rsidRPr="00DA14EB">
        <w:rPr>
          <w:rFonts w:ascii="Verdana" w:hAnsi="Verdana"/>
        </w:rPr>
        <w:t> Suprimir el Comité de Costos del Instituto Colombiano de Bienestar Familiar Cecilia de la Fuente de Lleras, de acuerdo con lo señalado en la parte motiva de la presente resolución.</w:t>
      </w:r>
    </w:p>
    <w:p w14:paraId="5D8C352A" w14:textId="4CCD12B1" w:rsidR="00DA14EB" w:rsidRPr="00DA14EB" w:rsidRDefault="00DA14EB" w:rsidP="00DA14EB">
      <w:pPr>
        <w:jc w:val="both"/>
        <w:rPr>
          <w:rFonts w:ascii="Verdana" w:hAnsi="Verdana"/>
        </w:rPr>
      </w:pPr>
      <w:bookmarkStart w:id="2" w:name="2"/>
      <w:r w:rsidRPr="00DA14EB">
        <w:rPr>
          <w:rFonts w:ascii="Verdana" w:hAnsi="Verdana"/>
          <w:b/>
          <w:bCs/>
        </w:rPr>
        <w:t>ARTÍCULO 2o.</w:t>
      </w:r>
      <w:bookmarkEnd w:id="2"/>
      <w:r w:rsidRPr="00DA14EB">
        <w:rPr>
          <w:rFonts w:ascii="Verdana" w:hAnsi="Verdana"/>
        </w:rPr>
        <w:t> La presente Resolución rige a partir de la fecha de su publicación y deroga la Resolución número 3622 de agosto de 2011 y las demás disposiciones que le sean contrarias.</w:t>
      </w:r>
    </w:p>
    <w:p w14:paraId="66E06280" w14:textId="77777777" w:rsidR="00DA14EB" w:rsidRPr="00DA14EB" w:rsidRDefault="00DA14EB" w:rsidP="00DA14EB">
      <w:pPr>
        <w:jc w:val="center"/>
        <w:rPr>
          <w:rFonts w:ascii="Verdana" w:hAnsi="Verdana"/>
        </w:rPr>
      </w:pPr>
      <w:r w:rsidRPr="00DA14EB">
        <w:rPr>
          <w:rFonts w:ascii="Verdana" w:hAnsi="Verdana"/>
        </w:rPr>
        <w:t>Publíquese, comuníquese y cúmplase.</w:t>
      </w:r>
    </w:p>
    <w:p w14:paraId="492FA4F6" w14:textId="567C9CD4" w:rsidR="00DA14EB" w:rsidRPr="00DA14EB" w:rsidRDefault="00DA14EB" w:rsidP="00DA14EB">
      <w:pPr>
        <w:jc w:val="center"/>
        <w:rPr>
          <w:rFonts w:ascii="Verdana" w:hAnsi="Verdana"/>
        </w:rPr>
      </w:pPr>
      <w:r w:rsidRPr="00DA14EB">
        <w:rPr>
          <w:rFonts w:ascii="Verdana" w:hAnsi="Verdana"/>
        </w:rPr>
        <w:t xml:space="preserve">Dada en Bogotá, D. C., </w:t>
      </w:r>
      <w:proofErr w:type="gramStart"/>
      <w:r w:rsidRPr="00DA14EB">
        <w:rPr>
          <w:rFonts w:ascii="Verdana" w:hAnsi="Verdana"/>
        </w:rPr>
        <w:t xml:space="preserve">a </w:t>
      </w:r>
      <w:r>
        <w:rPr>
          <w:rFonts w:ascii="Verdana" w:hAnsi="Verdana"/>
        </w:rPr>
        <w:t xml:space="preserve">los </w:t>
      </w:r>
      <w:r w:rsidRPr="00DA14EB">
        <w:rPr>
          <w:rFonts w:ascii="Verdana" w:hAnsi="Verdana"/>
        </w:rPr>
        <w:t>25 de octubre de 2012</w:t>
      </w:r>
      <w:proofErr w:type="gramEnd"/>
      <w:r w:rsidRPr="00DA14EB">
        <w:rPr>
          <w:rFonts w:ascii="Verdana" w:hAnsi="Verdana"/>
        </w:rPr>
        <w:t>.</w:t>
      </w:r>
    </w:p>
    <w:p w14:paraId="43D850C0" w14:textId="77777777" w:rsidR="00DA14EB" w:rsidRPr="00DA14EB" w:rsidRDefault="00DA14EB" w:rsidP="00DA14EB">
      <w:pPr>
        <w:jc w:val="center"/>
        <w:rPr>
          <w:rFonts w:ascii="Verdana" w:hAnsi="Verdana"/>
        </w:rPr>
      </w:pPr>
      <w:r w:rsidRPr="00DA14EB">
        <w:rPr>
          <w:rFonts w:ascii="Verdana" w:hAnsi="Verdana"/>
        </w:rPr>
        <w:t xml:space="preserve">El </w:t>
      </w:r>
      <w:proofErr w:type="gramStart"/>
      <w:r w:rsidRPr="00DA14EB">
        <w:rPr>
          <w:rFonts w:ascii="Verdana" w:hAnsi="Verdana"/>
        </w:rPr>
        <w:t>Director General</w:t>
      </w:r>
      <w:proofErr w:type="gramEnd"/>
      <w:r w:rsidRPr="00DA14EB">
        <w:rPr>
          <w:rFonts w:ascii="Verdana" w:hAnsi="Verdana"/>
        </w:rPr>
        <w:t>,</w:t>
      </w:r>
    </w:p>
    <w:p w14:paraId="5C9EB85B" w14:textId="77777777" w:rsidR="00DA14EB" w:rsidRPr="00DA14EB" w:rsidRDefault="00DA14EB" w:rsidP="00DA14EB">
      <w:pPr>
        <w:jc w:val="center"/>
        <w:rPr>
          <w:rFonts w:ascii="Verdana" w:hAnsi="Verdana"/>
        </w:rPr>
      </w:pPr>
      <w:r w:rsidRPr="00DA14EB">
        <w:rPr>
          <w:rFonts w:ascii="Verdana" w:hAnsi="Verdana"/>
          <w:b/>
          <w:bCs/>
        </w:rPr>
        <w:t>DIEGO ANDRÉS MOLANO APONTE.</w:t>
      </w:r>
    </w:p>
    <w:p w14:paraId="1F6BDDDA" w14:textId="77777777" w:rsidR="00577B7B" w:rsidRPr="00DA14EB" w:rsidRDefault="00577B7B" w:rsidP="00DA14EB">
      <w:pPr>
        <w:jc w:val="center"/>
        <w:rPr>
          <w:rFonts w:ascii="Verdana" w:hAnsi="Verdana"/>
        </w:rPr>
      </w:pPr>
    </w:p>
    <w:sectPr w:rsidR="00577B7B" w:rsidRPr="00DA14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7B"/>
    <w:rsid w:val="002A6C7B"/>
    <w:rsid w:val="0056112F"/>
    <w:rsid w:val="00577B7B"/>
    <w:rsid w:val="00D20A52"/>
    <w:rsid w:val="00DA14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4EA7A"/>
  <w15:chartTrackingRefBased/>
  <w15:docId w15:val="{1EDFA198-4895-45C2-9D02-F3CEC6B35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A14EB"/>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DA14EB"/>
    <w:rPr>
      <w:color w:val="0563C1" w:themeColor="hyperlink"/>
      <w:u w:val="single"/>
    </w:rPr>
  </w:style>
  <w:style w:type="character" w:styleId="Mencinsinresolver">
    <w:name w:val="Unresolved Mention"/>
    <w:basedOn w:val="Fuentedeprrafopredeter"/>
    <w:uiPriority w:val="99"/>
    <w:semiHidden/>
    <w:unhideWhenUsed/>
    <w:rsid w:val="00DA1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2095">
      <w:bodyDiv w:val="1"/>
      <w:marLeft w:val="0"/>
      <w:marRight w:val="0"/>
      <w:marTop w:val="0"/>
      <w:marBottom w:val="0"/>
      <w:divBdr>
        <w:top w:val="none" w:sz="0" w:space="0" w:color="auto"/>
        <w:left w:val="none" w:sz="0" w:space="0" w:color="auto"/>
        <w:bottom w:val="none" w:sz="0" w:space="0" w:color="auto"/>
        <w:right w:val="none" w:sz="0" w:space="0" w:color="auto"/>
      </w:divBdr>
    </w:div>
    <w:div w:id="253171970">
      <w:bodyDiv w:val="1"/>
      <w:marLeft w:val="0"/>
      <w:marRight w:val="0"/>
      <w:marTop w:val="0"/>
      <w:marBottom w:val="0"/>
      <w:divBdr>
        <w:top w:val="none" w:sz="0" w:space="0" w:color="auto"/>
        <w:left w:val="none" w:sz="0" w:space="0" w:color="auto"/>
        <w:bottom w:val="none" w:sz="0" w:space="0" w:color="auto"/>
        <w:right w:val="none" w:sz="0" w:space="0" w:color="auto"/>
      </w:divBdr>
    </w:div>
    <w:div w:id="281620096">
      <w:bodyDiv w:val="1"/>
      <w:marLeft w:val="0"/>
      <w:marRight w:val="0"/>
      <w:marTop w:val="0"/>
      <w:marBottom w:val="0"/>
      <w:divBdr>
        <w:top w:val="none" w:sz="0" w:space="0" w:color="auto"/>
        <w:left w:val="none" w:sz="0" w:space="0" w:color="auto"/>
        <w:bottom w:val="none" w:sz="0" w:space="0" w:color="auto"/>
        <w:right w:val="none" w:sz="0" w:space="0" w:color="auto"/>
      </w:divBdr>
    </w:div>
    <w:div w:id="392850079">
      <w:bodyDiv w:val="1"/>
      <w:marLeft w:val="0"/>
      <w:marRight w:val="0"/>
      <w:marTop w:val="0"/>
      <w:marBottom w:val="0"/>
      <w:divBdr>
        <w:top w:val="none" w:sz="0" w:space="0" w:color="auto"/>
        <w:left w:val="none" w:sz="0" w:space="0" w:color="auto"/>
        <w:bottom w:val="none" w:sz="0" w:space="0" w:color="auto"/>
        <w:right w:val="none" w:sz="0" w:space="0" w:color="auto"/>
      </w:divBdr>
    </w:div>
    <w:div w:id="504397727">
      <w:bodyDiv w:val="1"/>
      <w:marLeft w:val="0"/>
      <w:marRight w:val="0"/>
      <w:marTop w:val="0"/>
      <w:marBottom w:val="0"/>
      <w:divBdr>
        <w:top w:val="none" w:sz="0" w:space="0" w:color="auto"/>
        <w:left w:val="none" w:sz="0" w:space="0" w:color="auto"/>
        <w:bottom w:val="none" w:sz="0" w:space="0" w:color="auto"/>
        <w:right w:val="none" w:sz="0" w:space="0" w:color="auto"/>
      </w:divBdr>
    </w:div>
    <w:div w:id="605427125">
      <w:bodyDiv w:val="1"/>
      <w:marLeft w:val="0"/>
      <w:marRight w:val="0"/>
      <w:marTop w:val="0"/>
      <w:marBottom w:val="0"/>
      <w:divBdr>
        <w:top w:val="none" w:sz="0" w:space="0" w:color="auto"/>
        <w:left w:val="none" w:sz="0" w:space="0" w:color="auto"/>
        <w:bottom w:val="none" w:sz="0" w:space="0" w:color="auto"/>
        <w:right w:val="none" w:sz="0" w:space="0" w:color="auto"/>
      </w:divBdr>
    </w:div>
    <w:div w:id="860778390">
      <w:bodyDiv w:val="1"/>
      <w:marLeft w:val="0"/>
      <w:marRight w:val="0"/>
      <w:marTop w:val="0"/>
      <w:marBottom w:val="0"/>
      <w:divBdr>
        <w:top w:val="none" w:sz="0" w:space="0" w:color="auto"/>
        <w:left w:val="none" w:sz="0" w:space="0" w:color="auto"/>
        <w:bottom w:val="none" w:sz="0" w:space="0" w:color="auto"/>
        <w:right w:val="none" w:sz="0" w:space="0" w:color="auto"/>
      </w:divBdr>
    </w:div>
    <w:div w:id="948900359">
      <w:bodyDiv w:val="1"/>
      <w:marLeft w:val="0"/>
      <w:marRight w:val="0"/>
      <w:marTop w:val="0"/>
      <w:marBottom w:val="0"/>
      <w:divBdr>
        <w:top w:val="none" w:sz="0" w:space="0" w:color="auto"/>
        <w:left w:val="none" w:sz="0" w:space="0" w:color="auto"/>
        <w:bottom w:val="none" w:sz="0" w:space="0" w:color="auto"/>
        <w:right w:val="none" w:sz="0" w:space="0" w:color="auto"/>
      </w:divBdr>
    </w:div>
    <w:div w:id="1693726108">
      <w:bodyDiv w:val="1"/>
      <w:marLeft w:val="0"/>
      <w:marRight w:val="0"/>
      <w:marTop w:val="0"/>
      <w:marBottom w:val="0"/>
      <w:divBdr>
        <w:top w:val="none" w:sz="0" w:space="0" w:color="auto"/>
        <w:left w:val="none" w:sz="0" w:space="0" w:color="auto"/>
        <w:bottom w:val="none" w:sz="0" w:space="0" w:color="auto"/>
        <w:right w:val="none" w:sz="0" w:space="0" w:color="auto"/>
      </w:divBdr>
    </w:div>
    <w:div w:id="179208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2C2FD0-B161-47D4-AD63-07F4A214EB72}"/>
</file>

<file path=customXml/itemProps2.xml><?xml version="1.0" encoding="utf-8"?>
<ds:datastoreItem xmlns:ds="http://schemas.openxmlformats.org/officeDocument/2006/customXml" ds:itemID="{B241F741-3F39-46F6-B9B6-DB40FABF386C}"/>
</file>

<file path=customXml/itemProps3.xml><?xml version="1.0" encoding="utf-8"?>
<ds:datastoreItem xmlns:ds="http://schemas.openxmlformats.org/officeDocument/2006/customXml" ds:itemID="{E24555E9-E6CD-4987-9AE3-5FEA47C03600}"/>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3726</Characters>
  <Application>Microsoft Office Word</Application>
  <DocSecurity>0</DocSecurity>
  <Lines>31</Lines>
  <Paragraphs>8</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2026-01-27T15:49:00Z</dcterms:created>
  <dcterms:modified xsi:type="dcterms:W3CDTF">2026-01-27T15:49:00Z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