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1E3361" w:rsidRDefault="001E3361">
      <w:pPr>
        <w:rPr>
          <w:rFonts w:ascii="Verdana" w:eastAsia="Verdana" w:hAnsi="Verdana" w:cs="Verdana"/>
          <w:b/>
          <w:bCs/>
          <w:sz w:val="22"/>
          <w:szCs w:val="22"/>
        </w:rPr>
      </w:pPr>
    </w:p>
    <w:p w14:paraId="00000002" w14:textId="77777777" w:rsidR="001E3361" w:rsidRDefault="00000000">
      <w:pPr>
        <w:jc w:val="center"/>
        <w:rPr>
          <w:rFonts w:ascii="Verdana" w:eastAsia="Verdana" w:hAnsi="Verdana" w:cs="Verdana"/>
          <w:b/>
          <w:bCs/>
          <w:sz w:val="22"/>
          <w:szCs w:val="22"/>
        </w:rPr>
      </w:pPr>
      <w:r>
        <w:rPr>
          <w:rFonts w:ascii="Verdana" w:eastAsia="Verdana" w:hAnsi="Verdana" w:cs="Verdana"/>
          <w:b/>
          <w:bCs/>
          <w:sz w:val="22"/>
          <w:szCs w:val="22"/>
        </w:rPr>
        <w:t>RESOLUCIÓN 7777 de 2025</w:t>
      </w:r>
    </w:p>
    <w:p w14:paraId="00000003" w14:textId="77777777" w:rsidR="001E3361" w:rsidRPr="009C349F" w:rsidRDefault="00000000">
      <w:pPr>
        <w:spacing w:line="240" w:lineRule="auto"/>
        <w:rPr>
          <w:rFonts w:ascii="Verdana" w:eastAsia="Verdana" w:hAnsi="Verdana" w:cs="Verdana"/>
          <w:sz w:val="20"/>
          <w:szCs w:val="20"/>
        </w:rPr>
      </w:pPr>
      <w:r w:rsidRPr="009C349F">
        <w:rPr>
          <w:rFonts w:ascii="Verdana" w:eastAsia="Verdana" w:hAnsi="Verdana" w:cs="Verdana"/>
          <w:sz w:val="20"/>
          <w:szCs w:val="20"/>
        </w:rPr>
        <w:t>Fecha de Expedición: 16 de diciembre 2025</w:t>
      </w:r>
    </w:p>
    <w:p w14:paraId="00000004" w14:textId="77777777" w:rsidR="001E3361" w:rsidRPr="009C349F" w:rsidRDefault="00000000">
      <w:pPr>
        <w:spacing w:line="240" w:lineRule="auto"/>
        <w:rPr>
          <w:rFonts w:ascii="Verdana" w:eastAsia="Verdana" w:hAnsi="Verdana" w:cs="Verdana"/>
          <w:sz w:val="20"/>
          <w:szCs w:val="20"/>
        </w:rPr>
      </w:pPr>
      <w:r w:rsidRPr="009C349F">
        <w:rPr>
          <w:rFonts w:ascii="Verdana" w:eastAsia="Verdana" w:hAnsi="Verdana" w:cs="Verdana"/>
          <w:sz w:val="20"/>
          <w:szCs w:val="20"/>
        </w:rPr>
        <w:t>Fecha de entrada en vigencia: 16 de diciembre 2025</w:t>
      </w:r>
    </w:p>
    <w:p w14:paraId="00000005" w14:textId="77777777" w:rsidR="001E3361" w:rsidRPr="009C349F" w:rsidRDefault="00000000">
      <w:pPr>
        <w:spacing w:line="240" w:lineRule="auto"/>
        <w:rPr>
          <w:rFonts w:ascii="Verdana" w:eastAsia="Verdana" w:hAnsi="Verdana" w:cs="Verdana"/>
          <w:sz w:val="20"/>
          <w:szCs w:val="20"/>
        </w:rPr>
      </w:pPr>
      <w:r w:rsidRPr="009C349F">
        <w:rPr>
          <w:rFonts w:ascii="Verdana" w:eastAsia="Verdana" w:hAnsi="Verdana" w:cs="Verdana"/>
          <w:sz w:val="20"/>
          <w:szCs w:val="20"/>
        </w:rPr>
        <w:t>Estado de la vigencia: Vigente</w:t>
      </w:r>
    </w:p>
    <w:p w14:paraId="736FBC9D" w14:textId="77777777" w:rsidR="009C349F" w:rsidRPr="009C349F" w:rsidRDefault="009C349F">
      <w:pPr>
        <w:spacing w:line="240" w:lineRule="auto"/>
        <w:rPr>
          <w:rFonts w:ascii="Verdana" w:eastAsia="Verdana" w:hAnsi="Verdana" w:cs="Verdana"/>
          <w:sz w:val="20"/>
          <w:szCs w:val="20"/>
        </w:rPr>
      </w:pPr>
    </w:p>
    <w:p w14:paraId="00000006" w14:textId="6E295511" w:rsidR="001E3361" w:rsidRPr="009C349F" w:rsidRDefault="00000000">
      <w:pPr>
        <w:spacing w:line="240" w:lineRule="auto"/>
        <w:rPr>
          <w:rFonts w:ascii="Verdana" w:eastAsia="Verdana" w:hAnsi="Verdana" w:cs="Verdana"/>
          <w:sz w:val="20"/>
          <w:szCs w:val="20"/>
        </w:rPr>
      </w:pPr>
      <w:r w:rsidRPr="009C349F">
        <w:rPr>
          <w:rFonts w:ascii="Verdana" w:eastAsia="Verdana" w:hAnsi="Verdana" w:cs="Verdana"/>
          <w:sz w:val="20"/>
          <w:szCs w:val="20"/>
        </w:rPr>
        <w:t xml:space="preserve">Fecha de publicación en Diario Oficial: </w:t>
      </w:r>
      <w:r w:rsidR="002B48A9">
        <w:rPr>
          <w:rFonts w:ascii="Verdana" w:eastAsia="Verdana" w:hAnsi="Verdana" w:cs="Verdana"/>
          <w:sz w:val="20"/>
          <w:szCs w:val="20"/>
        </w:rPr>
        <w:t>17 de diciembre de 2025</w:t>
      </w:r>
    </w:p>
    <w:p w14:paraId="00000007" w14:textId="2D183508" w:rsidR="001E3361" w:rsidRPr="009C349F" w:rsidRDefault="00000000">
      <w:pPr>
        <w:spacing w:line="240" w:lineRule="auto"/>
        <w:rPr>
          <w:rFonts w:ascii="Verdana" w:eastAsia="Verdana" w:hAnsi="Verdana" w:cs="Verdana"/>
          <w:sz w:val="20"/>
          <w:szCs w:val="20"/>
        </w:rPr>
      </w:pPr>
      <w:r w:rsidRPr="009C349F">
        <w:rPr>
          <w:rFonts w:ascii="Verdana" w:eastAsia="Verdana" w:hAnsi="Verdana" w:cs="Verdana"/>
          <w:sz w:val="20"/>
          <w:szCs w:val="20"/>
        </w:rPr>
        <w:t>Número del Diario Oficial:</w:t>
      </w:r>
      <w:r w:rsidR="009C349F">
        <w:rPr>
          <w:rFonts w:ascii="Verdana" w:eastAsia="Verdana" w:hAnsi="Verdana" w:cs="Verdana"/>
          <w:sz w:val="20"/>
          <w:szCs w:val="20"/>
        </w:rPr>
        <w:t xml:space="preserve"> </w:t>
      </w:r>
      <w:r w:rsidR="002B48A9">
        <w:rPr>
          <w:rFonts w:ascii="Verdana" w:eastAsia="Verdana" w:hAnsi="Verdana" w:cs="Verdana"/>
          <w:sz w:val="20"/>
          <w:szCs w:val="20"/>
        </w:rPr>
        <w:t>53.338</w:t>
      </w:r>
    </w:p>
    <w:p w14:paraId="00000008" w14:textId="77777777" w:rsidR="001E3361" w:rsidRDefault="001E3361">
      <w:pPr>
        <w:spacing w:line="240" w:lineRule="auto"/>
        <w:rPr>
          <w:rFonts w:ascii="Verdana" w:eastAsia="Verdana" w:hAnsi="Verdana" w:cs="Verdana"/>
          <w:sz w:val="22"/>
          <w:szCs w:val="22"/>
        </w:rPr>
      </w:pPr>
    </w:p>
    <w:p w14:paraId="00000009" w14:textId="77777777" w:rsidR="001E3361" w:rsidRDefault="00000000">
      <w:pPr>
        <w:spacing w:line="240" w:lineRule="auto"/>
        <w:jc w:val="center"/>
        <w:rPr>
          <w:rFonts w:ascii="Verdana" w:eastAsia="Verdana" w:hAnsi="Verdana" w:cs="Verdana"/>
          <w:b/>
          <w:bCs/>
          <w:sz w:val="22"/>
          <w:szCs w:val="22"/>
        </w:rPr>
      </w:pPr>
      <w:r>
        <w:rPr>
          <w:rFonts w:ascii="Verdana" w:eastAsia="Verdana" w:hAnsi="Verdana" w:cs="Verdana"/>
          <w:b/>
          <w:bCs/>
          <w:sz w:val="22"/>
          <w:szCs w:val="22"/>
        </w:rPr>
        <w:t>RESOLUCIÓN 7777 de 2025</w:t>
      </w:r>
    </w:p>
    <w:p w14:paraId="0000000A" w14:textId="77777777" w:rsidR="001E3361" w:rsidRDefault="00000000">
      <w:pPr>
        <w:jc w:val="center"/>
        <w:rPr>
          <w:rFonts w:ascii="Verdana" w:eastAsia="Verdana" w:hAnsi="Verdana" w:cs="Verdana"/>
          <w:sz w:val="22"/>
          <w:szCs w:val="22"/>
        </w:rPr>
      </w:pPr>
      <w:r>
        <w:rPr>
          <w:rFonts w:ascii="Verdana" w:eastAsia="Verdana" w:hAnsi="Verdana" w:cs="Verdana"/>
          <w:sz w:val="22"/>
          <w:szCs w:val="22"/>
        </w:rPr>
        <w:t>(16 de diciembre)</w:t>
      </w:r>
    </w:p>
    <w:p w14:paraId="0000000B" w14:textId="77777777" w:rsidR="001E3361" w:rsidRDefault="00000000">
      <w:pPr>
        <w:jc w:val="center"/>
        <w:rPr>
          <w:rFonts w:ascii="Verdana" w:eastAsia="Verdana" w:hAnsi="Verdana" w:cs="Verdana"/>
          <w:sz w:val="22"/>
          <w:szCs w:val="22"/>
        </w:rPr>
      </w:pPr>
      <w:r>
        <w:rPr>
          <w:rFonts w:ascii="Verdana" w:eastAsia="Verdana" w:hAnsi="Verdana" w:cs="Verdana"/>
          <w:sz w:val="22"/>
          <w:szCs w:val="22"/>
        </w:rPr>
        <w:t>“Por la cual se modifica parcialmente la Resolución 6300 de 2024”</w:t>
      </w:r>
    </w:p>
    <w:p w14:paraId="0000000C" w14:textId="77777777" w:rsidR="001E3361" w:rsidRDefault="00000000">
      <w:pPr>
        <w:jc w:val="center"/>
        <w:rPr>
          <w:rFonts w:ascii="Verdana" w:eastAsia="Verdana" w:hAnsi="Verdana" w:cs="Verdana"/>
          <w:b/>
          <w:bCs/>
          <w:sz w:val="22"/>
          <w:szCs w:val="22"/>
        </w:rPr>
      </w:pPr>
      <w:r>
        <w:rPr>
          <w:rFonts w:ascii="Verdana" w:eastAsia="Verdana" w:hAnsi="Verdana" w:cs="Verdana"/>
          <w:b/>
          <w:bCs/>
          <w:sz w:val="22"/>
          <w:szCs w:val="22"/>
        </w:rPr>
        <w:t>LA DIRECTORA GENERAL DEL INSTITUTO COLOMBIANO DE BIENESTAR FAMILIAR –CECILIA DE LA FUENTE DE LLERAS</w:t>
      </w:r>
    </w:p>
    <w:p w14:paraId="0000000D" w14:textId="77777777" w:rsidR="001E3361" w:rsidRDefault="00000000">
      <w:pPr>
        <w:jc w:val="center"/>
        <w:rPr>
          <w:rFonts w:ascii="Verdana" w:eastAsia="Verdana" w:hAnsi="Verdana" w:cs="Verdana"/>
          <w:sz w:val="22"/>
          <w:szCs w:val="22"/>
        </w:rPr>
      </w:pPr>
      <w:r>
        <w:rPr>
          <w:rFonts w:ascii="Verdana" w:eastAsia="Verdana" w:hAnsi="Verdana" w:cs="Verdana"/>
          <w:sz w:val="22"/>
          <w:szCs w:val="22"/>
        </w:rPr>
        <w:t>En uso de sus facultades legales y estatutarias y, en especial de las que le confieren</w:t>
      </w:r>
    </w:p>
    <w:p w14:paraId="0000000E" w14:textId="77777777" w:rsidR="001E3361" w:rsidRDefault="00000000">
      <w:pPr>
        <w:jc w:val="center"/>
        <w:rPr>
          <w:rFonts w:ascii="Verdana" w:eastAsia="Verdana" w:hAnsi="Verdana" w:cs="Verdana"/>
          <w:sz w:val="22"/>
          <w:szCs w:val="22"/>
        </w:rPr>
      </w:pPr>
      <w:r>
        <w:rPr>
          <w:rFonts w:ascii="Verdana" w:eastAsia="Verdana" w:hAnsi="Verdana" w:cs="Verdana"/>
          <w:sz w:val="22"/>
          <w:szCs w:val="22"/>
        </w:rPr>
        <w:t>la Ley 7 de 1979, el Decreto 2388 de 1979, la Ley 489 de 1998 y los artículos 16 y 208 de la Ley 1098 de 2006 y,</w:t>
      </w:r>
    </w:p>
    <w:p w14:paraId="0000000F" w14:textId="77777777" w:rsidR="001E3361" w:rsidRDefault="00000000">
      <w:pPr>
        <w:jc w:val="center"/>
        <w:rPr>
          <w:rFonts w:ascii="Verdana" w:eastAsia="Verdana" w:hAnsi="Verdana" w:cs="Verdana"/>
          <w:b/>
          <w:bCs/>
          <w:sz w:val="22"/>
          <w:szCs w:val="22"/>
        </w:rPr>
      </w:pPr>
      <w:r>
        <w:rPr>
          <w:rFonts w:ascii="Verdana" w:eastAsia="Verdana" w:hAnsi="Verdana" w:cs="Verdana"/>
          <w:b/>
          <w:bCs/>
          <w:sz w:val="22"/>
          <w:szCs w:val="22"/>
        </w:rPr>
        <w:t>CONSIDERANDO</w:t>
      </w:r>
    </w:p>
    <w:p w14:paraId="00000010"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el artículo 209 de la Constitución Política preceptúa que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00000011"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la Constitución Política en su artículo 44 establece que los derechos de las niñas, niños y adolescentes prevalecen sobre los derechos de los demás. Esto impone al Estado un deber de máxima diligencia en cualquier actuación que los involucre. En el contexto del ICBF, la contratación de operadores para programas de primera infancia, protección y nutrición debe anteponer el interés superior del menor. Ello se traduce en seleccionar operadores altamente calificados y confiables, pues la calidad del servicio (educación inicial, alimentación, cuidado) incide directamente en los derechos fundamentales de los niños atendidos.</w:t>
      </w:r>
    </w:p>
    <w:p w14:paraId="00000012"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 xml:space="preserve">Que el artículo 16 de la Ley 1098 de 2006 establece el deber de vigilancia del Estado a todas las personas naturales o jurídicas, con personería jurídica </w:t>
      </w:r>
      <w:r>
        <w:rPr>
          <w:rFonts w:ascii="Verdana" w:eastAsia="Verdana" w:hAnsi="Verdana" w:cs="Verdana"/>
          <w:sz w:val="22"/>
          <w:szCs w:val="22"/>
        </w:rPr>
        <w:lastRenderedPageBreak/>
        <w:t>expedida por el Instituto Colombiano de Bienestar Familiar o sin ella, que aún, con autorización de los padres o representantes legales, alberguen o cuiden a los niños, niñas o adolescentes y jóvenes. Asimismo, señala que es competencia del Instituto Colombiano de Bienestar Familiar reconocer, otorgar, suspender y cancelar personerías jurídicas y licencias de funcionamiento a las instituciones que prestan los servicios de protección.</w:t>
      </w:r>
    </w:p>
    <w:p w14:paraId="00000013"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el artículo 208 de la norma en cita, indica que se entiende por vigilancia y control “las acciones de supervisión, policivas, administrativas, y judiciales, encaminadas a garantizar el cumplimiento de las funciones y obligaciones para la garantía y restablecimiento de los derechos de los niños, las niñas y los adolescentes y su contexto familiar y prevenir su vulneración a través del seguimiento de las políticas públicas y de la evaluación de la gestión de los funcionarios y de las entidades responsables”.</w:t>
      </w:r>
    </w:p>
    <w:p w14:paraId="00000014"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el Instituto Colombiano de Bienestar Familiar (ICBF) es la entidad del Estado colombiano que trabaja por la prevención y protección integral de la primera infancia, infancia, adolescencia y el fortalecimiento de las familias en Colombia, brindando atención especialmente a aquellos en condiciones de amenaza o vulneración de sus derechos.</w:t>
      </w:r>
    </w:p>
    <w:p w14:paraId="00000015"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con el propósito de garantizar la efectividad de los derechos y proteger a los niños, niñas, adolescentes, jóvenes y las familias desde una perspectiva de integralidad, el Instituto Colombiano de Bienestar Familiar también debe ejercer sus funciones de inspección, vigilancia y control sobre las personas naturales o jurídicas, nacionales o extranjeras que presten los servicios de protección en el territorio nacional.</w:t>
      </w:r>
    </w:p>
    <w:p w14:paraId="00000018" w14:textId="4CB91A12" w:rsidR="001E3361" w:rsidRDefault="00000000">
      <w:pPr>
        <w:jc w:val="both"/>
        <w:rPr>
          <w:rFonts w:ascii="Verdana" w:eastAsia="Verdana" w:hAnsi="Verdana" w:cs="Verdana"/>
          <w:sz w:val="22"/>
          <w:szCs w:val="22"/>
        </w:rPr>
      </w:pPr>
      <w:r>
        <w:rPr>
          <w:rFonts w:ascii="Verdana" w:eastAsia="Verdana" w:hAnsi="Verdana" w:cs="Verdana"/>
          <w:sz w:val="22"/>
          <w:szCs w:val="22"/>
        </w:rPr>
        <w:t>Que, en el marco descrito, la Dirección General del Instituto Colombiano de Bienestar Familiar expidió la Resolución 6300 de 2024 “Por la cual se establece el régimen para el ejercicio de las funciones de inspección, vigilancia y control a cargo del Instituto Colombiano de Bienestar Familiar, se efectúan unas delegaciones y se dictan otras disposiciones”.</w:t>
      </w:r>
    </w:p>
    <w:p w14:paraId="00000019"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la norma referida establece los requisitos relacionados con el otorgamiento y reconocimiento de personerías jurídicas, así como las causales para su suspensión y cancelación, dispone los requisitos para el otorgamiento, renovación, modificación, suspensión y cancelación de licencias de funcionamiento y regula además los aspectos relacionados con las visitas de inspección, visitas de vigilancia y los procesos administrativos sancionatorios.</w:t>
      </w:r>
    </w:p>
    <w:p w14:paraId="0000001A"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 xml:space="preserve">Que, en línea con lo indicado, el ICBF es la entidad facultada para otorgar y reconocer personerías jurídicas para la prestación de los servicios de protección a niñas, niños, adolescentes, jóvenes o las familias en el territorio nacional y en </w:t>
      </w:r>
      <w:r>
        <w:rPr>
          <w:rFonts w:ascii="Verdana" w:eastAsia="Verdana" w:hAnsi="Verdana" w:cs="Verdana"/>
          <w:sz w:val="22"/>
          <w:szCs w:val="22"/>
        </w:rPr>
        <w:lastRenderedPageBreak/>
        <w:t>ese sentido, es competente para establecer los requisitos que deben acreditar los interesados en prestar los servicios de protección referidos.</w:t>
      </w:r>
    </w:p>
    <w:p w14:paraId="0000001B"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de otro lado, el artículo 125 del Decreto 2388 de 1979 dispone que el ICBF podrá contratar “con instituciones de utilidad pública o social de reconocida solvencia moral y técnica” para ejecutar sus programas, dando preferencia a las entidades destacadas por sus méritos administrativos. Este régimen especial de aporte se ha mantenido vigente a través de normas posteriores (Decreto 2150 de 1995, Decreto 1529 de 1996 y el Decreto Único 1084 de 2015) que reiteran la exigencia de contratar con entidades de probada capacidad técnica y moral.</w:t>
      </w:r>
    </w:p>
    <w:p w14:paraId="0000001C"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un aspecto central de la selección objetiva en estos contratos es la verificación de la solvencia moral y técnica de las entidades u operadores y, en consecuencia, resulta prioritario que se seleccione a instituciones que acrediten idoneidad en el manejo de la actividad cuya prestación pretende que el contratista asuma, debido a la relevancia de la función a ejecutar.</w:t>
      </w:r>
    </w:p>
    <w:p w14:paraId="0000001D"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la Ley exige comprobar la capacidad técnica, experiencia y buena reputación (idoneidad y solvencia moral) de la entidad antes de firmar el contrato, dado que esta se encargará de una función pública delicada. El énfasis en la “solvencia moral” implica evaluar la honorabilidad, el comportamiento ético y la ausencia de antecedentes negativos de la entidad (por ejemplo, sanciones previas, incumplimientos o malas prácticas).</w:t>
      </w:r>
    </w:p>
    <w:p w14:paraId="0000001E"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estas exigencias no son meras formalidades, sino garantías para el adecuado funcionamiento del servicio público de bienestar familiar; la razón fundamental detrás de la exigencia de solvencia moral y técnica es la naturaleza del servicio involucrado: la protección de la niñez, la adolescencia y el fortalecimiento familiar.</w:t>
      </w:r>
    </w:p>
    <w:p w14:paraId="0000001F"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en línea con lo indicado y con el fin de contribuir con los objetivos antes expuestos, prevenir actos de corrupción y a su vez fomentar la transparencia, la integridad y asegurar una gestión pública orientada a la protección de los recursos públicos destinados a la garantía de derechos de las niñas, niños, adolescentes y jóvenes, se estima necesario ajustar algunas de las disposiciones de la Resolución 6300 de 2024, en especial las relacionadas con los requisitos para el otorgamiento y reconocimiento de personería jurídica, licencias de funcionamiento y los procesos administrativos sancionatorios e inspección y vigilancia.</w:t>
      </w:r>
    </w:p>
    <w:p w14:paraId="00000020"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asimismo, se hace necesario ajustar los artículos que desarrollan el proceso administrativo sancionatorio con el fin de garantizar su articulación con el proceso sancionatorio contractual, sin perjuicio de las decisiones que se tomen en cada uno de ellos, y con ello prevenir riesgos de corrupción y proteger los recursos públicos destinados a la niñez y a la adolescencia en Colombia.</w:t>
      </w:r>
    </w:p>
    <w:p w14:paraId="00000021" w14:textId="77777777" w:rsidR="001E3361" w:rsidRDefault="00000000">
      <w:pPr>
        <w:jc w:val="both"/>
        <w:rPr>
          <w:rFonts w:ascii="Verdana" w:eastAsia="Verdana" w:hAnsi="Verdana" w:cs="Verdana"/>
          <w:sz w:val="22"/>
          <w:szCs w:val="22"/>
        </w:rPr>
      </w:pPr>
      <w:r>
        <w:rPr>
          <w:rFonts w:ascii="Verdana" w:eastAsia="Verdana" w:hAnsi="Verdana" w:cs="Verdana"/>
          <w:sz w:val="22"/>
          <w:szCs w:val="22"/>
        </w:rPr>
        <w:lastRenderedPageBreak/>
        <w:t>Que en cumplimiento de lo dispuesto en el numeral 9 del artículo 3 y numeral 8 del artículo 8 de la Ley 1437 de 2011, en concordancia con el artículo 2.1.2.1.25 del Decreto 1081 de 2015 y el artículo 2 de la Resolución 0353 de 2023 del ICBF, la presente Resolución fue publicada desde el 16 de octubre al 26 de octubre del 2025 en la página web de la entidad, https://www.icbf.gov.co/participa/consulta-ciudadana, para comentarios de la ciudadanía. Dentro de este término, no se recibió ningún correo con observaciones, sugerencias o comentarios a la fecha de cierre de la publicación.</w:t>
      </w:r>
    </w:p>
    <w:p w14:paraId="00000022"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Que, de conformidad con los considerandos expuestos, el Instituto Colombiano de Bienestar Familiar, en ejercicio de la función administrativa y en cumplimiento de su mandato constitucional y legal de protección integral de los derechos prevalentes de las niñas, niños y adolescentes, se encuentra plenamente facultado y obligado a fortalecer y ajustar su régimen de inspección, vigilancia y control, así como los requisitos y procedimientos asociados al otorgamiento y reconocimiento de personerías jurídicas, licencias de funcionamiento y al desarrollo de los procesos administrativos sancionatorios. Lo anterior resulta indispensable para garantizar la selección y permanencia de operadores que acrediten solvencia moral y técnica, idoneidad, transparencia e integridad, en atención a la especial relevancia y sensibilidad de los servicios de protección que se prestan.</w:t>
      </w:r>
    </w:p>
    <w:p w14:paraId="00000023" w14:textId="77777777" w:rsidR="001E3361" w:rsidRDefault="00000000">
      <w:pPr>
        <w:jc w:val="both"/>
        <w:rPr>
          <w:rFonts w:ascii="Verdana" w:eastAsia="Verdana" w:hAnsi="Verdana" w:cs="Verdana"/>
          <w:sz w:val="22"/>
          <w:szCs w:val="22"/>
        </w:rPr>
      </w:pPr>
      <w:r>
        <w:rPr>
          <w:rFonts w:ascii="Verdana" w:eastAsia="Verdana" w:hAnsi="Verdana" w:cs="Verdana"/>
          <w:sz w:val="22"/>
          <w:szCs w:val="22"/>
        </w:rPr>
        <w:t>En este sentido, el ajuste de la Resolución 6300 de 2024 se justifica como una medida necesaria y proporcional orientada a asegurar la eficacia, coherencia y articulación de los mecanismos de control administrativo y contractual, prevenir riesgos de corrupción, proteger los recursos públicos y fortalecer la confianza institucional, todo ello con el propósito superior de salvaguardar de manera efectiva el interés superior del menor y garantizar la adecuada prestación de los servicios de bienestar familiar en el territorio nacional..</w:t>
      </w:r>
    </w:p>
    <w:p w14:paraId="00000027" w14:textId="69F585D1" w:rsidR="001E3361" w:rsidRDefault="00000000">
      <w:pPr>
        <w:jc w:val="both"/>
        <w:rPr>
          <w:rFonts w:ascii="Verdana" w:eastAsia="Verdana" w:hAnsi="Verdana" w:cs="Verdana"/>
          <w:sz w:val="22"/>
          <w:szCs w:val="22"/>
        </w:rPr>
      </w:pPr>
      <w:r>
        <w:rPr>
          <w:rFonts w:ascii="Verdana" w:eastAsia="Verdana" w:hAnsi="Verdana" w:cs="Verdana"/>
          <w:sz w:val="22"/>
          <w:szCs w:val="22"/>
        </w:rPr>
        <w:t>En mérito de lo expuesto,</w:t>
      </w:r>
    </w:p>
    <w:p w14:paraId="00000028" w14:textId="77777777" w:rsidR="001E3361" w:rsidRDefault="00000000">
      <w:pPr>
        <w:jc w:val="center"/>
        <w:rPr>
          <w:rFonts w:ascii="Verdana" w:eastAsia="Verdana" w:hAnsi="Verdana" w:cs="Verdana"/>
          <w:b/>
          <w:bCs/>
          <w:sz w:val="22"/>
          <w:szCs w:val="22"/>
        </w:rPr>
      </w:pPr>
      <w:r>
        <w:rPr>
          <w:rFonts w:ascii="Verdana" w:eastAsia="Verdana" w:hAnsi="Verdana" w:cs="Verdana"/>
          <w:b/>
          <w:bCs/>
          <w:sz w:val="22"/>
          <w:szCs w:val="22"/>
        </w:rPr>
        <w:t>RESUELVE:</w:t>
      </w:r>
    </w:p>
    <w:p w14:paraId="00000029" w14:textId="412E647D"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9C349F">
        <w:rPr>
          <w:rFonts w:ascii="Verdana" w:eastAsia="Verdana" w:hAnsi="Verdana" w:cs="Verdana"/>
          <w:b/>
          <w:bCs/>
          <w:sz w:val="22"/>
          <w:szCs w:val="22"/>
        </w:rPr>
        <w:t>1</w:t>
      </w:r>
      <w:r>
        <w:rPr>
          <w:rFonts w:ascii="Verdana" w:eastAsia="Verdana" w:hAnsi="Verdana" w:cs="Verdana"/>
          <w:b/>
          <w:bCs/>
          <w:sz w:val="22"/>
          <w:szCs w:val="22"/>
        </w:rPr>
        <w:t>.</w:t>
      </w:r>
      <w:r>
        <w:rPr>
          <w:rFonts w:ascii="Verdana" w:eastAsia="Verdana" w:hAnsi="Verdana" w:cs="Verdana"/>
          <w:sz w:val="22"/>
          <w:szCs w:val="22"/>
        </w:rPr>
        <w:t xml:space="preserve"> Modifíquese el numeral 7 del artículo 3° de la Resolución 6300 de 2024, el cual quedará así:</w:t>
      </w:r>
    </w:p>
    <w:p w14:paraId="0000002B" w14:textId="55CB4D72" w:rsidR="001E3361" w:rsidRDefault="00000000" w:rsidP="009C349F">
      <w:pPr>
        <w:ind w:left="426"/>
        <w:jc w:val="both"/>
        <w:rPr>
          <w:rFonts w:ascii="Verdana" w:eastAsia="Verdana" w:hAnsi="Verdana" w:cs="Verdana"/>
          <w:sz w:val="22"/>
          <w:szCs w:val="22"/>
        </w:rPr>
      </w:pPr>
      <w:r>
        <w:rPr>
          <w:rFonts w:ascii="Verdana" w:eastAsia="Verdana" w:hAnsi="Verdana" w:cs="Verdana"/>
          <w:sz w:val="22"/>
          <w:szCs w:val="22"/>
        </w:rPr>
        <w:t>“</w:t>
      </w:r>
      <w:r w:rsidRPr="009C349F">
        <w:rPr>
          <w:rFonts w:ascii="Verdana" w:eastAsia="Verdana" w:hAnsi="Verdana" w:cs="Verdana"/>
          <w:b/>
          <w:bCs/>
          <w:sz w:val="22"/>
          <w:szCs w:val="22"/>
        </w:rPr>
        <w:t>7. Vigilancia.</w:t>
      </w:r>
      <w:r>
        <w:rPr>
          <w:rFonts w:ascii="Verdana" w:eastAsia="Verdana" w:hAnsi="Verdana" w:cs="Verdana"/>
          <w:sz w:val="22"/>
          <w:szCs w:val="22"/>
        </w:rPr>
        <w:t xml:space="preserve"> Acción preventiva que se realiza para verificar que la prestación</w:t>
      </w:r>
      <w:r w:rsidR="009C349F">
        <w:rPr>
          <w:rFonts w:ascii="Verdana" w:eastAsia="Verdana" w:hAnsi="Verdana" w:cs="Verdana"/>
          <w:sz w:val="22"/>
          <w:szCs w:val="22"/>
        </w:rPr>
        <w:t xml:space="preserve"> </w:t>
      </w:r>
      <w:r>
        <w:rPr>
          <w:rFonts w:ascii="Verdana" w:eastAsia="Verdana" w:hAnsi="Verdana" w:cs="Verdana"/>
          <w:sz w:val="22"/>
          <w:szCs w:val="22"/>
        </w:rPr>
        <w:t>de los servicios de protección dirigidos a las niñas, niños, adolescentes, jóvenes o las familias, cumplan con las condiciones establecidas en los documentos técnicos definidos por el ICBF. Esta acción se materializa a través de la realización de visitas de vigilancia en concordancia con el plan anual de visitas.”</w:t>
      </w:r>
    </w:p>
    <w:p w14:paraId="0000002C" w14:textId="507559ED" w:rsidR="001E3361" w:rsidRDefault="00000000">
      <w:pPr>
        <w:jc w:val="both"/>
        <w:rPr>
          <w:rFonts w:ascii="Verdana" w:eastAsia="Verdana" w:hAnsi="Verdana" w:cs="Verdana"/>
          <w:sz w:val="22"/>
          <w:szCs w:val="22"/>
        </w:rPr>
      </w:pPr>
      <w:r>
        <w:rPr>
          <w:rFonts w:ascii="Verdana" w:eastAsia="Verdana" w:hAnsi="Verdana" w:cs="Verdana"/>
          <w:b/>
          <w:bCs/>
          <w:sz w:val="22"/>
          <w:szCs w:val="22"/>
        </w:rPr>
        <w:lastRenderedPageBreak/>
        <w:t xml:space="preserve">ARTÍCULO </w:t>
      </w:r>
      <w:r w:rsidR="009C349F">
        <w:rPr>
          <w:rFonts w:ascii="Verdana" w:eastAsia="Verdana" w:hAnsi="Verdana" w:cs="Verdana"/>
          <w:b/>
          <w:bCs/>
          <w:sz w:val="22"/>
          <w:szCs w:val="22"/>
        </w:rPr>
        <w:t>2</w:t>
      </w:r>
      <w:r>
        <w:rPr>
          <w:rFonts w:ascii="Verdana" w:eastAsia="Verdana" w:hAnsi="Verdana" w:cs="Verdana"/>
          <w:b/>
          <w:bCs/>
          <w:sz w:val="22"/>
          <w:szCs w:val="22"/>
        </w:rPr>
        <w:t>.</w:t>
      </w:r>
      <w:r>
        <w:rPr>
          <w:rFonts w:ascii="Verdana" w:eastAsia="Verdana" w:hAnsi="Verdana" w:cs="Verdana"/>
          <w:sz w:val="22"/>
          <w:szCs w:val="22"/>
        </w:rPr>
        <w:t xml:space="preserve"> Modifíquese el artículo 6° de la Resolución 6300 de 2024, el cual quedará así:</w:t>
      </w:r>
    </w:p>
    <w:p w14:paraId="0000002D" w14:textId="62E38AC4"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w:t>
      </w:r>
      <w:r w:rsidRPr="009C349F">
        <w:rPr>
          <w:rFonts w:ascii="Verdana" w:eastAsia="Verdana" w:hAnsi="Verdana" w:cs="Verdana"/>
          <w:b/>
          <w:bCs/>
          <w:sz w:val="22"/>
          <w:szCs w:val="22"/>
        </w:rPr>
        <w:t xml:space="preserve">ARTÍCULO </w:t>
      </w:r>
      <w:r w:rsidR="009C349F" w:rsidRPr="009C349F">
        <w:rPr>
          <w:rFonts w:ascii="Verdana" w:eastAsia="Verdana" w:hAnsi="Verdana" w:cs="Verdana"/>
          <w:b/>
          <w:bCs/>
          <w:sz w:val="22"/>
          <w:szCs w:val="22"/>
        </w:rPr>
        <w:t>6</w:t>
      </w:r>
      <w:r w:rsidRPr="009C349F">
        <w:rPr>
          <w:rFonts w:ascii="Verdana" w:eastAsia="Verdana" w:hAnsi="Verdana" w:cs="Verdana"/>
          <w:b/>
          <w:bCs/>
          <w:sz w:val="22"/>
          <w:szCs w:val="22"/>
        </w:rPr>
        <w:t>. REQUISITOS GENERALES PARA EL OTORGAMIENTO DE PERSONERÍAS JURÍDICAS.</w:t>
      </w:r>
      <w:r>
        <w:rPr>
          <w:rFonts w:ascii="Verdana" w:eastAsia="Verdana" w:hAnsi="Verdana" w:cs="Verdana"/>
          <w:sz w:val="22"/>
          <w:szCs w:val="22"/>
        </w:rPr>
        <w:t xml:space="preserve"> Los interesados en obtener el otorgamiento de personería jurídica por parte del ICBF deberán presentar ante la Oficina de Aseguramiento a la Calidad los soportes que demuestren el cumplimiento de los siguientes requisitos:</w:t>
      </w:r>
    </w:p>
    <w:p w14:paraId="0000002E"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1. Estatutos vigentes que contengan:</w:t>
      </w:r>
    </w:p>
    <w:p w14:paraId="0000002F" w14:textId="6943B5B0"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Nombre y clase de persona jurídica.</w:t>
      </w:r>
    </w:p>
    <w:p w14:paraId="00000030" w14:textId="3DABA54E"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Objeto social relacionado con la prestación de servicios de protección</w:t>
      </w:r>
    </w:p>
    <w:p w14:paraId="00000031" w14:textId="7777777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dirigidos a niñas, niños, adolescentes, jóvenes o las familias.</w:t>
      </w:r>
    </w:p>
    <w:p w14:paraId="00000032" w14:textId="31E73121"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El patrimonio y la forma de hacer los aportes.</w:t>
      </w:r>
    </w:p>
    <w:p w14:paraId="00000033" w14:textId="62FEBB3A"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Facultades y obligaciones del representante legal, asamblea general,</w:t>
      </w:r>
    </w:p>
    <w:p w14:paraId="00000034" w14:textId="7777777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miembros de la junta directiva y revisor fiscal, cuando este último cargo</w:t>
      </w:r>
    </w:p>
    <w:p w14:paraId="00000035" w14:textId="7777777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esté previsto.</w:t>
      </w:r>
    </w:p>
    <w:p w14:paraId="00000036" w14:textId="27A2AEF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La periodicidad de las reuniones ordinarias y los casos en los cuales habrá</w:t>
      </w:r>
    </w:p>
    <w:p w14:paraId="00000037" w14:textId="7777777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de convocarse a reuniones extraordinarias.</w:t>
      </w:r>
    </w:p>
    <w:p w14:paraId="00000038" w14:textId="7777777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f. Quórum decisorio y régimen de mayorías.</w:t>
      </w:r>
    </w:p>
    <w:p w14:paraId="00000039" w14:textId="7777777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g. Término de duración de la constitución legal y causales de disolución</w:t>
      </w:r>
    </w:p>
    <w:p w14:paraId="0000003A" w14:textId="77777777"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h. La forma de hacer la liquidación una vez disuelta la persona jurídica</w:t>
      </w:r>
    </w:p>
    <w:p w14:paraId="0000003B" w14:textId="6A88F1F5" w:rsidR="001E3361" w:rsidRPr="009C349F" w:rsidRDefault="00000000" w:rsidP="009C349F">
      <w:pPr>
        <w:pStyle w:val="Prrafodelista"/>
        <w:numPr>
          <w:ilvl w:val="0"/>
          <w:numId w:val="2"/>
        </w:numPr>
        <w:jc w:val="both"/>
        <w:rPr>
          <w:rFonts w:ascii="Verdana" w:eastAsia="Verdana" w:hAnsi="Verdana" w:cs="Verdana"/>
          <w:sz w:val="22"/>
          <w:szCs w:val="22"/>
        </w:rPr>
      </w:pPr>
      <w:r w:rsidRPr="009C349F">
        <w:rPr>
          <w:rFonts w:ascii="Verdana" w:eastAsia="Verdana" w:hAnsi="Verdana" w:cs="Verdana"/>
          <w:sz w:val="22"/>
          <w:szCs w:val="22"/>
        </w:rPr>
        <w:t>Domicilio principal.</w:t>
      </w:r>
    </w:p>
    <w:p w14:paraId="0000003C"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2. Estar debidamente representada, para lo cual deberá presentar los siguientes documentos:</w:t>
      </w:r>
    </w:p>
    <w:p w14:paraId="0000003D" w14:textId="78C79B21" w:rsidR="001E3361" w:rsidRPr="009C349F" w:rsidRDefault="00000000" w:rsidP="009C349F">
      <w:pPr>
        <w:pStyle w:val="Prrafodelista"/>
        <w:numPr>
          <w:ilvl w:val="0"/>
          <w:numId w:val="5"/>
        </w:numPr>
        <w:jc w:val="both"/>
        <w:rPr>
          <w:rFonts w:ascii="Verdana" w:eastAsia="Verdana" w:hAnsi="Verdana" w:cs="Verdana"/>
          <w:sz w:val="22"/>
          <w:szCs w:val="22"/>
        </w:rPr>
      </w:pPr>
      <w:r w:rsidRPr="009C349F">
        <w:rPr>
          <w:rFonts w:ascii="Verdana" w:eastAsia="Verdana" w:hAnsi="Verdana" w:cs="Verdana"/>
          <w:sz w:val="22"/>
          <w:szCs w:val="22"/>
        </w:rPr>
        <w:t>Documento de elección o nombramiento del cargo de representante legal.</w:t>
      </w:r>
    </w:p>
    <w:p w14:paraId="0000003E" w14:textId="09AC3D69" w:rsidR="001E3361" w:rsidRPr="009C349F" w:rsidRDefault="00000000" w:rsidP="009C349F">
      <w:pPr>
        <w:pStyle w:val="Prrafodelista"/>
        <w:numPr>
          <w:ilvl w:val="0"/>
          <w:numId w:val="5"/>
        </w:numPr>
        <w:jc w:val="both"/>
        <w:rPr>
          <w:rFonts w:ascii="Verdana" w:eastAsia="Verdana" w:hAnsi="Verdana" w:cs="Verdana"/>
          <w:sz w:val="22"/>
          <w:szCs w:val="22"/>
        </w:rPr>
      </w:pPr>
      <w:r w:rsidRPr="009C349F">
        <w:rPr>
          <w:rFonts w:ascii="Verdana" w:eastAsia="Verdana" w:hAnsi="Verdana" w:cs="Verdana"/>
          <w:sz w:val="22"/>
          <w:szCs w:val="22"/>
        </w:rPr>
        <w:t>Documento de elección o nombramiento de los miembros de la junta</w:t>
      </w:r>
    </w:p>
    <w:p w14:paraId="0000003F" w14:textId="77777777" w:rsidR="001E3361" w:rsidRPr="009C349F" w:rsidRDefault="00000000" w:rsidP="009C349F">
      <w:pPr>
        <w:pStyle w:val="Prrafodelista"/>
        <w:numPr>
          <w:ilvl w:val="0"/>
          <w:numId w:val="5"/>
        </w:numPr>
        <w:jc w:val="both"/>
        <w:rPr>
          <w:rFonts w:ascii="Verdana" w:eastAsia="Verdana" w:hAnsi="Verdana" w:cs="Verdana"/>
          <w:sz w:val="22"/>
          <w:szCs w:val="22"/>
        </w:rPr>
      </w:pPr>
      <w:r w:rsidRPr="009C349F">
        <w:rPr>
          <w:rFonts w:ascii="Verdana" w:eastAsia="Verdana" w:hAnsi="Verdana" w:cs="Verdana"/>
          <w:sz w:val="22"/>
          <w:szCs w:val="22"/>
        </w:rPr>
        <w:t>directiva o quienes hagan sus veces.</w:t>
      </w:r>
    </w:p>
    <w:p w14:paraId="00000040" w14:textId="3673CCB5" w:rsidR="001E3361" w:rsidRPr="009C349F" w:rsidRDefault="00000000" w:rsidP="009C349F">
      <w:pPr>
        <w:pStyle w:val="Prrafodelista"/>
        <w:numPr>
          <w:ilvl w:val="0"/>
          <w:numId w:val="5"/>
        </w:numPr>
        <w:jc w:val="both"/>
        <w:rPr>
          <w:rFonts w:ascii="Verdana" w:eastAsia="Verdana" w:hAnsi="Verdana" w:cs="Verdana"/>
          <w:sz w:val="22"/>
          <w:szCs w:val="22"/>
        </w:rPr>
      </w:pPr>
      <w:r w:rsidRPr="009C349F">
        <w:rPr>
          <w:rFonts w:ascii="Verdana" w:eastAsia="Verdana" w:hAnsi="Verdana" w:cs="Verdana"/>
          <w:sz w:val="22"/>
          <w:szCs w:val="22"/>
        </w:rPr>
        <w:t>Documento de elección o nombramiento del revisor fiscal, cuando este</w:t>
      </w:r>
    </w:p>
    <w:p w14:paraId="00000041" w14:textId="77777777" w:rsidR="001E3361" w:rsidRPr="009C349F" w:rsidRDefault="00000000" w:rsidP="009C349F">
      <w:pPr>
        <w:pStyle w:val="Prrafodelista"/>
        <w:numPr>
          <w:ilvl w:val="0"/>
          <w:numId w:val="5"/>
        </w:numPr>
        <w:jc w:val="both"/>
        <w:rPr>
          <w:rFonts w:ascii="Verdana" w:eastAsia="Verdana" w:hAnsi="Verdana" w:cs="Verdana"/>
          <w:sz w:val="22"/>
          <w:szCs w:val="22"/>
        </w:rPr>
      </w:pPr>
      <w:r w:rsidRPr="009C349F">
        <w:rPr>
          <w:rFonts w:ascii="Verdana" w:eastAsia="Verdana" w:hAnsi="Verdana" w:cs="Verdana"/>
          <w:sz w:val="22"/>
          <w:szCs w:val="22"/>
        </w:rPr>
        <w:t>último cargo esté previsto</w:t>
      </w:r>
    </w:p>
    <w:p w14:paraId="00000042" w14:textId="469045EE" w:rsidR="001E3361" w:rsidRPr="009C349F" w:rsidRDefault="00000000" w:rsidP="009C349F">
      <w:pPr>
        <w:pStyle w:val="Prrafodelista"/>
        <w:numPr>
          <w:ilvl w:val="0"/>
          <w:numId w:val="5"/>
        </w:numPr>
        <w:jc w:val="both"/>
        <w:rPr>
          <w:rFonts w:ascii="Verdana" w:eastAsia="Verdana" w:hAnsi="Verdana" w:cs="Verdana"/>
          <w:sz w:val="22"/>
          <w:szCs w:val="22"/>
        </w:rPr>
      </w:pPr>
      <w:r w:rsidRPr="009C349F">
        <w:rPr>
          <w:rFonts w:ascii="Verdana" w:eastAsia="Verdana" w:hAnsi="Verdana" w:cs="Verdana"/>
          <w:sz w:val="22"/>
          <w:szCs w:val="22"/>
        </w:rPr>
        <w:t>Documento en el que conste la aceptación de los cargos, así como las</w:t>
      </w:r>
    </w:p>
    <w:p w14:paraId="00000043" w14:textId="77777777" w:rsidR="001E3361" w:rsidRPr="009C349F" w:rsidRDefault="00000000" w:rsidP="009C349F">
      <w:pPr>
        <w:pStyle w:val="Prrafodelista"/>
        <w:numPr>
          <w:ilvl w:val="0"/>
          <w:numId w:val="5"/>
        </w:numPr>
        <w:jc w:val="both"/>
        <w:rPr>
          <w:rFonts w:ascii="Verdana" w:eastAsia="Verdana" w:hAnsi="Verdana" w:cs="Verdana"/>
          <w:sz w:val="22"/>
          <w:szCs w:val="22"/>
        </w:rPr>
      </w:pPr>
      <w:r w:rsidRPr="009C349F">
        <w:rPr>
          <w:rFonts w:ascii="Verdana" w:eastAsia="Verdana" w:hAnsi="Verdana" w:cs="Verdana"/>
          <w:sz w:val="22"/>
          <w:szCs w:val="22"/>
        </w:rPr>
        <w:t>copias de los documentos de identificación de los integrantes.</w:t>
      </w:r>
    </w:p>
    <w:p w14:paraId="00000044"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 xml:space="preserve">3. Presentar los certificados vigentes de antecedentes penales, disciplinarios o fiscales, medidas correctivas o inhabilidades por delitos </w:t>
      </w:r>
      <w:r>
        <w:rPr>
          <w:rFonts w:ascii="Verdana" w:eastAsia="Verdana" w:hAnsi="Verdana" w:cs="Verdana"/>
          <w:sz w:val="22"/>
          <w:szCs w:val="22"/>
        </w:rPr>
        <w:lastRenderedPageBreak/>
        <w:t>sexuales, expedidos por las autoridades competentes, del representante legal y los integrantes de la junta directiva u órgano de administración, en los que conste que éstos no cuentan con sanciones, penas o inhabilidades.</w:t>
      </w:r>
    </w:p>
    <w:p w14:paraId="00000045"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4. Contar con bienes o patrimonio para el cumplimiento del objeto social para el que se ha creado. Lo anterior, de conformidad con los documentos técnicos que para el efecto defina el ICBF.</w:t>
      </w:r>
    </w:p>
    <w:p w14:paraId="00000046"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5. Estar inscrito en el Registro Único de Oferentes del ICBF. El cumplimiento de este requisito se validará una vez la institución realice la formalización del Registro Único Tributario ante la autoridad competente.</w:t>
      </w:r>
    </w:p>
    <w:p w14:paraId="00000047"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6. Sin perjuicio de lo anterior, se deberá dar cumplimiento a los requisitos específicos adicionales establecidos en los documentos técnicos que expida el ICBF para tal fin.</w:t>
      </w:r>
    </w:p>
    <w:p w14:paraId="00000048" w14:textId="77777777" w:rsidR="001E3361" w:rsidRDefault="00000000" w:rsidP="009C349F">
      <w:pPr>
        <w:ind w:left="567"/>
        <w:jc w:val="both"/>
        <w:rPr>
          <w:rFonts w:ascii="Verdana" w:eastAsia="Verdana" w:hAnsi="Verdana" w:cs="Verdana"/>
          <w:sz w:val="22"/>
          <w:szCs w:val="22"/>
        </w:rPr>
      </w:pPr>
      <w:r>
        <w:rPr>
          <w:rFonts w:ascii="Verdana" w:eastAsia="Verdana" w:hAnsi="Verdana" w:cs="Verdana"/>
          <w:b/>
          <w:bCs/>
          <w:sz w:val="22"/>
          <w:szCs w:val="22"/>
        </w:rPr>
        <w:t>PARÁGRAFO.</w:t>
      </w:r>
      <w:r>
        <w:rPr>
          <w:rFonts w:ascii="Verdana" w:eastAsia="Verdana" w:hAnsi="Verdana" w:cs="Verdana"/>
          <w:sz w:val="22"/>
          <w:szCs w:val="22"/>
        </w:rPr>
        <w:t xml:space="preserve"> De manera adicional, el ICBF verificará que el representante legal y los integrantes de la junta directiva o el órgano que haga sus veces, no cuenten con inhabilidades, incompatibilidades o conflictos de intereses y no hagan parte de una persona jurídica diferente que haya sido sancionada por el ICBF en el marco de un proceso administrativo sancionatorio adelantado por la Oficina de Aseguramiento a la Calidad o un proceso administrativo sancionatorio contractual, de tal forma que se permita determinar su solvencia moral y mitigar riesgos frente a la prestación de los servicios de protección dirigidos a niñas, niños, adolescentes, jóvenes o las familias, de conformidad con lo dispuesto en la normatividad vigente”.</w:t>
      </w:r>
    </w:p>
    <w:p w14:paraId="00000049" w14:textId="77777777" w:rsidR="001E3361" w:rsidRDefault="001E3361">
      <w:pPr>
        <w:jc w:val="both"/>
        <w:rPr>
          <w:rFonts w:ascii="Verdana" w:eastAsia="Verdana" w:hAnsi="Verdana" w:cs="Verdana"/>
          <w:b/>
          <w:bCs/>
          <w:sz w:val="22"/>
          <w:szCs w:val="22"/>
        </w:rPr>
      </w:pPr>
    </w:p>
    <w:p w14:paraId="0000004A" w14:textId="7ABC3839"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9C349F">
        <w:rPr>
          <w:rFonts w:ascii="Verdana" w:eastAsia="Verdana" w:hAnsi="Verdana" w:cs="Verdana"/>
          <w:b/>
          <w:bCs/>
          <w:sz w:val="22"/>
          <w:szCs w:val="22"/>
        </w:rPr>
        <w:t>3</w:t>
      </w:r>
      <w:r>
        <w:rPr>
          <w:rFonts w:ascii="Verdana" w:eastAsia="Verdana" w:hAnsi="Verdana" w:cs="Verdana"/>
          <w:b/>
          <w:bCs/>
          <w:sz w:val="22"/>
          <w:szCs w:val="22"/>
        </w:rPr>
        <w:t>.</w:t>
      </w:r>
      <w:r>
        <w:rPr>
          <w:rFonts w:ascii="Verdana" w:eastAsia="Verdana" w:hAnsi="Verdana" w:cs="Verdana"/>
          <w:sz w:val="22"/>
          <w:szCs w:val="22"/>
        </w:rPr>
        <w:t xml:space="preserve"> Modifíquese el artículo 7° de la Resolución 6300 de 2024, el cual quedará así:</w:t>
      </w:r>
    </w:p>
    <w:p w14:paraId="0000004B" w14:textId="62EF6B53" w:rsidR="001E3361" w:rsidRDefault="00000000" w:rsidP="009C349F">
      <w:pPr>
        <w:ind w:left="567"/>
        <w:jc w:val="both"/>
        <w:rPr>
          <w:rFonts w:ascii="Verdana" w:eastAsia="Verdana" w:hAnsi="Verdana" w:cs="Verdana"/>
          <w:sz w:val="22"/>
          <w:szCs w:val="22"/>
        </w:rPr>
      </w:pPr>
      <w:r w:rsidRPr="009C349F">
        <w:rPr>
          <w:rFonts w:ascii="Verdana" w:eastAsia="Verdana" w:hAnsi="Verdana" w:cs="Verdana"/>
          <w:b/>
          <w:bCs/>
          <w:sz w:val="22"/>
          <w:szCs w:val="22"/>
        </w:rPr>
        <w:t xml:space="preserve">“ARTÍCULO </w:t>
      </w:r>
      <w:r w:rsidR="009C349F">
        <w:rPr>
          <w:rFonts w:ascii="Verdana" w:eastAsia="Verdana" w:hAnsi="Verdana" w:cs="Verdana"/>
          <w:b/>
          <w:bCs/>
          <w:sz w:val="22"/>
          <w:szCs w:val="22"/>
        </w:rPr>
        <w:t>7</w:t>
      </w:r>
      <w:r w:rsidRPr="009C349F">
        <w:rPr>
          <w:rFonts w:ascii="Verdana" w:eastAsia="Verdana" w:hAnsi="Verdana" w:cs="Verdana"/>
          <w:b/>
          <w:bCs/>
          <w:sz w:val="22"/>
          <w:szCs w:val="22"/>
        </w:rPr>
        <w:t>. REQUISITOS GENERALES PARA EL RECONOCIMIENTO DE PERSONERÍAS JURÍDICAS.</w:t>
      </w:r>
      <w:r>
        <w:rPr>
          <w:rFonts w:ascii="Verdana" w:eastAsia="Verdana" w:hAnsi="Verdana" w:cs="Verdana"/>
          <w:sz w:val="22"/>
          <w:szCs w:val="22"/>
        </w:rPr>
        <w:t xml:space="preserve"> Las instituciones interesadas en obtener el reconocimiento de personería jurídica para la prestación de los servicios de protección dirigidos a niñas, niños, adolescentes, jóvenes o las familias, deberán</w:t>
      </w:r>
      <w:r>
        <w:t xml:space="preserve"> </w:t>
      </w:r>
      <w:r>
        <w:rPr>
          <w:rFonts w:ascii="Verdana" w:eastAsia="Verdana" w:hAnsi="Verdana" w:cs="Verdana"/>
          <w:sz w:val="22"/>
          <w:szCs w:val="22"/>
        </w:rPr>
        <w:t>acreditar que se encuentran debidamente constituidos ante la autoridad competente.</w:t>
      </w:r>
    </w:p>
    <w:p w14:paraId="0000004C"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En todos los casos, su objeto social u objetivos específicos deben estar relacionados con la prestación de los servicios de protección dirigidos a niñas, niños, adolescentes, jóvenes o las familias, para lo cual deberá cumplir con los siguientes requisitos:</w:t>
      </w:r>
    </w:p>
    <w:p w14:paraId="0000004D"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lastRenderedPageBreak/>
        <w:t>1. Documento o acto administrativo que otorgó o reconoció la personería jurídica, expedido por la autoridad competente. Para aquellas instituciones inscritas en Cámara de Comercio se deberá presentar el certificado de existencia y representación legal vigente.</w:t>
      </w:r>
    </w:p>
    <w:p w14:paraId="0000004E"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2. Estatutos vigentes o el documento que por la naturaleza jurídica de la institución haga sus veces.</w:t>
      </w:r>
    </w:p>
    <w:p w14:paraId="0000004F"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3. Certificado que indique la composición de la junta directiva u órgano de administración.</w:t>
      </w:r>
    </w:p>
    <w:p w14:paraId="00000050"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4. Certificados vigentes de antecedentes penales, disciplinarios o fiscales, medidas correctivas o inhabilidades por delitos sexuales, expedidos por las autoridades competentes, del representante legal y los integrantes de la junta directiva u órgano de administración, en los que conste que éstos no cuentan con sanciones, penas o inhabilidades.</w:t>
      </w:r>
    </w:p>
    <w:p w14:paraId="00000051"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5. Certificación suscrita por la autoridad que ejerce las funciones de inspección, vigilancia y control sobre la persona jurídica, en la que se indique que la institución interesada no tiene pendiente el cumplimiento de una sanción impuesta.</w:t>
      </w:r>
    </w:p>
    <w:p w14:paraId="00000052"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6. No tener sanciones por procedimientos administrativos sancionatorios contractuales de los que trata el artículo 86 de la Ley 1474 de 2011 por incumplimientos parciales o totales de las obligaciones de contratos suscritos con otras entidades del Estado.</w:t>
      </w:r>
    </w:p>
    <w:p w14:paraId="00000053"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7. No tener pendiente de ejecución, sanciones impuestas por otra entidad pública. En todo caso, el ICBF validará el cumplimiento de este requisito en las bases de datos dispuestas para tal fin.</w:t>
      </w:r>
    </w:p>
    <w:p w14:paraId="00000054"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8. Estar inscrito en el Registro Único de Oferentes del ICBF.</w:t>
      </w:r>
    </w:p>
    <w:p w14:paraId="00000055"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9. Sin perjuicio de lo anterior, se deberá dar cumplimiento a los requisitos específicos adicionales establecidos en los documentos técnicos que expida el ICBF para tal fin.</w:t>
      </w:r>
    </w:p>
    <w:p w14:paraId="00000056" w14:textId="178DAE56" w:rsidR="001E3361" w:rsidRDefault="00000000" w:rsidP="009C349F">
      <w:pPr>
        <w:ind w:left="567"/>
        <w:jc w:val="both"/>
        <w:rPr>
          <w:rFonts w:ascii="Verdana" w:eastAsia="Verdana" w:hAnsi="Verdana" w:cs="Verdana"/>
          <w:sz w:val="22"/>
          <w:szCs w:val="22"/>
        </w:rPr>
      </w:pPr>
      <w:r>
        <w:rPr>
          <w:rFonts w:ascii="Verdana" w:eastAsia="Verdana" w:hAnsi="Verdana" w:cs="Verdana"/>
          <w:b/>
          <w:bCs/>
          <w:sz w:val="22"/>
          <w:szCs w:val="22"/>
        </w:rPr>
        <w:t xml:space="preserve">PARÁGRAFO </w:t>
      </w:r>
      <w:r w:rsidR="009C349F">
        <w:rPr>
          <w:rFonts w:ascii="Verdana" w:eastAsia="Verdana" w:hAnsi="Verdana" w:cs="Verdana"/>
          <w:b/>
          <w:bCs/>
          <w:sz w:val="22"/>
          <w:szCs w:val="22"/>
        </w:rPr>
        <w:t>1</w:t>
      </w:r>
      <w:r>
        <w:rPr>
          <w:rFonts w:ascii="Verdana" w:eastAsia="Verdana" w:hAnsi="Verdana" w:cs="Verdana"/>
          <w:b/>
          <w:bCs/>
          <w:sz w:val="22"/>
          <w:szCs w:val="22"/>
        </w:rPr>
        <w:t>.</w:t>
      </w:r>
      <w:r>
        <w:rPr>
          <w:rFonts w:ascii="Verdana" w:eastAsia="Verdana" w:hAnsi="Verdana" w:cs="Verdana"/>
          <w:sz w:val="22"/>
          <w:szCs w:val="22"/>
        </w:rPr>
        <w:t xml:space="preserve"> De manera adicional, el ICBF verificará que el representante legal y los integrantes de la junta directiva o el órgano que haga sus veces, no cuenten con inhabilidades, incompatibilidades o conflictos de intereses y no hagan parte de una persona jurídica diferente que haya sido sancionada por el ICBF en el marco de un proceso administrativo sancionatorio adelantado por la Oficina de Aseguramiento a la Calidad o un proceso administrativo sancionatorio contractual, de tal forma que se permita determinar su solvencia moral y mitigar riesgos frente a la prestación de los servicios de protección dirigidos a niñas, niños, </w:t>
      </w:r>
      <w:r>
        <w:rPr>
          <w:rFonts w:ascii="Verdana" w:eastAsia="Verdana" w:hAnsi="Verdana" w:cs="Verdana"/>
          <w:sz w:val="22"/>
          <w:szCs w:val="22"/>
        </w:rPr>
        <w:lastRenderedPageBreak/>
        <w:t>adolescentes, jóvenes o las familias, de conformidad con lo dispuesto en la normatividad vigente.</w:t>
      </w:r>
    </w:p>
    <w:p w14:paraId="00000057" w14:textId="01902623" w:rsidR="001E3361" w:rsidRDefault="00000000" w:rsidP="009C349F">
      <w:pPr>
        <w:ind w:left="567"/>
        <w:jc w:val="both"/>
        <w:rPr>
          <w:rFonts w:ascii="Verdana" w:eastAsia="Verdana" w:hAnsi="Verdana" w:cs="Verdana"/>
          <w:sz w:val="22"/>
          <w:szCs w:val="22"/>
        </w:rPr>
      </w:pPr>
      <w:r>
        <w:rPr>
          <w:rFonts w:ascii="Verdana" w:eastAsia="Verdana" w:hAnsi="Verdana" w:cs="Verdana"/>
          <w:b/>
          <w:bCs/>
          <w:sz w:val="22"/>
          <w:szCs w:val="22"/>
        </w:rPr>
        <w:t xml:space="preserve">PARÁGRAFO </w:t>
      </w:r>
      <w:r w:rsidR="009C349F">
        <w:rPr>
          <w:rFonts w:ascii="Verdana" w:eastAsia="Verdana" w:hAnsi="Verdana" w:cs="Verdana"/>
          <w:b/>
          <w:bCs/>
          <w:sz w:val="22"/>
          <w:szCs w:val="22"/>
        </w:rPr>
        <w:t>2</w:t>
      </w:r>
      <w:r>
        <w:rPr>
          <w:rFonts w:ascii="Verdana" w:eastAsia="Verdana" w:hAnsi="Verdana" w:cs="Verdana"/>
          <w:b/>
          <w:bCs/>
          <w:sz w:val="22"/>
          <w:szCs w:val="22"/>
        </w:rPr>
        <w:t xml:space="preserve">. </w:t>
      </w:r>
      <w:r>
        <w:rPr>
          <w:rFonts w:ascii="Verdana" w:eastAsia="Verdana" w:hAnsi="Verdana" w:cs="Verdana"/>
          <w:sz w:val="22"/>
          <w:szCs w:val="22"/>
        </w:rPr>
        <w:t>Todas las instituciones que presten o deseen prestar los servicios de protección a niñas, niños, adolescentes, jóvenes y las familias en el territorio nacional, sin excepción, deberán contar con el reconocimiento de la personería jurídica por parte del ICBF.”</w:t>
      </w:r>
    </w:p>
    <w:p w14:paraId="00000058" w14:textId="4D807928"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9C349F">
        <w:rPr>
          <w:rFonts w:ascii="Verdana" w:eastAsia="Verdana" w:hAnsi="Verdana" w:cs="Verdana"/>
          <w:b/>
          <w:bCs/>
          <w:sz w:val="22"/>
          <w:szCs w:val="22"/>
        </w:rPr>
        <w:t>4</w:t>
      </w:r>
      <w:r>
        <w:rPr>
          <w:rFonts w:ascii="Verdana" w:eastAsia="Verdana" w:hAnsi="Verdana" w:cs="Verdana"/>
          <w:b/>
          <w:bCs/>
          <w:sz w:val="22"/>
          <w:szCs w:val="22"/>
        </w:rPr>
        <w:t>.</w:t>
      </w:r>
      <w:r>
        <w:rPr>
          <w:rFonts w:ascii="Verdana" w:eastAsia="Verdana" w:hAnsi="Verdana" w:cs="Verdana"/>
          <w:sz w:val="22"/>
          <w:szCs w:val="22"/>
        </w:rPr>
        <w:t xml:space="preserve"> Modifíquese el artículo 8° de la Resolución 6300 de 2024, el cual quedará así:</w:t>
      </w:r>
    </w:p>
    <w:p w14:paraId="00000059" w14:textId="28DD36EB"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w:t>
      </w:r>
      <w:r w:rsidRPr="009C349F">
        <w:rPr>
          <w:rFonts w:ascii="Verdana" w:eastAsia="Verdana" w:hAnsi="Verdana" w:cs="Verdana"/>
          <w:b/>
          <w:bCs/>
          <w:sz w:val="22"/>
          <w:szCs w:val="22"/>
        </w:rPr>
        <w:t xml:space="preserve">ARTÍCULO </w:t>
      </w:r>
      <w:r w:rsidR="009C349F" w:rsidRPr="009C349F">
        <w:rPr>
          <w:rFonts w:ascii="Verdana" w:eastAsia="Verdana" w:hAnsi="Verdana" w:cs="Verdana"/>
          <w:b/>
          <w:bCs/>
          <w:sz w:val="22"/>
          <w:szCs w:val="22"/>
        </w:rPr>
        <w:t>8</w:t>
      </w:r>
      <w:r w:rsidRPr="009C349F">
        <w:rPr>
          <w:rFonts w:ascii="Verdana" w:eastAsia="Verdana" w:hAnsi="Verdana" w:cs="Verdana"/>
          <w:b/>
          <w:bCs/>
          <w:sz w:val="22"/>
          <w:szCs w:val="22"/>
        </w:rPr>
        <w:t>. RECONOCIMIENTO PARA GRUPOS ÉTNICOS Y OTRAS FORMAS Y EXPRESIONES ORGANIZATIVAS CAMPESINAS Y DE LA SOCIEDAD CIVIL.</w:t>
      </w:r>
      <w:r>
        <w:rPr>
          <w:rFonts w:ascii="Verdana" w:eastAsia="Verdana" w:hAnsi="Verdana" w:cs="Verdana"/>
          <w:sz w:val="22"/>
          <w:szCs w:val="22"/>
        </w:rPr>
        <w:t xml:space="preserve"> Los colectivos de grupos étnicos y otras formas y expresiones organizativas campesinas y de la sociedad civil interesadas en obtener el reconocimiento para prestar los servicios de protección dirigidos a niñas, niños, adolescentes, jóvenes o las familias, deberán acreditar que se encuentran debidamente constituidos ante la autoridad competente.</w:t>
      </w:r>
    </w:p>
    <w:p w14:paraId="0000005A"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En todos los casos, su objeto social u objetivos específicos deben estar relacionados con la prestación de los servicios de protección dirigidos a niñas, niños, adolescentes, jóvenes o las familias.</w:t>
      </w:r>
    </w:p>
    <w:p w14:paraId="0000005B"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Los interesados en obtener el reconocimiento de la personería jurídica deberán presentar ante la Oficina de Aseguramiento a la Calidad del ICBF, los soportes que demuestren que cumplen con los siguientes requisitos:</w:t>
      </w:r>
    </w:p>
    <w:p w14:paraId="0000005C"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1. Documento que lo acredite como grupo étnico u organización campesina o de la sociedad civil, expedida por autoridad competente.</w:t>
      </w:r>
    </w:p>
    <w:p w14:paraId="0000005D"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2. Estatutos vigentes o el documento que por la naturaleza jurídica de la institución haga sus veces.</w:t>
      </w:r>
    </w:p>
    <w:p w14:paraId="0000005E"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3. Certificado que indique la composición de la junta directiva u órgano de administración.</w:t>
      </w:r>
    </w:p>
    <w:p w14:paraId="0000005F"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4. Certificados vigentes de antecedentes penales, disciplinarios o fiscales, medidas correctivas o inhabilidades por delitos sexuales, expedidos por las autoridades competentes, del representante legal y los integrantes de la junta directiva u órgano de administración, en los que conste que éstos no cuentan con sanciones, penas o inhabilidades.</w:t>
      </w:r>
    </w:p>
    <w:p w14:paraId="00000060"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5. Certificación suscrita por la autoridad que ejerce las funciones de inspección, vigilancia y control sobre la persona jurídica, en la que se indique que la institución interesada no tiene pendiente el cumplimiento de una sanción impuesta.</w:t>
      </w:r>
    </w:p>
    <w:p w14:paraId="00000061"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lastRenderedPageBreak/>
        <w:t>6. No tener sanciones por procedimientos administrativos sancionatorios contractuales de los que trata el artículo 86 de la Ley 1474 de 2011 por incumplimientos parciales o totales de las obligaciones de contratos suscritos con otras entidades del Estado.</w:t>
      </w:r>
    </w:p>
    <w:p w14:paraId="00000062" w14:textId="77777777" w:rsidR="001E3361" w:rsidRDefault="00000000" w:rsidP="009C349F">
      <w:pPr>
        <w:ind w:left="567"/>
        <w:rPr>
          <w:rFonts w:ascii="Verdana" w:eastAsia="Verdana" w:hAnsi="Verdana" w:cs="Verdana"/>
          <w:sz w:val="22"/>
          <w:szCs w:val="22"/>
        </w:rPr>
      </w:pPr>
      <w:r>
        <w:rPr>
          <w:rFonts w:ascii="Verdana" w:eastAsia="Verdana" w:hAnsi="Verdana" w:cs="Verdana"/>
          <w:sz w:val="22"/>
          <w:szCs w:val="22"/>
        </w:rPr>
        <w:t>7. No tener pendiente de ejecución, sanciones impuestas por otra entidad pública. En todo caso, el ICBF validará el cumplimiento de este requisito en las bases de datos dispuestas para tal fin.</w:t>
      </w:r>
    </w:p>
    <w:p w14:paraId="00000063" w14:textId="77777777" w:rsidR="001E3361" w:rsidRDefault="00000000" w:rsidP="009C349F">
      <w:pPr>
        <w:ind w:left="567"/>
        <w:rPr>
          <w:rFonts w:ascii="Verdana" w:eastAsia="Verdana" w:hAnsi="Verdana" w:cs="Verdana"/>
          <w:sz w:val="22"/>
          <w:szCs w:val="22"/>
        </w:rPr>
      </w:pPr>
      <w:r>
        <w:rPr>
          <w:rFonts w:ascii="Verdana" w:eastAsia="Verdana" w:hAnsi="Verdana" w:cs="Verdana"/>
          <w:sz w:val="22"/>
          <w:szCs w:val="22"/>
        </w:rPr>
        <w:t>8. Estar inscrito en el Registro Único de Oferentes del ICBF.</w:t>
      </w:r>
    </w:p>
    <w:p w14:paraId="00000064" w14:textId="77777777" w:rsidR="001E3361" w:rsidRDefault="00000000" w:rsidP="009C349F">
      <w:pPr>
        <w:ind w:left="567"/>
        <w:rPr>
          <w:rFonts w:ascii="Verdana" w:eastAsia="Verdana" w:hAnsi="Verdana" w:cs="Verdana"/>
          <w:sz w:val="22"/>
          <w:szCs w:val="22"/>
        </w:rPr>
      </w:pPr>
      <w:r>
        <w:rPr>
          <w:rFonts w:ascii="Verdana" w:eastAsia="Verdana" w:hAnsi="Verdana" w:cs="Verdana"/>
          <w:sz w:val="22"/>
          <w:szCs w:val="22"/>
        </w:rPr>
        <w:t>9. Sin perjuicio de lo anterior, se deberá dar cumplimiento a los requisitos específicos adicionales establecidos en los documentos técnicos que expida el ICBF para tal fin.</w:t>
      </w:r>
    </w:p>
    <w:p w14:paraId="00000065" w14:textId="77777777" w:rsidR="001E3361" w:rsidRDefault="00000000" w:rsidP="009C349F">
      <w:pPr>
        <w:ind w:left="567"/>
        <w:jc w:val="both"/>
        <w:rPr>
          <w:rFonts w:ascii="Verdana" w:eastAsia="Verdana" w:hAnsi="Verdana" w:cs="Verdana"/>
          <w:sz w:val="22"/>
          <w:szCs w:val="22"/>
        </w:rPr>
      </w:pPr>
      <w:r>
        <w:rPr>
          <w:rFonts w:ascii="Verdana" w:eastAsia="Verdana" w:hAnsi="Verdana" w:cs="Verdana"/>
          <w:b/>
          <w:bCs/>
          <w:sz w:val="22"/>
          <w:szCs w:val="22"/>
        </w:rPr>
        <w:t>PARÁGRAFO.</w:t>
      </w:r>
      <w:r>
        <w:rPr>
          <w:rFonts w:ascii="Verdana" w:eastAsia="Verdana" w:hAnsi="Verdana" w:cs="Verdana"/>
          <w:sz w:val="22"/>
          <w:szCs w:val="22"/>
        </w:rPr>
        <w:t xml:space="preserve"> De manera adicional, el ICBF verificará que el representante legal y los integrantes de la junta directiva o el órgano que haga sus veces, no cuenten con inhabilidades, incompatibilidades o conflictos de intereses y no hagan parte de una persona jurídica diferente que haya sido sancionada por el ICBF en el marco de un proceso administrativo sancionatorio adelantado por la Oficina de Aseguramiento a la Calidad o un proceso administrativo sancionatorio contractual, de tal forma que se permita determinar su solvencia moral y mitigar riesgos frente a la prestación de los servicios de protección dirigidos a niñas, niños, adolescentes, jóvenes o las familias, de conformidad con lo dispuesto en la normatividad vigente.”</w:t>
      </w:r>
    </w:p>
    <w:p w14:paraId="00000067" w14:textId="1F131144"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9C349F">
        <w:rPr>
          <w:rFonts w:ascii="Verdana" w:eastAsia="Verdana" w:hAnsi="Verdana" w:cs="Verdana"/>
          <w:b/>
          <w:bCs/>
          <w:sz w:val="22"/>
          <w:szCs w:val="22"/>
        </w:rPr>
        <w:t>5</w:t>
      </w:r>
      <w:r>
        <w:rPr>
          <w:rFonts w:ascii="Verdana" w:eastAsia="Verdana" w:hAnsi="Verdana" w:cs="Verdana"/>
          <w:sz w:val="22"/>
          <w:szCs w:val="22"/>
        </w:rPr>
        <w:t>. Modifíquese el artículo 9° de la Resolución 6300 de 2024, el cual quedará así:</w:t>
      </w:r>
    </w:p>
    <w:p w14:paraId="00000068" w14:textId="3C1A63C6"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w:t>
      </w:r>
      <w:r w:rsidRPr="009C349F">
        <w:rPr>
          <w:rFonts w:ascii="Verdana" w:eastAsia="Verdana" w:hAnsi="Verdana" w:cs="Verdana"/>
          <w:b/>
          <w:bCs/>
          <w:sz w:val="22"/>
          <w:szCs w:val="22"/>
        </w:rPr>
        <w:t xml:space="preserve">ARTÍCULO </w:t>
      </w:r>
      <w:r w:rsidR="001E275F">
        <w:rPr>
          <w:rFonts w:ascii="Verdana" w:eastAsia="Verdana" w:hAnsi="Verdana" w:cs="Verdana"/>
          <w:b/>
          <w:bCs/>
          <w:sz w:val="22"/>
          <w:szCs w:val="22"/>
        </w:rPr>
        <w:t>9</w:t>
      </w:r>
      <w:r w:rsidRPr="009C349F">
        <w:rPr>
          <w:rFonts w:ascii="Verdana" w:eastAsia="Verdana" w:hAnsi="Verdana" w:cs="Verdana"/>
          <w:b/>
          <w:bCs/>
          <w:sz w:val="22"/>
          <w:szCs w:val="22"/>
        </w:rPr>
        <w:t>. DEBER DE ACTUALIZACIÓN DE LA INFORMACIÓN DE LA PERSONA JURÍDICA.</w:t>
      </w:r>
      <w:r>
        <w:rPr>
          <w:rFonts w:ascii="Verdana" w:eastAsia="Verdana" w:hAnsi="Verdana" w:cs="Verdana"/>
          <w:sz w:val="22"/>
          <w:szCs w:val="22"/>
        </w:rPr>
        <w:t xml:space="preserve"> Las instituciones que cuenten con personería jurídica otorgada por el ICBF deberán actualizar la información relacionada con reformas estatutarias, inscripción de los representantes legales, órganos directivos y demás dignatarios de las instituciones, de la siguiente forma:</w:t>
      </w:r>
    </w:p>
    <w:p w14:paraId="00000069"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1. Cuando la personería jurídica haya sido otorgada por el ICBF Sede Nacional, la actualización de la información se adelantará ante la Oficina de Aseguramiento a la Calidad.</w:t>
      </w:r>
    </w:p>
    <w:p w14:paraId="0000006A"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2. Cuando la personería jurídica haya sido otorgada por alguna de las Direcciones Regionales del ICBF, la actualización de la información se adelantará ante la correspondiente Dirección Regional.</w:t>
      </w:r>
    </w:p>
    <w:p w14:paraId="0000006B"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lastRenderedPageBreak/>
        <w:t>3. Cuando la personería jurídica haya sido expedida por otra autoridad competente y reconocidas por el ICBF, deberán adelantar la actualización de la información relacionada con reformas estatutarias y cualquier otro tipo de información relevante, inscripción de los representantes legales, órganos directivos, demás dignatarios ante dicha autoridad. Sin perjuicio de lo anterior, la información actualizada deberá ser remitida, según corresponda, a la Sede Nacional o Dirección Regional del ICBF.</w:t>
      </w:r>
    </w:p>
    <w:p w14:paraId="0000006C" w14:textId="31F5575F"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9C349F">
        <w:rPr>
          <w:rFonts w:ascii="Verdana" w:eastAsia="Verdana" w:hAnsi="Verdana" w:cs="Verdana"/>
          <w:b/>
          <w:bCs/>
          <w:sz w:val="22"/>
          <w:szCs w:val="22"/>
        </w:rPr>
        <w:t>6</w:t>
      </w:r>
      <w:r>
        <w:rPr>
          <w:rFonts w:ascii="Verdana" w:eastAsia="Verdana" w:hAnsi="Verdana" w:cs="Verdana"/>
          <w:b/>
          <w:bCs/>
          <w:sz w:val="22"/>
          <w:szCs w:val="22"/>
        </w:rPr>
        <w:t>.</w:t>
      </w:r>
      <w:r>
        <w:rPr>
          <w:rFonts w:ascii="Verdana" w:eastAsia="Verdana" w:hAnsi="Verdana" w:cs="Verdana"/>
          <w:sz w:val="22"/>
          <w:szCs w:val="22"/>
        </w:rPr>
        <w:t xml:space="preserve"> Modifíquese el artículo 14° de la Resolución 6300 de 2024, el cual quedará así:</w:t>
      </w:r>
    </w:p>
    <w:p w14:paraId="0000006D" w14:textId="23608280"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w:t>
      </w:r>
      <w:r>
        <w:rPr>
          <w:rFonts w:ascii="Verdana" w:eastAsia="Verdana" w:hAnsi="Verdana" w:cs="Verdana"/>
          <w:b/>
          <w:bCs/>
          <w:sz w:val="22"/>
          <w:szCs w:val="22"/>
        </w:rPr>
        <w:t xml:space="preserve">ARTÍCULO </w:t>
      </w:r>
      <w:r w:rsidR="00EC2229">
        <w:rPr>
          <w:rFonts w:ascii="Verdana" w:eastAsia="Verdana" w:hAnsi="Verdana" w:cs="Verdana"/>
          <w:b/>
          <w:bCs/>
          <w:sz w:val="22"/>
          <w:szCs w:val="22"/>
        </w:rPr>
        <w:t>14</w:t>
      </w:r>
      <w:r>
        <w:rPr>
          <w:rFonts w:ascii="Verdana" w:eastAsia="Verdana" w:hAnsi="Verdana" w:cs="Verdana"/>
          <w:b/>
          <w:bCs/>
          <w:sz w:val="22"/>
          <w:szCs w:val="22"/>
        </w:rPr>
        <w:t>.</w:t>
      </w:r>
      <w:r>
        <w:rPr>
          <w:rFonts w:ascii="Verdana" w:eastAsia="Verdana" w:hAnsi="Verdana" w:cs="Verdana"/>
          <w:sz w:val="22"/>
          <w:szCs w:val="22"/>
        </w:rPr>
        <w:t xml:space="preserve"> </w:t>
      </w:r>
      <w:r w:rsidRPr="009C349F">
        <w:rPr>
          <w:rFonts w:ascii="Verdana" w:eastAsia="Verdana" w:hAnsi="Verdana" w:cs="Verdana"/>
          <w:b/>
          <w:bCs/>
          <w:sz w:val="22"/>
          <w:szCs w:val="22"/>
        </w:rPr>
        <w:t xml:space="preserve">LICENCIA DE FUNCIONAMIENTO. </w:t>
      </w:r>
      <w:r>
        <w:rPr>
          <w:rFonts w:ascii="Verdana" w:eastAsia="Verdana" w:hAnsi="Verdana" w:cs="Verdana"/>
          <w:sz w:val="22"/>
          <w:szCs w:val="22"/>
        </w:rPr>
        <w:t>El ICBF podrá otorgar, renovar, modificar, suspender y cancelar las licencias de funcionamiento para la prestación de los servicios de protección dirigidos a niñas, niños, adolescentes y jóvenes o las familias en el territorio nacional, incluidas las relacionadas con el programa de adopción. Asimismo, definirá los servicios de protección que por su naturaleza requieran de licencia de funcionamiento.</w:t>
      </w:r>
    </w:p>
    <w:p w14:paraId="0000006E"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Se otorgará una licencia de funcionamiento por cada modalidad y/o servicio, población e inmueble, de acuerdo con lo establecido en los documentos técnicos que el ICBF defina para tal fin.</w:t>
      </w:r>
    </w:p>
    <w:p w14:paraId="0000006F" w14:textId="77777777" w:rsidR="001E3361" w:rsidRDefault="00000000" w:rsidP="009C349F">
      <w:pPr>
        <w:ind w:left="567"/>
        <w:jc w:val="both"/>
        <w:rPr>
          <w:rFonts w:ascii="Verdana" w:eastAsia="Verdana" w:hAnsi="Verdana" w:cs="Verdana"/>
          <w:sz w:val="22"/>
          <w:szCs w:val="22"/>
        </w:rPr>
      </w:pPr>
      <w:r>
        <w:rPr>
          <w:rFonts w:ascii="Verdana" w:eastAsia="Verdana" w:hAnsi="Verdana" w:cs="Verdana"/>
          <w:sz w:val="22"/>
          <w:szCs w:val="22"/>
        </w:rPr>
        <w:t>Para la expedición de la licencia de funcionamiento se tendrán en cuenta las siguientes excepciones:</w:t>
      </w:r>
    </w:p>
    <w:p w14:paraId="00000071" w14:textId="42A3BA10" w:rsidR="001E3361" w:rsidRPr="009C349F" w:rsidRDefault="00000000" w:rsidP="009C349F">
      <w:pPr>
        <w:numPr>
          <w:ilvl w:val="0"/>
          <w:numId w:val="1"/>
        </w:numPr>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Cuando la persona jurídica atienda una misma modalidad con la misma población en varias edificaciones de un mismo inmueble y se desarrolle en cada edificación todos los componentes del proceso de atención. En estos casos se otorgará una sola licencia de funcionamiento indicando la capacidad instalada por cada edificación.</w:t>
      </w:r>
    </w:p>
    <w:p w14:paraId="00000072" w14:textId="3C427895" w:rsidR="001E3361" w:rsidRPr="009C349F" w:rsidRDefault="00000000" w:rsidP="009C349F">
      <w:pPr>
        <w:pStyle w:val="Prrafodelista"/>
        <w:numPr>
          <w:ilvl w:val="0"/>
          <w:numId w:val="1"/>
        </w:numPr>
        <w:jc w:val="both"/>
        <w:rPr>
          <w:rFonts w:ascii="Verdana" w:eastAsia="Verdana" w:hAnsi="Verdana" w:cs="Verdana"/>
          <w:sz w:val="22"/>
          <w:szCs w:val="22"/>
        </w:rPr>
      </w:pPr>
      <w:r w:rsidRPr="009C349F">
        <w:rPr>
          <w:rFonts w:ascii="Verdana" w:eastAsia="Verdana" w:hAnsi="Verdana" w:cs="Verdana"/>
          <w:sz w:val="22"/>
          <w:szCs w:val="22"/>
        </w:rPr>
        <w:t>Cuando la persona jurídica atienda una misma modalidad con la misma población en varios inmuebles y los servicios que se presten en cada uno sean complementarios del proceso de atención; en este caso se otorgará una sola licencia que incluya todos los inmuebles con su capacidad instalada.</w:t>
      </w:r>
    </w:p>
    <w:p w14:paraId="00000073" w14:textId="00F5D7DC" w:rsidR="001E3361" w:rsidRPr="009C349F" w:rsidRDefault="00000000" w:rsidP="009C349F">
      <w:pPr>
        <w:pStyle w:val="Prrafodelista"/>
        <w:numPr>
          <w:ilvl w:val="0"/>
          <w:numId w:val="1"/>
        </w:numPr>
        <w:jc w:val="both"/>
        <w:rPr>
          <w:rFonts w:ascii="Verdana" w:eastAsia="Verdana" w:hAnsi="Verdana" w:cs="Verdana"/>
          <w:sz w:val="22"/>
          <w:szCs w:val="22"/>
        </w:rPr>
      </w:pPr>
      <w:r w:rsidRPr="009C349F">
        <w:rPr>
          <w:rFonts w:ascii="Verdana" w:eastAsia="Verdana" w:hAnsi="Verdana" w:cs="Verdana"/>
          <w:sz w:val="22"/>
          <w:szCs w:val="22"/>
        </w:rPr>
        <w:t>Cuando la persona jurídica desarrolle su proceso de atención en su sede administrativa u operativa, se requerirá licencia de funcionamiento para esta sede y ésta tendrá cobertura departamental o del Distrito Capital.</w:t>
      </w:r>
    </w:p>
    <w:p w14:paraId="00000074" w14:textId="55A02B13" w:rsidR="001E3361" w:rsidRDefault="00000000" w:rsidP="00EC2229">
      <w:pPr>
        <w:ind w:left="426"/>
        <w:jc w:val="both"/>
        <w:rPr>
          <w:rFonts w:ascii="Verdana" w:eastAsia="Verdana" w:hAnsi="Verdana" w:cs="Verdana"/>
          <w:sz w:val="22"/>
          <w:szCs w:val="22"/>
        </w:rPr>
      </w:pPr>
      <w:r>
        <w:rPr>
          <w:rFonts w:ascii="Verdana" w:eastAsia="Verdana" w:hAnsi="Verdana" w:cs="Verdana"/>
          <w:b/>
          <w:bCs/>
          <w:sz w:val="22"/>
          <w:szCs w:val="22"/>
        </w:rPr>
        <w:t>PARÁGRAFO</w:t>
      </w:r>
      <w:r w:rsidR="00EC2229">
        <w:rPr>
          <w:rFonts w:ascii="Verdana" w:eastAsia="Verdana" w:hAnsi="Verdana" w:cs="Verdana"/>
          <w:b/>
          <w:bCs/>
          <w:sz w:val="22"/>
          <w:szCs w:val="22"/>
        </w:rPr>
        <w:t xml:space="preserve"> 1</w:t>
      </w:r>
      <w:r>
        <w:rPr>
          <w:rFonts w:ascii="Verdana" w:eastAsia="Verdana" w:hAnsi="Verdana" w:cs="Verdana"/>
          <w:b/>
          <w:bCs/>
          <w:sz w:val="22"/>
          <w:szCs w:val="22"/>
        </w:rPr>
        <w:t>.</w:t>
      </w:r>
      <w:r>
        <w:rPr>
          <w:rFonts w:ascii="Verdana" w:eastAsia="Verdana" w:hAnsi="Verdana" w:cs="Verdana"/>
          <w:sz w:val="22"/>
          <w:szCs w:val="22"/>
        </w:rPr>
        <w:t xml:space="preserve"> Para prestar los servicios de protección dirigidos a niñas, niños, adolescentes, jóvenes o las familias que no requieran licencia de funcionamiento, las instituciones interesadas y los entes territoriales </w:t>
      </w:r>
      <w:r>
        <w:rPr>
          <w:rFonts w:ascii="Verdana" w:eastAsia="Verdana" w:hAnsi="Verdana" w:cs="Verdana"/>
          <w:sz w:val="22"/>
          <w:szCs w:val="22"/>
        </w:rPr>
        <w:lastRenderedPageBreak/>
        <w:t>deberán cumplir con la normatividad vigente y lo dispuesto en los documentos técnicos definidos por el ICBF.</w:t>
      </w:r>
    </w:p>
    <w:p w14:paraId="00000075" w14:textId="540BD4B8" w:rsidR="001E3361" w:rsidRDefault="00000000" w:rsidP="00EC2229">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EC2229">
        <w:rPr>
          <w:rFonts w:ascii="Verdana" w:eastAsia="Verdana" w:hAnsi="Verdana" w:cs="Verdana"/>
          <w:b/>
          <w:bCs/>
          <w:sz w:val="22"/>
          <w:szCs w:val="22"/>
        </w:rPr>
        <w:t>2</w:t>
      </w:r>
      <w:r>
        <w:rPr>
          <w:rFonts w:ascii="Verdana" w:eastAsia="Verdana" w:hAnsi="Verdana" w:cs="Verdana"/>
          <w:b/>
          <w:bCs/>
          <w:sz w:val="22"/>
          <w:szCs w:val="22"/>
        </w:rPr>
        <w:t>.</w:t>
      </w:r>
      <w:r>
        <w:rPr>
          <w:rFonts w:ascii="Verdana" w:eastAsia="Verdana" w:hAnsi="Verdana" w:cs="Verdana"/>
          <w:sz w:val="22"/>
          <w:szCs w:val="22"/>
        </w:rPr>
        <w:t xml:space="preserve"> Cuando en el trámite de otorgamiento o renovación de la licencia de funcionamiento se identifique la concurrencia de modalidades o poblaciones en un mismo inmueble, la Oficina de Aseguramiento a la Calidad aprobará la viabilidad de esta, de conformidad con lo que defina el ICBF en los documentos técnicos.</w:t>
      </w:r>
    </w:p>
    <w:p w14:paraId="00000076" w14:textId="60A858D8" w:rsidR="001E3361" w:rsidRDefault="00000000" w:rsidP="00EC2229">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EC2229">
        <w:rPr>
          <w:rFonts w:ascii="Verdana" w:eastAsia="Verdana" w:hAnsi="Verdana" w:cs="Verdana"/>
          <w:b/>
          <w:bCs/>
          <w:sz w:val="22"/>
          <w:szCs w:val="22"/>
        </w:rPr>
        <w:t>3</w:t>
      </w:r>
      <w:r>
        <w:rPr>
          <w:rFonts w:ascii="Verdana" w:eastAsia="Verdana" w:hAnsi="Verdana" w:cs="Verdana"/>
          <w:b/>
          <w:bCs/>
          <w:sz w:val="22"/>
          <w:szCs w:val="22"/>
        </w:rPr>
        <w:t>.</w:t>
      </w:r>
      <w:r>
        <w:rPr>
          <w:rFonts w:ascii="Verdana" w:eastAsia="Verdana" w:hAnsi="Verdana" w:cs="Verdana"/>
          <w:sz w:val="22"/>
          <w:szCs w:val="22"/>
        </w:rPr>
        <w:t xml:space="preserve"> Para el otorgamiento y renovación de las licencias de funcionamiento relacionadas con los programas y servicios de adopción, se deberá tener en cuenta lo dispuesto en los instrumentos internacionales que regulan la materia y que han sido ratificados por Colombia, la normatividad nacional vigente y los documentos técnicos que el ICBF expida para tal fin.</w:t>
      </w:r>
    </w:p>
    <w:p w14:paraId="00000077" w14:textId="085C7CF5" w:rsidR="001E3361" w:rsidRDefault="00000000" w:rsidP="00EC2229">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EC2229">
        <w:rPr>
          <w:rFonts w:ascii="Verdana" w:eastAsia="Verdana" w:hAnsi="Verdana" w:cs="Verdana"/>
          <w:b/>
          <w:bCs/>
          <w:sz w:val="22"/>
          <w:szCs w:val="22"/>
        </w:rPr>
        <w:t>4</w:t>
      </w:r>
      <w:r>
        <w:rPr>
          <w:rFonts w:ascii="Verdana" w:eastAsia="Verdana" w:hAnsi="Verdana" w:cs="Verdana"/>
          <w:b/>
          <w:bCs/>
          <w:sz w:val="22"/>
          <w:szCs w:val="22"/>
        </w:rPr>
        <w:t>.</w:t>
      </w:r>
      <w:r>
        <w:rPr>
          <w:rFonts w:ascii="Verdana" w:eastAsia="Verdana" w:hAnsi="Verdana" w:cs="Verdana"/>
          <w:sz w:val="22"/>
          <w:szCs w:val="22"/>
        </w:rPr>
        <w:t xml:space="preserve"> Cuando se compruebe que una institución que requiere de licencia de funcionamiento presta los servicios de protección sin la misma, se informará de este hecho a las alcaldías, gobernaciones u otras autoridades competentes, para que adelanten las acciones administrativas que corresponda.</w:t>
      </w:r>
    </w:p>
    <w:p w14:paraId="00000078" w14:textId="2F345022" w:rsidR="001E3361" w:rsidRDefault="00000000" w:rsidP="00EC2229">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EC2229">
        <w:rPr>
          <w:rFonts w:ascii="Verdana" w:eastAsia="Verdana" w:hAnsi="Verdana" w:cs="Verdana"/>
          <w:b/>
          <w:bCs/>
          <w:sz w:val="22"/>
          <w:szCs w:val="22"/>
        </w:rPr>
        <w:t>5</w:t>
      </w:r>
      <w:r>
        <w:rPr>
          <w:rFonts w:ascii="Verdana" w:eastAsia="Verdana" w:hAnsi="Verdana" w:cs="Verdana"/>
          <w:b/>
          <w:bCs/>
          <w:sz w:val="22"/>
          <w:szCs w:val="22"/>
        </w:rPr>
        <w:t>.</w:t>
      </w:r>
      <w:r>
        <w:rPr>
          <w:rFonts w:ascii="Verdana" w:eastAsia="Verdana" w:hAnsi="Verdana" w:cs="Verdana"/>
          <w:sz w:val="22"/>
          <w:szCs w:val="22"/>
        </w:rPr>
        <w:t xml:space="preserve"> Las instituciones que presten servicios de protección y que cuenten con licencia de funcionamiento otorgada por el ICBF, deberán conservar las condiciones de funcionamiento que conllevaron al otorgamiento o renovación de la correspondiente licencia de funcionamiento. En el evento de evidenciarse cambios no autorizados por el ICBF, se adelantarán las acciones administrativas que corresponda.</w:t>
      </w:r>
    </w:p>
    <w:p w14:paraId="00000079" w14:textId="74E51A4E" w:rsidR="001E3361" w:rsidRDefault="00000000" w:rsidP="00EC2229">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EC2229">
        <w:rPr>
          <w:rFonts w:ascii="Verdana" w:eastAsia="Verdana" w:hAnsi="Verdana" w:cs="Verdana"/>
          <w:b/>
          <w:bCs/>
          <w:sz w:val="22"/>
          <w:szCs w:val="22"/>
        </w:rPr>
        <w:t>6</w:t>
      </w:r>
      <w:r>
        <w:rPr>
          <w:rFonts w:ascii="Verdana" w:eastAsia="Verdana" w:hAnsi="Verdana" w:cs="Verdana"/>
          <w:b/>
          <w:bCs/>
          <w:sz w:val="22"/>
          <w:szCs w:val="22"/>
        </w:rPr>
        <w:t>.</w:t>
      </w:r>
      <w:r>
        <w:rPr>
          <w:rFonts w:ascii="Verdana" w:eastAsia="Verdana" w:hAnsi="Verdana" w:cs="Verdana"/>
          <w:sz w:val="22"/>
          <w:szCs w:val="22"/>
        </w:rPr>
        <w:t xml:space="preserve"> En relación con las Instituciones autorizadas que cuenten con licencia de funcionamiento vigente para desarrollar el Programa de Adopción - IAPAS, sólo aplicará el procedimiento de renovación de licencia de funcionamiento. Esto de conformidad con la necesidad del servicio y la armonización con recomendaciones internacionales.</w:t>
      </w:r>
    </w:p>
    <w:p w14:paraId="0000007A" w14:textId="6CA0B8A8" w:rsidR="001E3361" w:rsidRDefault="00000000" w:rsidP="00EC2229">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EC2229">
        <w:rPr>
          <w:rFonts w:ascii="Verdana" w:eastAsia="Verdana" w:hAnsi="Verdana" w:cs="Verdana"/>
          <w:b/>
          <w:bCs/>
          <w:sz w:val="22"/>
          <w:szCs w:val="22"/>
        </w:rPr>
        <w:t>7</w:t>
      </w:r>
      <w:r>
        <w:rPr>
          <w:rFonts w:ascii="Verdana" w:eastAsia="Verdana" w:hAnsi="Verdana" w:cs="Verdana"/>
          <w:b/>
          <w:bCs/>
          <w:sz w:val="22"/>
          <w:szCs w:val="22"/>
        </w:rPr>
        <w:t>.</w:t>
      </w:r>
      <w:r>
        <w:rPr>
          <w:rFonts w:ascii="Verdana" w:eastAsia="Verdana" w:hAnsi="Verdana" w:cs="Verdana"/>
          <w:sz w:val="22"/>
          <w:szCs w:val="22"/>
        </w:rPr>
        <w:t xml:space="preserve"> Además del incumplimiento de alguno de los requisitos establecidos en el documento técnico correspondiente, no procederá la renovación de la licencia de funcionamiento cuando una IAPA reciba donaciones de conformidad con lo establecido en el artículo 74 del Código de la Infancia y la Adolescencia”.</w:t>
      </w:r>
    </w:p>
    <w:p w14:paraId="0000007B" w14:textId="5B2691ED"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EC2229">
        <w:rPr>
          <w:rFonts w:ascii="Verdana" w:eastAsia="Verdana" w:hAnsi="Verdana" w:cs="Verdana"/>
          <w:b/>
          <w:bCs/>
          <w:sz w:val="22"/>
          <w:szCs w:val="22"/>
        </w:rPr>
        <w:t>7</w:t>
      </w:r>
      <w:r>
        <w:rPr>
          <w:rFonts w:ascii="Verdana" w:eastAsia="Verdana" w:hAnsi="Verdana" w:cs="Verdana"/>
          <w:b/>
          <w:bCs/>
          <w:sz w:val="22"/>
          <w:szCs w:val="22"/>
        </w:rPr>
        <w:t>.</w:t>
      </w:r>
      <w:r>
        <w:rPr>
          <w:rFonts w:ascii="Verdana" w:eastAsia="Verdana" w:hAnsi="Verdana" w:cs="Verdana"/>
          <w:sz w:val="22"/>
          <w:szCs w:val="22"/>
        </w:rPr>
        <w:t xml:space="preserve"> Modifíquese el artículo 15° de la Resolución 6300 de 2024, el cual quedará así:</w:t>
      </w:r>
    </w:p>
    <w:p w14:paraId="0000007C" w14:textId="0EF8F4FC" w:rsidR="001E3361" w:rsidRDefault="00000000">
      <w:pPr>
        <w:ind w:left="426"/>
        <w:jc w:val="both"/>
        <w:rPr>
          <w:rFonts w:ascii="Verdana" w:eastAsia="Verdana" w:hAnsi="Verdana" w:cs="Verdana"/>
          <w:sz w:val="22"/>
          <w:szCs w:val="22"/>
        </w:rPr>
      </w:pPr>
      <w:r>
        <w:rPr>
          <w:rFonts w:ascii="Verdana" w:eastAsia="Verdana" w:hAnsi="Verdana" w:cs="Verdana"/>
          <w:sz w:val="22"/>
          <w:szCs w:val="22"/>
        </w:rPr>
        <w:t>“</w:t>
      </w:r>
      <w:r w:rsidRPr="00EC2229">
        <w:rPr>
          <w:rFonts w:ascii="Verdana" w:eastAsia="Verdana" w:hAnsi="Verdana" w:cs="Verdana"/>
          <w:b/>
          <w:bCs/>
          <w:sz w:val="22"/>
          <w:szCs w:val="22"/>
        </w:rPr>
        <w:t xml:space="preserve">ARTÍCULO </w:t>
      </w:r>
      <w:r w:rsidR="00EC2229">
        <w:rPr>
          <w:rFonts w:ascii="Verdana" w:eastAsia="Verdana" w:hAnsi="Verdana" w:cs="Verdana"/>
          <w:b/>
          <w:bCs/>
          <w:sz w:val="22"/>
          <w:szCs w:val="22"/>
        </w:rPr>
        <w:t>15</w:t>
      </w:r>
      <w:r w:rsidRPr="00EC2229">
        <w:rPr>
          <w:rFonts w:ascii="Verdana" w:eastAsia="Verdana" w:hAnsi="Verdana" w:cs="Verdana"/>
          <w:b/>
          <w:bCs/>
          <w:sz w:val="22"/>
          <w:szCs w:val="22"/>
        </w:rPr>
        <w:t>. REQUISITOS PARA EL OTORGAMIENTO DE LICENCIAS DE FUNCIONAMIENTO</w:t>
      </w:r>
      <w:r>
        <w:rPr>
          <w:rFonts w:ascii="Verdana" w:eastAsia="Verdana" w:hAnsi="Verdana" w:cs="Verdana"/>
          <w:sz w:val="22"/>
          <w:szCs w:val="22"/>
        </w:rPr>
        <w:t xml:space="preserve">. La Oficina de Aseguramiento a la </w:t>
      </w:r>
      <w:r>
        <w:rPr>
          <w:rFonts w:ascii="Verdana" w:eastAsia="Verdana" w:hAnsi="Verdana" w:cs="Verdana"/>
          <w:sz w:val="22"/>
          <w:szCs w:val="22"/>
        </w:rPr>
        <w:lastRenderedPageBreak/>
        <w:t>Calidad del ICBF otorgará la correspondiente licencia de funcionamiento, siempre y cuando la institución cumpla con la totalidad de los requisitos generales establecidos en la presente Resolución y aquellos específicos que se definan en los documentos técnicos que se establezcan para tal fin.</w:t>
      </w:r>
    </w:p>
    <w:p w14:paraId="0000007D"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Los interesados en la obtención de una licencia de funcionamiento deberán presentar los soportes que demuestren el cumplimiento de los siguientes requisitos:</w:t>
      </w:r>
    </w:p>
    <w:p w14:paraId="0000007E"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1. Estatutos vigentes que contengan:</w:t>
      </w:r>
    </w:p>
    <w:p w14:paraId="0000007F"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b) Nombre y clase de persona jurídica.</w:t>
      </w:r>
    </w:p>
    <w:p w14:paraId="00000080"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c) Objeto social relacionado con la prestación de servicios de protección</w:t>
      </w:r>
    </w:p>
    <w:p w14:paraId="00000081"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dirigidos a niñas, niños, adolescentes, jóvenes o las familias.</w:t>
      </w:r>
    </w:p>
    <w:p w14:paraId="00000082"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d) El patrimonio y la forma de hacer los aportes.</w:t>
      </w:r>
    </w:p>
    <w:p w14:paraId="00000083"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e) Facultades y obligaciones del representante legal, asamblea general,</w:t>
      </w:r>
    </w:p>
    <w:p w14:paraId="00000084"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miembros de la junta directiva y revisor fiscal, cuando este último cargo</w:t>
      </w:r>
    </w:p>
    <w:p w14:paraId="00000085"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esté previsto.</w:t>
      </w:r>
    </w:p>
    <w:p w14:paraId="00000087" w14:textId="7F58CB69"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f) La periodicidad de las reuniones ordinarias y los casos en los cuales habrá</w:t>
      </w:r>
      <w:r w:rsidR="00EC2229">
        <w:rPr>
          <w:rFonts w:ascii="Verdana" w:eastAsia="Verdana" w:hAnsi="Verdana" w:cs="Verdana"/>
          <w:sz w:val="22"/>
          <w:szCs w:val="22"/>
        </w:rPr>
        <w:t xml:space="preserve"> </w:t>
      </w:r>
      <w:r>
        <w:rPr>
          <w:rFonts w:ascii="Verdana" w:eastAsia="Verdana" w:hAnsi="Verdana" w:cs="Verdana"/>
          <w:sz w:val="22"/>
          <w:szCs w:val="22"/>
        </w:rPr>
        <w:t>de convocarse a reuniones extraordinarias.</w:t>
      </w:r>
    </w:p>
    <w:p w14:paraId="00000088"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g) Quórum decisorio y régimen de mayorías.</w:t>
      </w:r>
    </w:p>
    <w:p w14:paraId="00000089"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h) Término de duración de la constitución legal y causales de disolución</w:t>
      </w:r>
    </w:p>
    <w:p w14:paraId="0000008A"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i) La forma de hacer la liquidación una vez disuelta la persona jurídica</w:t>
      </w:r>
    </w:p>
    <w:p w14:paraId="0000008B" w14:textId="77777777"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j) Domicilio principal.</w:t>
      </w:r>
    </w:p>
    <w:p w14:paraId="0000008D" w14:textId="34470DFA" w:rsidR="001E3361" w:rsidRDefault="00000000">
      <w:pPr>
        <w:ind w:left="426"/>
        <w:jc w:val="both"/>
        <w:rPr>
          <w:rFonts w:ascii="Verdana" w:eastAsia="Verdana" w:hAnsi="Verdana" w:cs="Verdana"/>
          <w:sz w:val="22"/>
          <w:szCs w:val="22"/>
        </w:rPr>
      </w:pPr>
      <w:r>
        <w:rPr>
          <w:rFonts w:ascii="Verdana" w:eastAsia="Verdana" w:hAnsi="Verdana" w:cs="Verdana"/>
          <w:sz w:val="22"/>
          <w:szCs w:val="22"/>
        </w:rPr>
        <w:t>2. Estar debidamente representada, para lo cual deberá presentar los siguientes</w:t>
      </w:r>
      <w:r w:rsidR="00EC2229">
        <w:rPr>
          <w:rFonts w:ascii="Verdana" w:eastAsia="Verdana" w:hAnsi="Verdana" w:cs="Verdana"/>
          <w:sz w:val="22"/>
          <w:szCs w:val="22"/>
        </w:rPr>
        <w:t xml:space="preserve"> </w:t>
      </w:r>
      <w:r>
        <w:rPr>
          <w:rFonts w:ascii="Verdana" w:eastAsia="Verdana" w:hAnsi="Verdana" w:cs="Verdana"/>
          <w:sz w:val="22"/>
          <w:szCs w:val="22"/>
        </w:rPr>
        <w:t>documentos:</w:t>
      </w:r>
    </w:p>
    <w:p w14:paraId="0000008F" w14:textId="448DBF21"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a) Documento de elección o nombramiento del cargo de representante</w:t>
      </w:r>
      <w:r w:rsidR="00EC2229">
        <w:rPr>
          <w:rFonts w:ascii="Verdana" w:eastAsia="Verdana" w:hAnsi="Verdana" w:cs="Verdana"/>
          <w:sz w:val="22"/>
          <w:szCs w:val="22"/>
        </w:rPr>
        <w:t xml:space="preserve"> </w:t>
      </w:r>
      <w:r>
        <w:rPr>
          <w:rFonts w:ascii="Verdana" w:eastAsia="Verdana" w:hAnsi="Verdana" w:cs="Verdana"/>
          <w:sz w:val="22"/>
          <w:szCs w:val="22"/>
        </w:rPr>
        <w:t>legal.</w:t>
      </w:r>
    </w:p>
    <w:p w14:paraId="00000091" w14:textId="0E63F494"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b) Documento de elección o nombramiento de los miembros de la junta</w:t>
      </w:r>
      <w:r w:rsidR="00EC2229">
        <w:rPr>
          <w:rFonts w:ascii="Verdana" w:eastAsia="Verdana" w:hAnsi="Verdana" w:cs="Verdana"/>
          <w:sz w:val="22"/>
          <w:szCs w:val="22"/>
        </w:rPr>
        <w:t xml:space="preserve"> </w:t>
      </w:r>
      <w:r>
        <w:rPr>
          <w:rFonts w:ascii="Verdana" w:eastAsia="Verdana" w:hAnsi="Verdana" w:cs="Verdana"/>
          <w:sz w:val="22"/>
          <w:szCs w:val="22"/>
        </w:rPr>
        <w:t>directiva o quienes hagan sus veces.</w:t>
      </w:r>
    </w:p>
    <w:p w14:paraId="00000093" w14:textId="4AE2A95F"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c) Documento de elección o nombramiento del revisor fiscal, cuando este</w:t>
      </w:r>
      <w:r w:rsidR="00EC2229">
        <w:rPr>
          <w:rFonts w:ascii="Verdana" w:eastAsia="Verdana" w:hAnsi="Verdana" w:cs="Verdana"/>
          <w:sz w:val="22"/>
          <w:szCs w:val="22"/>
        </w:rPr>
        <w:t xml:space="preserve"> </w:t>
      </w:r>
      <w:r>
        <w:rPr>
          <w:rFonts w:ascii="Verdana" w:eastAsia="Verdana" w:hAnsi="Verdana" w:cs="Verdana"/>
          <w:sz w:val="22"/>
          <w:szCs w:val="22"/>
        </w:rPr>
        <w:t>último cargo esté previsto</w:t>
      </w:r>
    </w:p>
    <w:p w14:paraId="00000095" w14:textId="28E01C5C" w:rsidR="001E3361" w:rsidRDefault="00000000" w:rsidP="00EC2229">
      <w:pPr>
        <w:ind w:left="993" w:hanging="284"/>
        <w:jc w:val="both"/>
        <w:rPr>
          <w:rFonts w:ascii="Verdana" w:eastAsia="Verdana" w:hAnsi="Verdana" w:cs="Verdana"/>
          <w:sz w:val="22"/>
          <w:szCs w:val="22"/>
        </w:rPr>
      </w:pPr>
      <w:r>
        <w:rPr>
          <w:rFonts w:ascii="Verdana" w:eastAsia="Verdana" w:hAnsi="Verdana" w:cs="Verdana"/>
          <w:sz w:val="22"/>
          <w:szCs w:val="22"/>
        </w:rPr>
        <w:t>d) Documento en el que conste la aceptación de los cargos, así como las</w:t>
      </w:r>
      <w:r w:rsidR="00EC2229">
        <w:rPr>
          <w:rFonts w:ascii="Verdana" w:eastAsia="Verdana" w:hAnsi="Verdana" w:cs="Verdana"/>
          <w:sz w:val="22"/>
          <w:szCs w:val="22"/>
        </w:rPr>
        <w:t xml:space="preserve"> </w:t>
      </w:r>
      <w:r>
        <w:rPr>
          <w:rFonts w:ascii="Verdana" w:eastAsia="Verdana" w:hAnsi="Verdana" w:cs="Verdana"/>
          <w:sz w:val="22"/>
          <w:szCs w:val="22"/>
        </w:rPr>
        <w:t>copias de los documentos de identificación de los integrantes.</w:t>
      </w:r>
    </w:p>
    <w:p w14:paraId="00000096"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lastRenderedPageBreak/>
        <w:t>3. Certificados vigentes de antecedentes penales, disciplinarios o fiscales, medidas correctivas o inhabilidades por delitos sexuales, expedidos por las autoridades competentes, del representante legal y los integrantes de la junta directiva u órgano de administración, en los que conste que éstos no cuentan con sanciones, penas o inhabilidades.</w:t>
      </w:r>
    </w:p>
    <w:p w14:paraId="00000097"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4. No tener sanciones por procedimientos administrativos sancionatorios contractuales de los que trata el artículo 86 de la Ley 1474 de 2011 por incumplimientos parciales o totales de las obligaciones de contratos suscritos con el ICBF u otras entidades del Estado.</w:t>
      </w:r>
    </w:p>
    <w:p w14:paraId="00000098"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5. No tener pendiente de ejecución, sanciones impuestas por otra entidad pública. En todo caso, el ICBF validará el cumplimiento de este requisito.</w:t>
      </w:r>
    </w:p>
    <w:p w14:paraId="00000099"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6. Contar con bienes o patrimonio para el cumplimiento del objeto social para el que se ha creado. Lo anterior, de conformidad con los documentos técnicos que para el efecto defina el ICBF.</w:t>
      </w:r>
    </w:p>
    <w:p w14:paraId="0000009A"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7. Estar inscrito en el Registro Único de Oferentes del ICBF.</w:t>
      </w:r>
    </w:p>
    <w:p w14:paraId="0000009B"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8. Sin perjuicio de lo anterior, se deberá dar cumplimiento a los requisitos específicos adicionales establecidos en los documentos técnicos que expida el ICBF para tal fin.</w:t>
      </w:r>
    </w:p>
    <w:p w14:paraId="0000009C" w14:textId="77777777" w:rsidR="001E3361" w:rsidRDefault="00000000">
      <w:pPr>
        <w:ind w:left="426"/>
        <w:jc w:val="both"/>
        <w:rPr>
          <w:rFonts w:ascii="Verdana" w:eastAsia="Verdana" w:hAnsi="Verdana" w:cs="Verdana"/>
          <w:sz w:val="22"/>
          <w:szCs w:val="22"/>
        </w:rPr>
      </w:pPr>
      <w:r>
        <w:rPr>
          <w:rFonts w:ascii="Verdana" w:eastAsia="Verdana" w:hAnsi="Verdana" w:cs="Verdana"/>
          <w:b/>
          <w:bCs/>
          <w:sz w:val="22"/>
          <w:szCs w:val="22"/>
        </w:rPr>
        <w:t>PARÁGRAFO.</w:t>
      </w:r>
      <w:r>
        <w:rPr>
          <w:rFonts w:ascii="Verdana" w:eastAsia="Verdana" w:hAnsi="Verdana" w:cs="Verdana"/>
          <w:sz w:val="22"/>
          <w:szCs w:val="22"/>
        </w:rPr>
        <w:t xml:space="preserve"> Cuando en el trámite de otorgamiento de la licencia de funcionamiento se identifique que el o los inmuebles son de propiedad del ICBF, o que han sido entregados en comodato o mediante un convenio interadministrativo para la prestación del servicio al ICBF y que éstos no cumplen con la totalidad de los requisitos o condiciones de la infraestructura, se deberá contar con viabilidad técnica que permita la prestación del servicio.</w:t>
      </w:r>
    </w:p>
    <w:p w14:paraId="0000009E"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Esta viabilidad técnica será expedida de manera conjunta por la Dirección Regional que corresponda, la Dirección Administrativa o quien haga sus veces y la Oficina de Aseguramiento a la Calidad, siempre y cuando el incumplimiento de los requisitos faltantes no constituya una amenaza directa para la integridad física de las niñas, niños, adolescentes y jóvenes.</w:t>
      </w:r>
    </w:p>
    <w:p w14:paraId="0000009F" w14:textId="77777777" w:rsidR="001E3361" w:rsidRDefault="00000000">
      <w:pPr>
        <w:ind w:left="426"/>
        <w:jc w:val="both"/>
        <w:rPr>
          <w:rFonts w:ascii="Verdana" w:eastAsia="Verdana" w:hAnsi="Verdana" w:cs="Verdana"/>
          <w:sz w:val="22"/>
          <w:szCs w:val="22"/>
        </w:rPr>
      </w:pPr>
      <w:r>
        <w:rPr>
          <w:rFonts w:ascii="Verdana" w:eastAsia="Verdana" w:hAnsi="Verdana" w:cs="Verdana"/>
          <w:sz w:val="22"/>
          <w:szCs w:val="22"/>
        </w:rPr>
        <w:t>Sin perjuicio de lo anterior, el ICBF a través de la Dirección Regional que corresponda deberá adelantar la gestión administrativa y ejecutar las acciones necesarias que permitan mitigar los riesgos asociadas a la situación identificada”.</w:t>
      </w:r>
    </w:p>
    <w:p w14:paraId="000000A0" w14:textId="564DA965"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EC2229">
        <w:rPr>
          <w:rFonts w:ascii="Verdana" w:eastAsia="Verdana" w:hAnsi="Verdana" w:cs="Verdana"/>
          <w:b/>
          <w:bCs/>
          <w:sz w:val="22"/>
          <w:szCs w:val="22"/>
        </w:rPr>
        <w:t>8</w:t>
      </w:r>
      <w:r>
        <w:rPr>
          <w:rFonts w:ascii="Verdana" w:eastAsia="Verdana" w:hAnsi="Verdana" w:cs="Verdana"/>
          <w:b/>
          <w:bCs/>
          <w:sz w:val="22"/>
          <w:szCs w:val="22"/>
        </w:rPr>
        <w:t>.</w:t>
      </w:r>
      <w:r>
        <w:rPr>
          <w:rFonts w:ascii="Verdana" w:eastAsia="Verdana" w:hAnsi="Verdana" w:cs="Verdana"/>
          <w:sz w:val="22"/>
          <w:szCs w:val="22"/>
        </w:rPr>
        <w:t xml:space="preserve"> Modifíquese el parágrafo 2 del artículo 17° de la Resolución 6300 de 2024, el cual quedará así:</w:t>
      </w:r>
    </w:p>
    <w:p w14:paraId="000000A1" w14:textId="4AE2B68B"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lastRenderedPageBreak/>
        <w:t>“</w:t>
      </w:r>
      <w:r w:rsidRPr="00EC2229">
        <w:rPr>
          <w:rFonts w:ascii="Verdana" w:eastAsia="Verdana" w:hAnsi="Verdana" w:cs="Verdana"/>
          <w:b/>
          <w:bCs/>
          <w:sz w:val="22"/>
          <w:szCs w:val="22"/>
        </w:rPr>
        <w:t xml:space="preserve">PARÁGRAFO </w:t>
      </w:r>
      <w:r w:rsidR="00EC2229" w:rsidRPr="00EC2229">
        <w:rPr>
          <w:rFonts w:ascii="Verdana" w:eastAsia="Verdana" w:hAnsi="Verdana" w:cs="Verdana"/>
          <w:b/>
          <w:bCs/>
          <w:sz w:val="22"/>
          <w:szCs w:val="22"/>
        </w:rPr>
        <w:t>2</w:t>
      </w:r>
      <w:r w:rsidRPr="00EC2229">
        <w:rPr>
          <w:rFonts w:ascii="Verdana" w:eastAsia="Verdana" w:hAnsi="Verdana" w:cs="Verdana"/>
          <w:b/>
          <w:bCs/>
          <w:sz w:val="22"/>
          <w:szCs w:val="22"/>
        </w:rPr>
        <w:t>.</w:t>
      </w:r>
      <w:r>
        <w:rPr>
          <w:rFonts w:ascii="Verdana" w:eastAsia="Verdana" w:hAnsi="Verdana" w:cs="Verdana"/>
          <w:sz w:val="22"/>
          <w:szCs w:val="22"/>
        </w:rPr>
        <w:t xml:space="preserve"> Cuando en el trámite de renovación de la licencia de funcionamiento se identifique que el o los inmuebles son de propiedad del ICBF, o que han sido entregados en comodato o mediante un convenio interadministrativo para la prestación del servicio al ICBF y que éstos no cumplen con la totalidad de los requisitos o condiciones de la infraestructura, se deberá contar con viabilidad técnica que permita la prestación del servicio.</w:t>
      </w:r>
    </w:p>
    <w:p w14:paraId="000000A2"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Esta viabilidad técnica será expedida de manera conjunta por la Dirección Regional que corresponda, la Dirección Administrativa o quien haga sus veces y la Oficina de Aseguramiento a la Calidad, siempre y cuando el incumplimiento de los requisitos faltantes no constituya una amenaza directa para la integridad física de las niñas, niños, adolescentes y jóvenes.</w:t>
      </w:r>
    </w:p>
    <w:p w14:paraId="000000A3"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Sin perjuicio de lo anterior, el ICBF a través de la Dirección Regional que corresponda deberá adelantar la gestión administrativa y ejecutar las acciones necesarias que permitan mitigar los riesgos asociadas a la situación identificada”.</w:t>
      </w:r>
    </w:p>
    <w:p w14:paraId="000000A4" w14:textId="58C43717"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EC2229">
        <w:rPr>
          <w:rFonts w:ascii="Verdana" w:eastAsia="Verdana" w:hAnsi="Verdana" w:cs="Verdana"/>
          <w:b/>
          <w:bCs/>
          <w:sz w:val="22"/>
          <w:szCs w:val="22"/>
        </w:rPr>
        <w:t>9</w:t>
      </w:r>
      <w:r>
        <w:rPr>
          <w:rFonts w:ascii="Verdana" w:eastAsia="Verdana" w:hAnsi="Verdana" w:cs="Verdana"/>
          <w:b/>
          <w:bCs/>
          <w:sz w:val="22"/>
          <w:szCs w:val="22"/>
        </w:rPr>
        <w:t xml:space="preserve">. </w:t>
      </w:r>
      <w:r>
        <w:rPr>
          <w:rFonts w:ascii="Verdana" w:eastAsia="Verdana" w:hAnsi="Verdana" w:cs="Verdana"/>
          <w:sz w:val="22"/>
          <w:szCs w:val="22"/>
        </w:rPr>
        <w:t>Modifíquese el artículo 18° de la Resolución 6300 de 2024, el cual quedará así:</w:t>
      </w:r>
    </w:p>
    <w:p w14:paraId="000000A5" w14:textId="40310601"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w:t>
      </w:r>
      <w:r w:rsidRPr="00EC2229">
        <w:rPr>
          <w:rFonts w:ascii="Verdana" w:eastAsia="Verdana" w:hAnsi="Verdana" w:cs="Verdana"/>
          <w:b/>
          <w:bCs/>
          <w:sz w:val="22"/>
          <w:szCs w:val="22"/>
        </w:rPr>
        <w:t xml:space="preserve">ARTÍCULO </w:t>
      </w:r>
      <w:r w:rsidR="001E275F">
        <w:rPr>
          <w:rFonts w:ascii="Verdana" w:eastAsia="Verdana" w:hAnsi="Verdana" w:cs="Verdana"/>
          <w:b/>
          <w:bCs/>
          <w:sz w:val="22"/>
          <w:szCs w:val="22"/>
        </w:rPr>
        <w:t>18</w:t>
      </w:r>
      <w:r w:rsidRPr="00EC2229">
        <w:rPr>
          <w:rFonts w:ascii="Verdana" w:eastAsia="Verdana" w:hAnsi="Verdana" w:cs="Verdana"/>
          <w:b/>
          <w:bCs/>
          <w:sz w:val="22"/>
          <w:szCs w:val="22"/>
        </w:rPr>
        <w:t>. MODIFICACIÓN DE LA LICENCIA DE FUNCIONAMIENTO.</w:t>
      </w:r>
      <w:r>
        <w:rPr>
          <w:rFonts w:ascii="Verdana" w:eastAsia="Verdana" w:hAnsi="Verdana" w:cs="Verdana"/>
          <w:sz w:val="22"/>
          <w:szCs w:val="22"/>
        </w:rPr>
        <w:t xml:space="preserve"> En los casos en que las instituciones que prestan el servicio de protección dirigido a niñas, niños, adolescentes, jóvenes o las familias, soliciten un cambio de la información consignada en la licencia de funcionamiento, procederá tal modificación a través de la expedición del acto administrativo correspondiente.</w:t>
      </w:r>
    </w:p>
    <w:p w14:paraId="000000A6"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La modificación de la información de la licencia de funcionamiento aplicará solamente en los siguientes casos:</w:t>
      </w:r>
    </w:p>
    <w:p w14:paraId="000000A7"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1. Cambio de inmueble.</w:t>
      </w:r>
    </w:p>
    <w:p w14:paraId="000000A8"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2. Cambio de población atendida, cuando se trate de género y de edad.</w:t>
      </w:r>
    </w:p>
    <w:p w14:paraId="000000A9"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3. Capacidad instalada.</w:t>
      </w:r>
    </w:p>
    <w:p w14:paraId="000000AB" w14:textId="63133549"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4. Inclusión o exclusión de sedes, de conformidad con lo dispuesto en el</w:t>
      </w:r>
      <w:r w:rsidR="00EC2229">
        <w:rPr>
          <w:rFonts w:ascii="Verdana" w:eastAsia="Verdana" w:hAnsi="Verdana" w:cs="Verdana"/>
          <w:sz w:val="22"/>
          <w:szCs w:val="22"/>
        </w:rPr>
        <w:t xml:space="preserve"> </w:t>
      </w:r>
      <w:r>
        <w:rPr>
          <w:rFonts w:ascii="Verdana" w:eastAsia="Verdana" w:hAnsi="Verdana" w:cs="Verdana"/>
          <w:sz w:val="22"/>
          <w:szCs w:val="22"/>
        </w:rPr>
        <w:t>numeral 3 del artículo 14 de la presente Resolución”.</w:t>
      </w:r>
    </w:p>
    <w:p w14:paraId="000000AC" w14:textId="5AA52C55"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EC2229">
        <w:rPr>
          <w:rFonts w:ascii="Verdana" w:eastAsia="Verdana" w:hAnsi="Verdana" w:cs="Verdana"/>
          <w:b/>
          <w:bCs/>
          <w:sz w:val="22"/>
          <w:szCs w:val="22"/>
        </w:rPr>
        <w:t>10</w:t>
      </w:r>
      <w:r>
        <w:rPr>
          <w:rFonts w:ascii="Verdana" w:eastAsia="Verdana" w:hAnsi="Verdana" w:cs="Verdana"/>
          <w:b/>
          <w:bCs/>
          <w:sz w:val="22"/>
          <w:szCs w:val="22"/>
        </w:rPr>
        <w:t>.</w:t>
      </w:r>
      <w:r>
        <w:rPr>
          <w:rFonts w:ascii="Verdana" w:eastAsia="Verdana" w:hAnsi="Verdana" w:cs="Verdana"/>
          <w:sz w:val="22"/>
          <w:szCs w:val="22"/>
        </w:rPr>
        <w:t xml:space="preserve"> Adiciónese un parágrafo al artículo 23° de la Resolución 6300 de 2024, el cual contiene el siguiente texto:</w:t>
      </w:r>
    </w:p>
    <w:p w14:paraId="000000AD"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w:t>
      </w:r>
      <w:r w:rsidRPr="00EC2229">
        <w:rPr>
          <w:rFonts w:ascii="Verdana" w:eastAsia="Verdana" w:hAnsi="Verdana" w:cs="Verdana"/>
          <w:b/>
          <w:bCs/>
          <w:sz w:val="22"/>
          <w:szCs w:val="22"/>
        </w:rPr>
        <w:t>PARÁGRAFO</w:t>
      </w:r>
      <w:r>
        <w:rPr>
          <w:rFonts w:ascii="Verdana" w:eastAsia="Verdana" w:hAnsi="Verdana" w:cs="Verdana"/>
          <w:sz w:val="22"/>
          <w:szCs w:val="22"/>
        </w:rPr>
        <w:t>: Además del incumplimiento de alguno de los requisitos establecidos en el documento técnico correspondiente, no procederá la renovación de la licencia de funcionamiento cuando un Organismo o Agencia Internacional incurra en alguna de las siguientes situaciones:</w:t>
      </w:r>
    </w:p>
    <w:p w14:paraId="000000AE"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lastRenderedPageBreak/>
        <w:t>1. Cuando haya radicado menos de seis (6) trámites de solicitud de adopción dirigidos a niños, niñas y adolescentes con características y necesidades especiales, durante el periodo correspondiente a la licencia anterior.</w:t>
      </w:r>
    </w:p>
    <w:p w14:paraId="000000AF"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2. De los seis (6) trámites referidos en el inciso anterior, haber radicado al menos tres (3) trámites ante el Instituto Colombiano de Bienestar familiar, durante el periodo correspondiente a la licencia anterior. Esta radicación implica, en caso de refrendación de idoneidad, la permanencia en lista de espera con miras a participación en dupla para Comités de Adopciones Regionales.</w:t>
      </w:r>
    </w:p>
    <w:p w14:paraId="000000B0"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3. Que no se encuentre al día en el cumplimiento de los seguimientos post- adopción, con los soportes radicados en físico ante los Comités de Adopciones correspondientes.</w:t>
      </w:r>
    </w:p>
    <w:p w14:paraId="000000B1" w14:textId="77777777" w:rsidR="001E3361" w:rsidRDefault="00000000" w:rsidP="00EC2229">
      <w:pPr>
        <w:ind w:left="426"/>
        <w:jc w:val="both"/>
        <w:rPr>
          <w:rFonts w:ascii="Verdana" w:eastAsia="Verdana" w:hAnsi="Verdana" w:cs="Verdana"/>
          <w:sz w:val="22"/>
          <w:szCs w:val="22"/>
        </w:rPr>
      </w:pPr>
      <w:r>
        <w:rPr>
          <w:rFonts w:ascii="Verdana" w:eastAsia="Verdana" w:hAnsi="Verdana" w:cs="Verdana"/>
          <w:sz w:val="22"/>
          <w:szCs w:val="22"/>
        </w:rPr>
        <w:t>4. Cuando se haya incurrido en adopciones fallidas de dos (2) o más familias representadas por un mismo Organismo o Agencia Internacional, durante la etapa de seguimientos post-adopción, en el periodo correspondiente a la licencia anterior. Se debe entender por adopciones fallidas, aquellas situaciones en las cuales la familia adoptante, brinda el consentimiento para una nueva adopción o se declara, mediante vía administrativa o judicial en el país de recepción, como adoptable a la niña, niño o adolescente. También se considerarán como adopciones fallidas aquellas que estén relacionadas con situaciones como homicidio, abuso sexual, o cualquier otra forma de violencia de la que se tenga conocimiento, pérdida de la patria potestad, aun cuando la niña, niño o adolescente nuevamente adquiera la calidad de adoptable”.</w:t>
      </w:r>
    </w:p>
    <w:p w14:paraId="000000B2" w14:textId="6893D565"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EC2229">
        <w:rPr>
          <w:rFonts w:ascii="Verdana" w:eastAsia="Verdana" w:hAnsi="Verdana" w:cs="Verdana"/>
          <w:b/>
          <w:bCs/>
          <w:sz w:val="22"/>
          <w:szCs w:val="22"/>
        </w:rPr>
        <w:t>11</w:t>
      </w:r>
      <w:r>
        <w:rPr>
          <w:rFonts w:ascii="Verdana" w:eastAsia="Verdana" w:hAnsi="Verdana" w:cs="Verdana"/>
          <w:b/>
          <w:bCs/>
          <w:sz w:val="22"/>
          <w:szCs w:val="22"/>
        </w:rPr>
        <w:t>.</w:t>
      </w:r>
      <w:r>
        <w:rPr>
          <w:rFonts w:ascii="Verdana" w:eastAsia="Verdana" w:hAnsi="Verdana" w:cs="Verdana"/>
          <w:sz w:val="22"/>
          <w:szCs w:val="22"/>
        </w:rPr>
        <w:t xml:space="preserve"> Modifíquese el artículo 27° de la Resolución 6300 de 2024, el cual quedará así:</w:t>
      </w:r>
    </w:p>
    <w:p w14:paraId="000000B3" w14:textId="684997CE"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w:t>
      </w:r>
      <w:r w:rsidRPr="00EC2229">
        <w:rPr>
          <w:rFonts w:ascii="Verdana" w:eastAsia="Verdana" w:hAnsi="Verdana" w:cs="Verdana"/>
          <w:b/>
          <w:bCs/>
          <w:sz w:val="22"/>
          <w:szCs w:val="22"/>
        </w:rPr>
        <w:t xml:space="preserve">ARTICULO </w:t>
      </w:r>
      <w:r w:rsidR="00EC2229">
        <w:rPr>
          <w:rFonts w:ascii="Verdana" w:eastAsia="Verdana" w:hAnsi="Verdana" w:cs="Verdana"/>
          <w:b/>
          <w:bCs/>
          <w:sz w:val="22"/>
          <w:szCs w:val="22"/>
        </w:rPr>
        <w:t>27</w:t>
      </w:r>
      <w:r w:rsidRPr="00EC2229">
        <w:rPr>
          <w:rFonts w:ascii="Verdana" w:eastAsia="Verdana" w:hAnsi="Verdana" w:cs="Verdana"/>
          <w:b/>
          <w:bCs/>
          <w:sz w:val="22"/>
          <w:szCs w:val="22"/>
        </w:rPr>
        <w:t>. FORMAS DE INICIAR LAS ACCIONES DE INSPECCIÓN Y VIGILANCIA.</w:t>
      </w:r>
      <w:r>
        <w:rPr>
          <w:rFonts w:ascii="Verdana" w:eastAsia="Verdana" w:hAnsi="Verdana" w:cs="Verdana"/>
          <w:sz w:val="22"/>
          <w:szCs w:val="22"/>
        </w:rPr>
        <w:t xml:space="preserve"> El ejercicio de las acciones de inspección y vigilancia podrá iniciarse de oficio, por denuncias o informes de personas naturales o jurídicas, por informe de servidor público en ejercicio de sus funciones, en ejercicio del derecho de petición de carácter general o particular y, en general, por cualquier otro medio que ofrezca credibilidad respecto al presunto incumplimiento de la normatividad vigente y de las condiciones establecidas en los documentos técnicos expedidos por el ICBF para la prestación de los servicios de protección dirigidos a las niñas, niños, adolescentes, jóvenes o las familias.</w:t>
      </w:r>
    </w:p>
    <w:p w14:paraId="000000B4"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 xml:space="preserve">Las acciones de inspección y vigilancia están encaminadas a verificar que, en la prestación de los servicios de protección, se cumplan con las </w:t>
      </w:r>
      <w:r>
        <w:rPr>
          <w:rFonts w:ascii="Verdana" w:eastAsia="Verdana" w:hAnsi="Verdana" w:cs="Verdana"/>
          <w:sz w:val="22"/>
          <w:szCs w:val="22"/>
        </w:rPr>
        <w:lastRenderedPageBreak/>
        <w:t>condiciones establecidas y que contribuyan a la garantía de los derechos de las niñas, niños, adolescentes, jóvenes o las familias.</w:t>
      </w:r>
    </w:p>
    <w:p w14:paraId="000000B5" w14:textId="77777777" w:rsidR="001E3361" w:rsidRDefault="00000000" w:rsidP="001E275F">
      <w:pPr>
        <w:ind w:left="426"/>
        <w:jc w:val="both"/>
        <w:rPr>
          <w:rFonts w:ascii="Verdana" w:eastAsia="Verdana" w:hAnsi="Verdana" w:cs="Verdana"/>
          <w:sz w:val="22"/>
          <w:szCs w:val="22"/>
        </w:rPr>
      </w:pPr>
      <w:r>
        <w:rPr>
          <w:rFonts w:ascii="Verdana" w:eastAsia="Verdana" w:hAnsi="Verdana" w:cs="Verdana"/>
          <w:b/>
          <w:bCs/>
          <w:sz w:val="22"/>
          <w:szCs w:val="22"/>
        </w:rPr>
        <w:t>PARÁGRAFO.</w:t>
      </w:r>
      <w:r>
        <w:rPr>
          <w:rFonts w:ascii="Verdana" w:eastAsia="Verdana" w:hAnsi="Verdana" w:cs="Verdana"/>
          <w:sz w:val="22"/>
          <w:szCs w:val="22"/>
        </w:rPr>
        <w:t xml:space="preserve"> Cuando en el marco de estas acciones, se compruebe que una institución presta servicios de protección dirigidos a niñas, niños, adolescentes, jóvenes y las familias sin licencia de funcionamiento, sin personería jurídica o que teniendo una, ésta no haya sido reconocida por el ICBF, se informará de este hecho a las alcaldías, gobernaciones u otras autoridades competentes, para que adelanten las acciones administrativas que corresponda.”</w:t>
      </w:r>
    </w:p>
    <w:p w14:paraId="000000B6" w14:textId="7B56C5E5"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12</w:t>
      </w:r>
      <w:r>
        <w:rPr>
          <w:rFonts w:ascii="Verdana" w:eastAsia="Verdana" w:hAnsi="Verdana" w:cs="Verdana"/>
          <w:b/>
          <w:bCs/>
          <w:sz w:val="22"/>
          <w:szCs w:val="22"/>
        </w:rPr>
        <w:t>.</w:t>
      </w:r>
      <w:r>
        <w:rPr>
          <w:rFonts w:ascii="Verdana" w:eastAsia="Verdana" w:hAnsi="Verdana" w:cs="Verdana"/>
          <w:sz w:val="22"/>
          <w:szCs w:val="22"/>
        </w:rPr>
        <w:t xml:space="preserve"> Modifíquese el artículo 30° de la Resolución 6300 de 2024, el cual quedará así:</w:t>
      </w:r>
    </w:p>
    <w:p w14:paraId="000000B7" w14:textId="7BBD3CBA"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w:t>
      </w:r>
      <w:r w:rsidRPr="001E275F">
        <w:rPr>
          <w:rFonts w:ascii="Verdana" w:eastAsia="Verdana" w:hAnsi="Verdana" w:cs="Verdana"/>
          <w:b/>
          <w:bCs/>
          <w:sz w:val="22"/>
          <w:szCs w:val="22"/>
        </w:rPr>
        <w:t xml:space="preserve">ARTÍCULO </w:t>
      </w:r>
      <w:r w:rsidR="001E275F" w:rsidRPr="001E275F">
        <w:rPr>
          <w:rFonts w:ascii="Verdana" w:eastAsia="Verdana" w:hAnsi="Verdana" w:cs="Verdana"/>
          <w:b/>
          <w:bCs/>
          <w:sz w:val="22"/>
          <w:szCs w:val="22"/>
        </w:rPr>
        <w:t>30</w:t>
      </w:r>
      <w:r w:rsidRPr="001E275F">
        <w:rPr>
          <w:rFonts w:ascii="Verdana" w:eastAsia="Verdana" w:hAnsi="Verdana" w:cs="Verdana"/>
          <w:b/>
          <w:bCs/>
          <w:sz w:val="22"/>
          <w:szCs w:val="22"/>
        </w:rPr>
        <w:t>. COMITÉ TÉCNICO PARA EL MEJORAMIENTO DE LOS SERVICIOS DE PROTECCIÓN.</w:t>
      </w:r>
      <w:r>
        <w:rPr>
          <w:rFonts w:ascii="Verdana" w:eastAsia="Verdana" w:hAnsi="Verdana" w:cs="Verdana"/>
          <w:sz w:val="22"/>
          <w:szCs w:val="22"/>
        </w:rPr>
        <w:t xml:space="preserve"> Es la instancia que propone orientaciones estratégicas para la mejora continua y el fortalecimiento de la prestación de los servicios de protección, que deberá actuar garantizando los derechos prevalentes y el interés superior de las niñas, niños, adolescentes, jóvenes y las familias.”</w:t>
      </w:r>
    </w:p>
    <w:p w14:paraId="000000B8" w14:textId="1364ABF8"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13</w:t>
      </w:r>
      <w:r>
        <w:rPr>
          <w:rFonts w:ascii="Verdana" w:eastAsia="Verdana" w:hAnsi="Verdana" w:cs="Verdana"/>
          <w:b/>
          <w:bCs/>
          <w:sz w:val="22"/>
          <w:szCs w:val="22"/>
        </w:rPr>
        <w:t>.</w:t>
      </w:r>
      <w:r>
        <w:rPr>
          <w:rFonts w:ascii="Verdana" w:eastAsia="Verdana" w:hAnsi="Verdana" w:cs="Verdana"/>
          <w:sz w:val="22"/>
          <w:szCs w:val="22"/>
        </w:rPr>
        <w:t xml:space="preserve"> Modifíquese el artículo 31° de la Resolución 6300 de 2024, el cual quedará así:</w:t>
      </w:r>
    </w:p>
    <w:p w14:paraId="000000B9" w14:textId="1646F5CE"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w:t>
      </w:r>
      <w:r w:rsidRPr="001E275F">
        <w:rPr>
          <w:rFonts w:ascii="Verdana" w:eastAsia="Verdana" w:hAnsi="Verdana" w:cs="Verdana"/>
          <w:b/>
          <w:bCs/>
          <w:sz w:val="22"/>
          <w:szCs w:val="22"/>
        </w:rPr>
        <w:t xml:space="preserve">ARTÍCULO </w:t>
      </w:r>
      <w:r w:rsidR="001E275F" w:rsidRPr="001E275F">
        <w:rPr>
          <w:rFonts w:ascii="Verdana" w:eastAsia="Verdana" w:hAnsi="Verdana" w:cs="Verdana"/>
          <w:b/>
          <w:bCs/>
          <w:sz w:val="22"/>
          <w:szCs w:val="22"/>
        </w:rPr>
        <w:t>31</w:t>
      </w:r>
      <w:r w:rsidRPr="001E275F">
        <w:rPr>
          <w:rFonts w:ascii="Verdana" w:eastAsia="Verdana" w:hAnsi="Verdana" w:cs="Verdana"/>
          <w:b/>
          <w:bCs/>
          <w:sz w:val="22"/>
          <w:szCs w:val="22"/>
        </w:rPr>
        <w:t>. INTEGRACIÓN DEL COMITÉ TÉCNICO PARA EL MEJORAMIENTO DE LOS SERVICIOS DE PROTECCIÓN</w:t>
      </w:r>
      <w:r>
        <w:rPr>
          <w:rFonts w:ascii="Verdana" w:eastAsia="Verdana" w:hAnsi="Verdana" w:cs="Verdana"/>
          <w:sz w:val="22"/>
          <w:szCs w:val="22"/>
        </w:rPr>
        <w:t>. El Comité estará integrado por:</w:t>
      </w:r>
    </w:p>
    <w:p w14:paraId="000000BA"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1. Subdirectora General o su designado.</w:t>
      </w:r>
    </w:p>
    <w:p w14:paraId="000000BC" w14:textId="20049526"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2. Jefe de la Oficina de Aseguramiento a la Calidad, quien lo presidirá y realizará</w:t>
      </w:r>
      <w:r w:rsidR="001E275F">
        <w:rPr>
          <w:rFonts w:ascii="Verdana" w:eastAsia="Verdana" w:hAnsi="Verdana" w:cs="Verdana"/>
          <w:sz w:val="22"/>
          <w:szCs w:val="22"/>
        </w:rPr>
        <w:t xml:space="preserve"> </w:t>
      </w:r>
      <w:r>
        <w:rPr>
          <w:rFonts w:ascii="Verdana" w:eastAsia="Verdana" w:hAnsi="Verdana" w:cs="Verdana"/>
          <w:sz w:val="22"/>
          <w:szCs w:val="22"/>
        </w:rPr>
        <w:t>la Secretaría Técnica.</w:t>
      </w:r>
    </w:p>
    <w:p w14:paraId="000000BD" w14:textId="282CF27E" w:rsidR="001E3361" w:rsidRPr="001E275F" w:rsidRDefault="00000000" w:rsidP="001E275F">
      <w:pPr>
        <w:pStyle w:val="Prrafodelista"/>
        <w:numPr>
          <w:ilvl w:val="0"/>
          <w:numId w:val="7"/>
        </w:numPr>
        <w:pBdr>
          <w:top w:val="nil"/>
          <w:left w:val="nil"/>
          <w:bottom w:val="nil"/>
          <w:right w:val="nil"/>
          <w:between w:val="nil"/>
        </w:pBdr>
        <w:ind w:left="709" w:hanging="284"/>
        <w:jc w:val="both"/>
        <w:rPr>
          <w:rFonts w:ascii="Verdana" w:eastAsia="Verdana" w:hAnsi="Verdana" w:cs="Verdana"/>
          <w:color w:val="000000"/>
          <w:sz w:val="22"/>
          <w:szCs w:val="22"/>
        </w:rPr>
      </w:pPr>
      <w:r w:rsidRPr="001E275F">
        <w:rPr>
          <w:rFonts w:ascii="Verdana" w:eastAsia="Verdana" w:hAnsi="Verdana" w:cs="Verdana"/>
          <w:color w:val="000000"/>
          <w:sz w:val="22"/>
          <w:szCs w:val="22"/>
        </w:rPr>
        <w:t>Jefe de la Oficina Asesora Jurídica o su designado.</w:t>
      </w:r>
    </w:p>
    <w:p w14:paraId="000000BE"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4. Director de Contratación o su designado.</w:t>
      </w:r>
    </w:p>
    <w:p w14:paraId="000000BF"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5. Directores misionales o su designados.</w:t>
      </w:r>
    </w:p>
    <w:p w14:paraId="000000C0" w14:textId="77777777" w:rsidR="001E3361" w:rsidRDefault="00000000" w:rsidP="001E275F">
      <w:pPr>
        <w:ind w:left="426"/>
        <w:jc w:val="both"/>
        <w:rPr>
          <w:rFonts w:ascii="Verdana" w:eastAsia="Verdana" w:hAnsi="Verdana" w:cs="Verdana"/>
          <w:sz w:val="22"/>
          <w:szCs w:val="22"/>
        </w:rPr>
      </w:pPr>
      <w:r>
        <w:rPr>
          <w:rFonts w:ascii="Verdana" w:eastAsia="Verdana" w:hAnsi="Verdana" w:cs="Verdana"/>
          <w:b/>
          <w:bCs/>
          <w:sz w:val="22"/>
          <w:szCs w:val="22"/>
        </w:rPr>
        <w:t>PARÁGRAFO.</w:t>
      </w:r>
      <w:r>
        <w:rPr>
          <w:rFonts w:ascii="Verdana" w:eastAsia="Verdana" w:hAnsi="Verdana" w:cs="Verdana"/>
          <w:sz w:val="22"/>
          <w:szCs w:val="22"/>
        </w:rPr>
        <w:t xml:space="preserve"> Podrán ser invitados a las sesiones, por intermedio de la Secretaría técnica del Comité y a solicitud de cualquiera de los integrantes, los servidores públicos o colaboradores que se estime pertinente en atención a los temas a tratar. Los invitados concurrirán con voz, pero sin voto”.</w:t>
      </w:r>
    </w:p>
    <w:p w14:paraId="000000C1" w14:textId="2F576AEC"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14</w:t>
      </w:r>
      <w:r>
        <w:rPr>
          <w:rFonts w:ascii="Verdana" w:eastAsia="Verdana" w:hAnsi="Verdana" w:cs="Verdana"/>
          <w:b/>
          <w:bCs/>
          <w:sz w:val="22"/>
          <w:szCs w:val="22"/>
        </w:rPr>
        <w:t>.</w:t>
      </w:r>
      <w:r>
        <w:rPr>
          <w:rFonts w:ascii="Verdana" w:eastAsia="Verdana" w:hAnsi="Verdana" w:cs="Verdana"/>
          <w:sz w:val="22"/>
          <w:szCs w:val="22"/>
        </w:rPr>
        <w:t xml:space="preserve"> Modifíquese el artículo 32° de la Resolución 6300 de 2024, el cual quedará así: </w:t>
      </w:r>
    </w:p>
    <w:p w14:paraId="000000C2" w14:textId="7E397A63"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lastRenderedPageBreak/>
        <w:t>“</w:t>
      </w:r>
      <w:r w:rsidRPr="001E275F">
        <w:rPr>
          <w:rFonts w:ascii="Verdana" w:eastAsia="Verdana" w:hAnsi="Verdana" w:cs="Verdana"/>
          <w:b/>
          <w:bCs/>
          <w:sz w:val="22"/>
          <w:szCs w:val="22"/>
        </w:rPr>
        <w:t xml:space="preserve">ARTÍCULO </w:t>
      </w:r>
      <w:r w:rsidR="001E275F" w:rsidRPr="001E275F">
        <w:rPr>
          <w:rFonts w:ascii="Verdana" w:eastAsia="Verdana" w:hAnsi="Verdana" w:cs="Verdana"/>
          <w:b/>
          <w:bCs/>
          <w:sz w:val="22"/>
          <w:szCs w:val="22"/>
        </w:rPr>
        <w:t>32</w:t>
      </w:r>
      <w:r w:rsidRPr="001E275F">
        <w:rPr>
          <w:rFonts w:ascii="Verdana" w:eastAsia="Verdana" w:hAnsi="Verdana" w:cs="Verdana"/>
          <w:b/>
          <w:bCs/>
          <w:sz w:val="22"/>
          <w:szCs w:val="22"/>
        </w:rPr>
        <w:t>. FUNCIONES DEL COMITÉ TÉCNICO PARA EL  MEJORAMIENTO DE LOS SERVICIOS DE PROTECCIÓN.</w:t>
      </w:r>
      <w:r>
        <w:rPr>
          <w:rFonts w:ascii="Verdana" w:eastAsia="Verdana" w:hAnsi="Verdana" w:cs="Verdana"/>
          <w:sz w:val="22"/>
          <w:szCs w:val="22"/>
        </w:rPr>
        <w:t xml:space="preserve"> Son funciones del Comité:</w:t>
      </w:r>
    </w:p>
    <w:p w14:paraId="000000C3"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1. Realizar análisis de riesgos que permitan identificar, en el marco de la prestación del servicio, situaciones que vulneren, amenacen e inobserven los derechos de niñas, niños, adolescentes, jóvenes y las familias.</w:t>
      </w:r>
    </w:p>
    <w:p w14:paraId="000000C4"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2. Analizar los resultados que presente la Oficina de Aseguramiento a la Calidad sobre las situaciones más recurrentes evidenciadas en el ejercicio de las acciones de inspección y vigilancia, con el fin de establecer estrategias que contribuyan a la mejora continua.</w:t>
      </w:r>
    </w:p>
    <w:p w14:paraId="000000C5"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3. Proponer mecanismos de alerta temprana para prevenir o atender situaciones que evidencien vulneración, amenaza y/o inobservancia de derechos.</w:t>
      </w:r>
    </w:p>
    <w:p w14:paraId="000000C6"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4. Definir acciones de fortalecimiento dirigidas a las instituciones que prestan servicios de protección, con el objetivo de mejorar las condiciones de prestación del servicio.</w:t>
      </w:r>
    </w:p>
    <w:p w14:paraId="000000C7"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5. Definir e impulsar acciones de mitigación frente a los impactos que puedan generarse en la prestación del servicio, en caso de que una institución sea sancionada como resultado de un proceso administrativo sancionatorio.</w:t>
      </w:r>
    </w:p>
    <w:p w14:paraId="000000C8"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6. Presentar iniciativas relacionadas con el ejercicio de las acciones de inspección, vigilancia y control.</w:t>
      </w:r>
    </w:p>
    <w:p w14:paraId="000000C9" w14:textId="77777777"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7. Las demás relacionadas con el mejoramiento de las condiciones de la prestación del servicio asignadas por la Directora General del ICBF.”</w:t>
      </w:r>
    </w:p>
    <w:p w14:paraId="000000CA" w14:textId="12E2FC27"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15</w:t>
      </w:r>
      <w:r>
        <w:rPr>
          <w:rFonts w:ascii="Verdana" w:eastAsia="Verdana" w:hAnsi="Verdana" w:cs="Verdana"/>
          <w:b/>
          <w:bCs/>
          <w:sz w:val="22"/>
          <w:szCs w:val="22"/>
        </w:rPr>
        <w:t>.</w:t>
      </w:r>
      <w:r>
        <w:rPr>
          <w:rFonts w:ascii="Verdana" w:eastAsia="Verdana" w:hAnsi="Verdana" w:cs="Verdana"/>
          <w:sz w:val="22"/>
          <w:szCs w:val="22"/>
        </w:rPr>
        <w:t xml:space="preserve"> Modifíquese el artículo 33° de la Resolución 6300 de 2024, el cual quedará así:</w:t>
      </w:r>
    </w:p>
    <w:p w14:paraId="000000CB" w14:textId="0EA9CB78"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w:t>
      </w:r>
      <w:r w:rsidRPr="001E275F">
        <w:rPr>
          <w:rFonts w:ascii="Verdana" w:eastAsia="Verdana" w:hAnsi="Verdana" w:cs="Verdana"/>
          <w:b/>
          <w:bCs/>
          <w:sz w:val="22"/>
          <w:szCs w:val="22"/>
        </w:rPr>
        <w:t xml:space="preserve">ARTÍCULO </w:t>
      </w:r>
      <w:r w:rsidR="001E275F" w:rsidRPr="001E275F">
        <w:rPr>
          <w:rFonts w:ascii="Verdana" w:eastAsia="Verdana" w:hAnsi="Verdana" w:cs="Verdana"/>
          <w:b/>
          <w:bCs/>
          <w:sz w:val="22"/>
          <w:szCs w:val="22"/>
        </w:rPr>
        <w:t>33</w:t>
      </w:r>
      <w:r w:rsidRPr="001E275F">
        <w:rPr>
          <w:rFonts w:ascii="Verdana" w:eastAsia="Verdana" w:hAnsi="Verdana" w:cs="Verdana"/>
          <w:b/>
          <w:bCs/>
          <w:sz w:val="22"/>
          <w:szCs w:val="22"/>
        </w:rPr>
        <w:t>. SESIONES.</w:t>
      </w:r>
      <w:r>
        <w:rPr>
          <w:rFonts w:ascii="Verdana" w:eastAsia="Verdana" w:hAnsi="Verdana" w:cs="Verdana"/>
          <w:sz w:val="22"/>
          <w:szCs w:val="22"/>
        </w:rPr>
        <w:t xml:space="preserve"> El Comité se reunirá presencial o virtualmente, previa convocatoria de la Secretaría Técnica. Del desarrollo de cada sesión del Comité se dejará constancia mediante acta”.</w:t>
      </w:r>
    </w:p>
    <w:p w14:paraId="000000CC" w14:textId="0BAD1E45"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16</w:t>
      </w:r>
      <w:r>
        <w:rPr>
          <w:rFonts w:ascii="Verdana" w:eastAsia="Verdana" w:hAnsi="Verdana" w:cs="Verdana"/>
          <w:b/>
          <w:bCs/>
          <w:sz w:val="22"/>
          <w:szCs w:val="22"/>
        </w:rPr>
        <w:t>.</w:t>
      </w:r>
      <w:r>
        <w:rPr>
          <w:rFonts w:ascii="Verdana" w:eastAsia="Verdana" w:hAnsi="Verdana" w:cs="Verdana"/>
          <w:sz w:val="22"/>
          <w:szCs w:val="22"/>
        </w:rPr>
        <w:t xml:space="preserve"> Modifíquese el artículo 44° de la Resolución 6300 de 2024, el cual quedará así:</w:t>
      </w:r>
    </w:p>
    <w:p w14:paraId="000000CD" w14:textId="08A468C4" w:rsidR="001E3361" w:rsidRDefault="00000000" w:rsidP="001E275F">
      <w:pPr>
        <w:ind w:left="426"/>
        <w:jc w:val="both"/>
        <w:rPr>
          <w:rFonts w:ascii="Verdana" w:eastAsia="Verdana" w:hAnsi="Verdana" w:cs="Verdana"/>
          <w:sz w:val="22"/>
          <w:szCs w:val="22"/>
        </w:rPr>
      </w:pPr>
      <w:r>
        <w:rPr>
          <w:rFonts w:ascii="Verdana" w:eastAsia="Verdana" w:hAnsi="Verdana" w:cs="Verdana"/>
          <w:sz w:val="22"/>
          <w:szCs w:val="22"/>
        </w:rPr>
        <w:t>“</w:t>
      </w:r>
      <w:r w:rsidRPr="001E275F">
        <w:rPr>
          <w:rFonts w:ascii="Verdana" w:eastAsia="Verdana" w:hAnsi="Verdana" w:cs="Verdana"/>
          <w:b/>
          <w:bCs/>
          <w:sz w:val="22"/>
          <w:szCs w:val="22"/>
        </w:rPr>
        <w:t xml:space="preserve">ARTÍCULO </w:t>
      </w:r>
      <w:r w:rsidR="001E275F" w:rsidRPr="001E275F">
        <w:rPr>
          <w:rFonts w:ascii="Verdana" w:eastAsia="Verdana" w:hAnsi="Verdana" w:cs="Verdana"/>
          <w:b/>
          <w:bCs/>
          <w:sz w:val="22"/>
          <w:szCs w:val="22"/>
        </w:rPr>
        <w:t>44</w:t>
      </w:r>
      <w:r w:rsidRPr="001E275F">
        <w:rPr>
          <w:rFonts w:ascii="Verdana" w:eastAsia="Verdana" w:hAnsi="Verdana" w:cs="Verdana"/>
          <w:b/>
          <w:bCs/>
          <w:sz w:val="22"/>
          <w:szCs w:val="22"/>
        </w:rPr>
        <w:t>. INICIO DEL PROCEDIMIENTO ADMINISTRATIVO SANCIONATORIO.</w:t>
      </w:r>
      <w:r>
        <w:rPr>
          <w:rFonts w:ascii="Verdana" w:eastAsia="Verdana" w:hAnsi="Verdana" w:cs="Verdana"/>
          <w:sz w:val="22"/>
          <w:szCs w:val="22"/>
        </w:rPr>
        <w:t xml:space="preserve"> El procedimiento administrativo sancionatorio iniciará de conformidad con lo establecido en el inciso 2 del artículo 47 del CPACA, cuando como resultado de averiguaciones preliminares, la Dirección General del ICBF a través de la Oficina de Aseguramiento a la Calidad establezca que existe mérito para adelantar el mismo, en contra de una institución que </w:t>
      </w:r>
      <w:r>
        <w:rPr>
          <w:rFonts w:ascii="Verdana" w:eastAsia="Verdana" w:hAnsi="Verdana" w:cs="Verdana"/>
          <w:sz w:val="22"/>
          <w:szCs w:val="22"/>
        </w:rPr>
        <w:lastRenderedPageBreak/>
        <w:t>preste el servicio de protección dirigido a niñas, niños, adolescentes, jóvenes o las familias.</w:t>
      </w:r>
    </w:p>
    <w:p w14:paraId="000000CE" w14:textId="292A0B0A" w:rsidR="001E3361" w:rsidRDefault="00000000" w:rsidP="001E275F">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1E275F">
        <w:rPr>
          <w:rFonts w:ascii="Verdana" w:eastAsia="Verdana" w:hAnsi="Verdana" w:cs="Verdana"/>
          <w:b/>
          <w:bCs/>
          <w:sz w:val="22"/>
          <w:szCs w:val="22"/>
        </w:rPr>
        <w:t>1</w:t>
      </w:r>
      <w:r>
        <w:rPr>
          <w:rFonts w:ascii="Verdana" w:eastAsia="Verdana" w:hAnsi="Verdana" w:cs="Verdana"/>
          <w:b/>
          <w:bCs/>
          <w:sz w:val="22"/>
          <w:szCs w:val="22"/>
        </w:rPr>
        <w:t>.</w:t>
      </w:r>
      <w:r>
        <w:rPr>
          <w:rFonts w:ascii="Verdana" w:eastAsia="Verdana" w:hAnsi="Verdana" w:cs="Verdana"/>
          <w:sz w:val="22"/>
          <w:szCs w:val="22"/>
        </w:rPr>
        <w:t xml:space="preserve"> Se podrá dar inicio a la actuación administrativa sancionatoria en los casos en que se remita o compulse a la Oficina de Aseguramiento la Calidad, copia de la citación a la audiencia o sanción ejecutoriada de que trata el artículo 86 de la Ley 1474 de 2011 con miras a hacer efectiva la cláusula penal o la declaratoria de la caducidad de un contrato celebrado por el ICBF para la prestación del servicio público de bienestar familiar, mediante el cual se advierta un presunto incumplimiento grave o definitivo en las obligaciones asociadas a la atención de los niños, niñas, adolescentes, jóvenes o las familias.</w:t>
      </w:r>
    </w:p>
    <w:p w14:paraId="000000CF" w14:textId="1FB02286" w:rsidR="001E3361" w:rsidRDefault="00000000" w:rsidP="001E275F">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1E275F">
        <w:rPr>
          <w:rFonts w:ascii="Verdana" w:eastAsia="Verdana" w:hAnsi="Verdana" w:cs="Verdana"/>
          <w:b/>
          <w:bCs/>
          <w:sz w:val="22"/>
          <w:szCs w:val="22"/>
        </w:rPr>
        <w:t>2</w:t>
      </w:r>
      <w:r>
        <w:rPr>
          <w:rFonts w:ascii="Verdana" w:eastAsia="Verdana" w:hAnsi="Verdana" w:cs="Verdana"/>
          <w:b/>
          <w:bCs/>
          <w:sz w:val="22"/>
          <w:szCs w:val="22"/>
        </w:rPr>
        <w:t>.</w:t>
      </w:r>
      <w:r>
        <w:rPr>
          <w:rFonts w:ascii="Verdana" w:eastAsia="Verdana" w:hAnsi="Verdana" w:cs="Verdana"/>
          <w:sz w:val="22"/>
          <w:szCs w:val="22"/>
        </w:rPr>
        <w:t xml:space="preserve"> En cualquier etapa del proceso administrativo sancionatorio y cuando se cuente con plena certeza de que no existe mérito suficiente para continuar con la respectiva investigación, la Dirección General del ICBF, mediante acto administrativo motivado, podrá archivar la actuación administrativa sancionatoria.</w:t>
      </w:r>
    </w:p>
    <w:p w14:paraId="000000D0" w14:textId="1C130A14" w:rsidR="001E3361" w:rsidRDefault="00000000" w:rsidP="001E275F">
      <w:pPr>
        <w:ind w:left="426"/>
        <w:jc w:val="both"/>
        <w:rPr>
          <w:rFonts w:ascii="Verdana" w:eastAsia="Verdana" w:hAnsi="Verdana" w:cs="Verdana"/>
          <w:sz w:val="22"/>
          <w:szCs w:val="22"/>
        </w:rPr>
      </w:pPr>
      <w:r>
        <w:rPr>
          <w:rFonts w:ascii="Verdana" w:eastAsia="Verdana" w:hAnsi="Verdana" w:cs="Verdana"/>
          <w:b/>
          <w:bCs/>
          <w:sz w:val="22"/>
          <w:szCs w:val="22"/>
        </w:rPr>
        <w:t xml:space="preserve">PARÁGRAFO </w:t>
      </w:r>
      <w:r w:rsidR="001E275F">
        <w:rPr>
          <w:rFonts w:ascii="Verdana" w:eastAsia="Verdana" w:hAnsi="Verdana" w:cs="Verdana"/>
          <w:b/>
          <w:bCs/>
          <w:sz w:val="22"/>
          <w:szCs w:val="22"/>
        </w:rPr>
        <w:t>3</w:t>
      </w:r>
      <w:r>
        <w:rPr>
          <w:rFonts w:ascii="Verdana" w:eastAsia="Verdana" w:hAnsi="Verdana" w:cs="Verdana"/>
          <w:b/>
          <w:bCs/>
          <w:sz w:val="22"/>
          <w:szCs w:val="22"/>
        </w:rPr>
        <w:t>.</w:t>
      </w:r>
      <w:r>
        <w:rPr>
          <w:rFonts w:ascii="Verdana" w:eastAsia="Verdana" w:hAnsi="Verdana" w:cs="Verdana"/>
          <w:sz w:val="22"/>
          <w:szCs w:val="22"/>
        </w:rPr>
        <w:t xml:space="preserve"> Los aspectos procesales y probatorios propios del proceso administrativo sancionatorio se sujetarán a lo dispuesto en el CPACA y en el artículo 164 y subsiguientes de la Ley 1564 de 2012 – Código General del Proceso.”</w:t>
      </w:r>
    </w:p>
    <w:p w14:paraId="000000D1" w14:textId="214820BA"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17</w:t>
      </w:r>
      <w:r>
        <w:rPr>
          <w:rFonts w:ascii="Verdana" w:eastAsia="Verdana" w:hAnsi="Verdana" w:cs="Verdana"/>
          <w:b/>
          <w:bCs/>
          <w:sz w:val="22"/>
          <w:szCs w:val="22"/>
        </w:rPr>
        <w:t>.</w:t>
      </w:r>
      <w:r>
        <w:rPr>
          <w:rFonts w:ascii="Verdana" w:eastAsia="Verdana" w:hAnsi="Verdana" w:cs="Verdana"/>
          <w:sz w:val="22"/>
          <w:szCs w:val="22"/>
        </w:rPr>
        <w:t xml:space="preserve"> Modifíquese el artículo 48° de la Resolución 6300 de 2024, el cual quedará así:</w:t>
      </w:r>
    </w:p>
    <w:p w14:paraId="000000D2" w14:textId="54E9FF9C"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w:t>
      </w:r>
      <w:r w:rsidRPr="001E275F">
        <w:rPr>
          <w:rFonts w:ascii="Verdana" w:eastAsia="Verdana" w:hAnsi="Verdana" w:cs="Verdana"/>
          <w:b/>
          <w:bCs/>
          <w:sz w:val="22"/>
          <w:szCs w:val="22"/>
        </w:rPr>
        <w:t xml:space="preserve">ARTÍCULO </w:t>
      </w:r>
      <w:r w:rsidR="001E275F">
        <w:rPr>
          <w:rFonts w:ascii="Verdana" w:eastAsia="Verdana" w:hAnsi="Verdana" w:cs="Verdana"/>
          <w:b/>
          <w:bCs/>
          <w:sz w:val="22"/>
          <w:szCs w:val="22"/>
        </w:rPr>
        <w:t>48</w:t>
      </w:r>
      <w:r w:rsidRPr="001E275F">
        <w:rPr>
          <w:rFonts w:ascii="Verdana" w:eastAsia="Verdana" w:hAnsi="Verdana" w:cs="Verdana"/>
          <w:b/>
          <w:bCs/>
          <w:sz w:val="22"/>
          <w:szCs w:val="22"/>
        </w:rPr>
        <w:t>. SUSPENSIÓN PROVISIONAL DE LA PERSONERÍA JURÍDICA O LICENCIA DE FUNCIONAMIENTO COMO MEDIDA CAUTELAR.</w:t>
      </w:r>
    </w:p>
    <w:p w14:paraId="000000D3"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La Directora General del ICBF, en el marco del proceso administrativo sancionatorio, podrá ordenar, mediante acto administrativo motivado, la suspensión provisional de la personería jurídica o de la licencia de funcionamiento, siempre y cuando se evidencien los elementos de juicio suficientes que permitan establecer que, con la continuidad de la prestación del servicio, se vulneran, amenazan e inobservan los derechos de las niñas, niños,</w:t>
      </w:r>
    </w:p>
    <w:p w14:paraId="000000D4"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adolescentes, jóvenes o las familias. Lo anterior se podrá constatar a partir de la información contenida en actas, informes y demás elementos recaudados por las autoridades competentes.</w:t>
      </w:r>
    </w:p>
    <w:p w14:paraId="000000D5"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 xml:space="preserve">También podrá ordenar, mediante acto administrativo motivado, la suspensión provisional de la personería jurídica o de la licencia de </w:t>
      </w:r>
      <w:r>
        <w:rPr>
          <w:rFonts w:ascii="Verdana" w:eastAsia="Verdana" w:hAnsi="Verdana" w:cs="Verdana"/>
          <w:sz w:val="22"/>
          <w:szCs w:val="22"/>
        </w:rPr>
        <w:lastRenderedPageBreak/>
        <w:t>funcionamiento, en todos los casos en que se remita o compulse a la Oficina de Aseguramiento a la Calidad, copia de la citación a la audiencia de que trata el artículo 86 de la Ley 1474 de 2011 con miras a hacer efectiva la cláusula penal o la declaratoria de la caducidad de un contrato celebrado por el ICBF para la prestación del servicio público de bienestar familiar, o de los documentos y pruebas obtenidas durante la audiencia, mediante las cuales se advierta un presunto incumplimiento grave o definitivo en las obligaciones asociadas a la atención de los niños, niñas, y adolescentes, jóvenes y familias. La suspensión provisional podrá adelantarse en cualquier etapa del proceso administrativo y no estará supeditado a la finalización o resultado del proceso administrativo sancionatorio contractual.</w:t>
      </w:r>
    </w:p>
    <w:p w14:paraId="000000D6"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 xml:space="preserve">El término de la suspensión provisional será de hasta cuatro (4) meses, prorrogables por el mismo tiempo establecido; plazo en el cual se debe continuar con los trámites del proceso administrativo sancionatorio. </w:t>
      </w:r>
    </w:p>
    <w:p w14:paraId="000000D7"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 xml:space="preserve">Cuando desaparezcan los motivos que dieron lugar a la suspensión provisional, la medida podrá ser levantada, mediante acto administrativo que así lo determine. </w:t>
      </w:r>
    </w:p>
    <w:p w14:paraId="000000D8"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Cuando la sanción impuesta al finalizar el proceso administrativo sancionatorio sea la suspensión de la personería jurídica o licencia de funcionamiento de la institución, dentro del cómputo de dicha sanción se tendrá en cuenta el tiempo en que estuvo vigente la medida cautelar.”</w:t>
      </w:r>
    </w:p>
    <w:p w14:paraId="000000D9" w14:textId="563F0962"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18</w:t>
      </w:r>
      <w:r>
        <w:rPr>
          <w:rFonts w:ascii="Verdana" w:eastAsia="Verdana" w:hAnsi="Verdana" w:cs="Verdana"/>
          <w:sz w:val="22"/>
          <w:szCs w:val="22"/>
        </w:rPr>
        <w:t>. Adiciónense los numerales 5 y 6 al artículo 55° de la Resolución 6300 de 2024, el cual contiene el siguiente texto:</w:t>
      </w:r>
    </w:p>
    <w:p w14:paraId="000000DA"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t>“5. Las entidades que obtuvieron reconocimiento de su personería por parte de autoridad administrativa (ministerios o entidades territoriales) antes de la entrada en vigor del Decreto Ley 2150 de 05 de diciembre de 1995, las que obtuvieron reconocimiento de su personería por parte de autoridad canónica o católica competente, las que se inscribieron ante la Cámara de Comercio del lugar de su domicilio dentro del periodo comprendido entre el 5 de marzo de 1996 al 14 de agosto de 1996, las instituciones educativas y en general todas las entidades que presten o estén interesadas en prestar los servicios de protección dirigidos a niñas, niños, adolescentes y jóvenes y que a la entrada en vigencia de la presente Resolución no cuenten con el reconocimiento de la personería jurídica por parte del ICBF, tendrán el deber de adelantar el trámite correspondiente de conformidad con los requisitos establecidos en el artículo 7 de la presente Resolución y tendrán hasta 6 meses para obtener el respectivo reconocimiento, a partir de la entrada en vigencia del presente acto administrativo.”</w:t>
      </w:r>
    </w:p>
    <w:p w14:paraId="000000DB" w14:textId="77777777" w:rsidR="001E3361" w:rsidRDefault="00000000" w:rsidP="001E275F">
      <w:pPr>
        <w:ind w:left="567"/>
        <w:jc w:val="both"/>
        <w:rPr>
          <w:rFonts w:ascii="Verdana" w:eastAsia="Verdana" w:hAnsi="Verdana" w:cs="Verdana"/>
          <w:sz w:val="22"/>
          <w:szCs w:val="22"/>
        </w:rPr>
      </w:pPr>
      <w:r>
        <w:rPr>
          <w:rFonts w:ascii="Verdana" w:eastAsia="Verdana" w:hAnsi="Verdana" w:cs="Verdana"/>
          <w:sz w:val="22"/>
          <w:szCs w:val="22"/>
        </w:rPr>
        <w:lastRenderedPageBreak/>
        <w:t>“6. Los resultados del ejercicio de las acciones de inspección, vigilancia y control, realizados antes de la expedición del presente acto administrativo, que no fueron presentados ante el Comité de Inspección, Vigilancia y Control, le corresponderá a la Oficina de Aseguramiento a la Calidad, determinar las acciones a seguir”</w:t>
      </w:r>
    </w:p>
    <w:p w14:paraId="000000DC" w14:textId="4AD1C77C"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19</w:t>
      </w:r>
      <w:r>
        <w:rPr>
          <w:rFonts w:ascii="Verdana" w:eastAsia="Verdana" w:hAnsi="Verdana" w:cs="Verdana"/>
          <w:b/>
          <w:bCs/>
          <w:sz w:val="22"/>
          <w:szCs w:val="22"/>
        </w:rPr>
        <w:t>.</w:t>
      </w:r>
      <w:r>
        <w:rPr>
          <w:rFonts w:ascii="Verdana" w:eastAsia="Verdana" w:hAnsi="Verdana" w:cs="Verdana"/>
          <w:sz w:val="22"/>
          <w:szCs w:val="22"/>
        </w:rPr>
        <w:t xml:space="preserve"> </w:t>
      </w:r>
      <w:r w:rsidRPr="001E275F">
        <w:rPr>
          <w:rFonts w:ascii="Verdana" w:eastAsia="Verdana" w:hAnsi="Verdana" w:cs="Verdana"/>
          <w:b/>
          <w:bCs/>
          <w:sz w:val="22"/>
          <w:szCs w:val="22"/>
        </w:rPr>
        <w:t>COMUNÍQUESE</w:t>
      </w:r>
      <w:r>
        <w:rPr>
          <w:rFonts w:ascii="Verdana" w:eastAsia="Verdana" w:hAnsi="Verdana" w:cs="Verdana"/>
          <w:sz w:val="22"/>
          <w:szCs w:val="22"/>
        </w:rPr>
        <w:t xml:space="preserve"> el contenido de la presente Resolución a los interesados, a través de la Oficina de Aseguramiento a la Calidad.</w:t>
      </w:r>
    </w:p>
    <w:p w14:paraId="000000DD" w14:textId="7738CDE8"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20</w:t>
      </w:r>
      <w:r>
        <w:rPr>
          <w:rFonts w:ascii="Verdana" w:eastAsia="Verdana" w:hAnsi="Verdana" w:cs="Verdana"/>
          <w:b/>
          <w:bCs/>
          <w:sz w:val="22"/>
          <w:szCs w:val="22"/>
        </w:rPr>
        <w:t>.</w:t>
      </w:r>
      <w:r>
        <w:rPr>
          <w:rFonts w:ascii="Verdana" w:eastAsia="Verdana" w:hAnsi="Verdana" w:cs="Verdana"/>
          <w:sz w:val="22"/>
          <w:szCs w:val="22"/>
        </w:rPr>
        <w:t xml:space="preserve"> </w:t>
      </w:r>
      <w:r w:rsidRPr="001E275F">
        <w:rPr>
          <w:rFonts w:ascii="Verdana" w:eastAsia="Verdana" w:hAnsi="Verdana" w:cs="Verdana"/>
          <w:b/>
          <w:bCs/>
          <w:sz w:val="22"/>
          <w:szCs w:val="22"/>
        </w:rPr>
        <w:t>PUBLICACIÓN</w:t>
      </w:r>
      <w:r>
        <w:rPr>
          <w:rFonts w:ascii="Verdana" w:eastAsia="Verdana" w:hAnsi="Verdana" w:cs="Verdana"/>
          <w:sz w:val="22"/>
          <w:szCs w:val="22"/>
        </w:rPr>
        <w:t>. A través de la Oficina Asesora de Comunicaciones, PUBLÍQUESE la presente Resolución en el Diario Oficial y en la página web institucional del Instituto Colombiano de Bienestar Familiar – ICBF.</w:t>
      </w:r>
    </w:p>
    <w:p w14:paraId="000000DE" w14:textId="718913AC" w:rsidR="001E3361" w:rsidRDefault="00000000">
      <w:pPr>
        <w:jc w:val="both"/>
        <w:rPr>
          <w:rFonts w:ascii="Verdana" w:eastAsia="Verdana" w:hAnsi="Verdana" w:cs="Verdana"/>
          <w:sz w:val="22"/>
          <w:szCs w:val="22"/>
        </w:rPr>
      </w:pPr>
      <w:r>
        <w:rPr>
          <w:rFonts w:ascii="Verdana" w:eastAsia="Verdana" w:hAnsi="Verdana" w:cs="Verdana"/>
          <w:b/>
          <w:bCs/>
          <w:sz w:val="22"/>
          <w:szCs w:val="22"/>
        </w:rPr>
        <w:t xml:space="preserve">ARTÍCULO </w:t>
      </w:r>
      <w:r w:rsidR="001E275F">
        <w:rPr>
          <w:rFonts w:ascii="Verdana" w:eastAsia="Verdana" w:hAnsi="Verdana" w:cs="Verdana"/>
          <w:b/>
          <w:bCs/>
          <w:sz w:val="22"/>
          <w:szCs w:val="22"/>
        </w:rPr>
        <w:t>21</w:t>
      </w:r>
      <w:r>
        <w:rPr>
          <w:rFonts w:ascii="Verdana" w:eastAsia="Verdana" w:hAnsi="Verdana" w:cs="Verdana"/>
          <w:b/>
          <w:bCs/>
          <w:sz w:val="22"/>
          <w:szCs w:val="22"/>
        </w:rPr>
        <w:t>.</w:t>
      </w:r>
      <w:r>
        <w:rPr>
          <w:rFonts w:ascii="Verdana" w:eastAsia="Verdana" w:hAnsi="Verdana" w:cs="Verdana"/>
          <w:sz w:val="22"/>
          <w:szCs w:val="22"/>
        </w:rPr>
        <w:t xml:space="preserve"> </w:t>
      </w:r>
      <w:r w:rsidRPr="001E275F">
        <w:rPr>
          <w:rFonts w:ascii="Verdana" w:eastAsia="Verdana" w:hAnsi="Verdana" w:cs="Verdana"/>
          <w:b/>
          <w:bCs/>
          <w:sz w:val="22"/>
          <w:szCs w:val="22"/>
        </w:rPr>
        <w:t>VIGENCIA Y DEROGATORIA</w:t>
      </w:r>
      <w:r>
        <w:rPr>
          <w:rFonts w:ascii="Verdana" w:eastAsia="Verdana" w:hAnsi="Verdana" w:cs="Verdana"/>
          <w:sz w:val="22"/>
          <w:szCs w:val="22"/>
        </w:rPr>
        <w:t>. La presente Resolución rige a partir de la fecha de su publicación, modifica los artículos 3, 6, 7, 8, 9, 14, 15, 17, 18, 23, 27, 30, 31, 32, 33, 44, 48 y 55 y deroga el artículo 43 de la Resolución 6300 de 2024.</w:t>
      </w:r>
    </w:p>
    <w:p w14:paraId="000000DF" w14:textId="77777777" w:rsidR="001E3361" w:rsidRDefault="001E3361">
      <w:pPr>
        <w:jc w:val="both"/>
        <w:rPr>
          <w:rFonts w:ascii="Verdana" w:eastAsia="Verdana" w:hAnsi="Verdana" w:cs="Verdana"/>
          <w:sz w:val="22"/>
          <w:szCs w:val="22"/>
        </w:rPr>
      </w:pPr>
    </w:p>
    <w:p w14:paraId="000000E0" w14:textId="77777777" w:rsidR="001E3361" w:rsidRPr="009C349F" w:rsidRDefault="00000000">
      <w:pPr>
        <w:jc w:val="center"/>
        <w:rPr>
          <w:rFonts w:ascii="Verdana" w:eastAsia="Verdana" w:hAnsi="Verdana" w:cs="Verdana"/>
          <w:b/>
          <w:bCs/>
          <w:sz w:val="22"/>
          <w:szCs w:val="22"/>
        </w:rPr>
      </w:pPr>
      <w:r w:rsidRPr="009C349F">
        <w:rPr>
          <w:rFonts w:ascii="Verdana" w:eastAsia="Verdana" w:hAnsi="Verdana" w:cs="Verdana"/>
          <w:b/>
          <w:bCs/>
          <w:sz w:val="22"/>
          <w:szCs w:val="22"/>
        </w:rPr>
        <w:t>PUBLÍQUESE, COMUNÍQUESE Y CÚMPLASE</w:t>
      </w:r>
    </w:p>
    <w:p w14:paraId="000000E1" w14:textId="77777777" w:rsidR="001E3361" w:rsidRDefault="00000000">
      <w:pPr>
        <w:jc w:val="center"/>
        <w:rPr>
          <w:rFonts w:ascii="Verdana" w:eastAsia="Verdana" w:hAnsi="Verdana" w:cs="Verdana"/>
          <w:sz w:val="22"/>
          <w:szCs w:val="22"/>
        </w:rPr>
      </w:pPr>
      <w:r>
        <w:rPr>
          <w:rFonts w:ascii="Verdana" w:eastAsia="Verdana" w:hAnsi="Verdana" w:cs="Verdana"/>
          <w:sz w:val="22"/>
          <w:szCs w:val="22"/>
        </w:rPr>
        <w:t>Dada en Bogotá D.C. a los 16 días de diciembre de 2025</w:t>
      </w:r>
    </w:p>
    <w:p w14:paraId="000000E2" w14:textId="77777777" w:rsidR="001E3361" w:rsidRDefault="00000000">
      <w:pPr>
        <w:jc w:val="center"/>
        <w:rPr>
          <w:rFonts w:ascii="Verdana" w:eastAsia="Verdana" w:hAnsi="Verdana" w:cs="Verdana"/>
          <w:b/>
          <w:bCs/>
          <w:sz w:val="22"/>
          <w:szCs w:val="22"/>
        </w:rPr>
      </w:pPr>
      <w:r>
        <w:rPr>
          <w:rFonts w:ascii="Verdana" w:eastAsia="Verdana" w:hAnsi="Verdana" w:cs="Verdana"/>
          <w:b/>
          <w:bCs/>
          <w:sz w:val="22"/>
          <w:szCs w:val="22"/>
        </w:rPr>
        <w:t>ASTRID ELIANA CÁCERES CÁRDENAS</w:t>
      </w:r>
    </w:p>
    <w:p w14:paraId="000000E3" w14:textId="77777777" w:rsidR="001E3361" w:rsidRDefault="00000000">
      <w:pPr>
        <w:jc w:val="center"/>
        <w:rPr>
          <w:rFonts w:ascii="Verdana" w:eastAsia="Verdana" w:hAnsi="Verdana" w:cs="Verdana"/>
          <w:sz w:val="22"/>
          <w:szCs w:val="22"/>
        </w:rPr>
      </w:pPr>
      <w:r>
        <w:rPr>
          <w:rFonts w:ascii="Verdana" w:eastAsia="Verdana" w:hAnsi="Verdana" w:cs="Verdana"/>
          <w:sz w:val="22"/>
          <w:szCs w:val="22"/>
        </w:rPr>
        <w:t>DIRECTORA GENERAL</w:t>
      </w:r>
    </w:p>
    <w:sectPr w:rsidR="001E3361">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320425AF-9840-4844-B189-10EDF8E13CA2}"/>
    <w:embedItalic r:id="rId2" w:fontKey="{813D1E1A-2E1C-4288-A050-577230B398D6}"/>
  </w:font>
  <w:font w:name="Play">
    <w:charset w:val="00"/>
    <w:family w:val="auto"/>
    <w:pitch w:val="default"/>
    <w:embedRegular r:id="rId3" w:fontKey="{16EF0452-ACBC-48BA-BC4F-318650FAFDEA}"/>
  </w:font>
  <w:font w:name="Aptos Display">
    <w:charset w:val="00"/>
    <w:family w:val="swiss"/>
    <w:pitch w:val="variable"/>
    <w:sig w:usb0="20000287" w:usb1="00000003" w:usb2="00000000" w:usb3="00000000" w:csb0="0000019F" w:csb1="00000000"/>
    <w:embedRegular r:id="rId4" w:fontKey="{6AEC2E80-55F2-40FB-B522-9ED9E9ED0D39}"/>
  </w:font>
  <w:font w:name="Verdana">
    <w:panose1 w:val="020B0604030504040204"/>
    <w:charset w:val="00"/>
    <w:family w:val="swiss"/>
    <w:pitch w:val="variable"/>
    <w:sig w:usb0="A00006FF" w:usb1="4000205B" w:usb2="00000010" w:usb3="00000000" w:csb0="0000019F" w:csb1="00000000"/>
    <w:embedRegular r:id="rId5" w:fontKey="{34FB5DF0-1764-4349-A5EC-62F2A293B685}"/>
    <w:embedBold r:id="rId6" w:fontKey="{7F30527C-8E9E-48ED-8056-FC35D3AB40D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AB3789"/>
    <w:multiLevelType w:val="hybridMultilevel"/>
    <w:tmpl w:val="7674AC0C"/>
    <w:lvl w:ilvl="0" w:tplc="240A0019">
      <w:start w:val="1"/>
      <w:numFmt w:val="lowerLetter"/>
      <w:lvlText w:val="%1."/>
      <w:lvlJc w:val="left"/>
      <w:pPr>
        <w:ind w:left="1287" w:hanging="360"/>
      </w:pPr>
    </w:lvl>
    <w:lvl w:ilvl="1" w:tplc="240A0019" w:tentative="1">
      <w:start w:val="1"/>
      <w:numFmt w:val="lowerLetter"/>
      <w:lvlText w:val="%2."/>
      <w:lvlJc w:val="left"/>
      <w:pPr>
        <w:ind w:left="2007" w:hanging="360"/>
      </w:pPr>
    </w:lvl>
    <w:lvl w:ilvl="2" w:tplc="240A001B" w:tentative="1">
      <w:start w:val="1"/>
      <w:numFmt w:val="lowerRoman"/>
      <w:lvlText w:val="%3."/>
      <w:lvlJc w:val="right"/>
      <w:pPr>
        <w:ind w:left="2727" w:hanging="180"/>
      </w:pPr>
    </w:lvl>
    <w:lvl w:ilvl="3" w:tplc="240A000F" w:tentative="1">
      <w:start w:val="1"/>
      <w:numFmt w:val="decimal"/>
      <w:lvlText w:val="%4."/>
      <w:lvlJc w:val="left"/>
      <w:pPr>
        <w:ind w:left="3447" w:hanging="360"/>
      </w:pPr>
    </w:lvl>
    <w:lvl w:ilvl="4" w:tplc="240A0019" w:tentative="1">
      <w:start w:val="1"/>
      <w:numFmt w:val="lowerLetter"/>
      <w:lvlText w:val="%5."/>
      <w:lvlJc w:val="left"/>
      <w:pPr>
        <w:ind w:left="4167" w:hanging="360"/>
      </w:pPr>
    </w:lvl>
    <w:lvl w:ilvl="5" w:tplc="240A001B" w:tentative="1">
      <w:start w:val="1"/>
      <w:numFmt w:val="lowerRoman"/>
      <w:lvlText w:val="%6."/>
      <w:lvlJc w:val="right"/>
      <w:pPr>
        <w:ind w:left="4887" w:hanging="180"/>
      </w:pPr>
    </w:lvl>
    <w:lvl w:ilvl="6" w:tplc="240A000F" w:tentative="1">
      <w:start w:val="1"/>
      <w:numFmt w:val="decimal"/>
      <w:lvlText w:val="%7."/>
      <w:lvlJc w:val="left"/>
      <w:pPr>
        <w:ind w:left="5607" w:hanging="360"/>
      </w:pPr>
    </w:lvl>
    <w:lvl w:ilvl="7" w:tplc="240A0019" w:tentative="1">
      <w:start w:val="1"/>
      <w:numFmt w:val="lowerLetter"/>
      <w:lvlText w:val="%8."/>
      <w:lvlJc w:val="left"/>
      <w:pPr>
        <w:ind w:left="6327" w:hanging="360"/>
      </w:pPr>
    </w:lvl>
    <w:lvl w:ilvl="8" w:tplc="240A001B" w:tentative="1">
      <w:start w:val="1"/>
      <w:numFmt w:val="lowerRoman"/>
      <w:lvlText w:val="%9."/>
      <w:lvlJc w:val="right"/>
      <w:pPr>
        <w:ind w:left="7047" w:hanging="180"/>
      </w:pPr>
    </w:lvl>
  </w:abstractNum>
  <w:abstractNum w:abstractNumId="1" w15:restartNumberingAfterBreak="0">
    <w:nsid w:val="478D3696"/>
    <w:multiLevelType w:val="hybridMultilevel"/>
    <w:tmpl w:val="F1B2C416"/>
    <w:lvl w:ilvl="0" w:tplc="4AF60D64">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490A3FFA"/>
    <w:multiLevelType w:val="multilevel"/>
    <w:tmpl w:val="08D66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129793A"/>
    <w:multiLevelType w:val="hybridMultilevel"/>
    <w:tmpl w:val="F0E29040"/>
    <w:lvl w:ilvl="0" w:tplc="240A0019">
      <w:start w:val="1"/>
      <w:numFmt w:val="lowerLetter"/>
      <w:lvlText w:val="%1."/>
      <w:lvlJc w:val="left"/>
      <w:pPr>
        <w:ind w:left="1287" w:hanging="360"/>
      </w:pPr>
    </w:lvl>
    <w:lvl w:ilvl="1" w:tplc="240A0019" w:tentative="1">
      <w:start w:val="1"/>
      <w:numFmt w:val="lowerLetter"/>
      <w:lvlText w:val="%2."/>
      <w:lvlJc w:val="left"/>
      <w:pPr>
        <w:ind w:left="2007" w:hanging="360"/>
      </w:pPr>
    </w:lvl>
    <w:lvl w:ilvl="2" w:tplc="240A001B" w:tentative="1">
      <w:start w:val="1"/>
      <w:numFmt w:val="lowerRoman"/>
      <w:lvlText w:val="%3."/>
      <w:lvlJc w:val="right"/>
      <w:pPr>
        <w:ind w:left="2727" w:hanging="180"/>
      </w:pPr>
    </w:lvl>
    <w:lvl w:ilvl="3" w:tplc="240A000F" w:tentative="1">
      <w:start w:val="1"/>
      <w:numFmt w:val="decimal"/>
      <w:lvlText w:val="%4."/>
      <w:lvlJc w:val="left"/>
      <w:pPr>
        <w:ind w:left="3447" w:hanging="360"/>
      </w:pPr>
    </w:lvl>
    <w:lvl w:ilvl="4" w:tplc="240A0019" w:tentative="1">
      <w:start w:val="1"/>
      <w:numFmt w:val="lowerLetter"/>
      <w:lvlText w:val="%5."/>
      <w:lvlJc w:val="left"/>
      <w:pPr>
        <w:ind w:left="4167" w:hanging="360"/>
      </w:pPr>
    </w:lvl>
    <w:lvl w:ilvl="5" w:tplc="240A001B" w:tentative="1">
      <w:start w:val="1"/>
      <w:numFmt w:val="lowerRoman"/>
      <w:lvlText w:val="%6."/>
      <w:lvlJc w:val="right"/>
      <w:pPr>
        <w:ind w:left="4887" w:hanging="180"/>
      </w:pPr>
    </w:lvl>
    <w:lvl w:ilvl="6" w:tplc="240A000F" w:tentative="1">
      <w:start w:val="1"/>
      <w:numFmt w:val="decimal"/>
      <w:lvlText w:val="%7."/>
      <w:lvlJc w:val="left"/>
      <w:pPr>
        <w:ind w:left="5607" w:hanging="360"/>
      </w:pPr>
    </w:lvl>
    <w:lvl w:ilvl="7" w:tplc="240A0019" w:tentative="1">
      <w:start w:val="1"/>
      <w:numFmt w:val="lowerLetter"/>
      <w:lvlText w:val="%8."/>
      <w:lvlJc w:val="left"/>
      <w:pPr>
        <w:ind w:left="6327" w:hanging="360"/>
      </w:pPr>
    </w:lvl>
    <w:lvl w:ilvl="8" w:tplc="240A001B" w:tentative="1">
      <w:start w:val="1"/>
      <w:numFmt w:val="lowerRoman"/>
      <w:lvlText w:val="%9."/>
      <w:lvlJc w:val="right"/>
      <w:pPr>
        <w:ind w:left="7047" w:hanging="180"/>
      </w:pPr>
    </w:lvl>
  </w:abstractNum>
  <w:abstractNum w:abstractNumId="4" w15:restartNumberingAfterBreak="0">
    <w:nsid w:val="796566A0"/>
    <w:multiLevelType w:val="hybridMultilevel"/>
    <w:tmpl w:val="EF368816"/>
    <w:lvl w:ilvl="0" w:tplc="DAB85BFA">
      <w:start w:val="1"/>
      <w:numFmt w:val="lowerRoman"/>
      <w:lvlText w:val="%1."/>
      <w:lvlJc w:val="left"/>
      <w:pPr>
        <w:ind w:left="1287" w:hanging="72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5" w15:restartNumberingAfterBreak="0">
    <w:nsid w:val="7C79128F"/>
    <w:multiLevelType w:val="hybridMultilevel"/>
    <w:tmpl w:val="6BB693E6"/>
    <w:lvl w:ilvl="0" w:tplc="BEB267EE">
      <w:start w:val="1"/>
      <w:numFmt w:val="lowerLetter"/>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abstractNum w:abstractNumId="6" w15:restartNumberingAfterBreak="0">
    <w:nsid w:val="7CBA4509"/>
    <w:multiLevelType w:val="hybridMultilevel"/>
    <w:tmpl w:val="C5922E4E"/>
    <w:lvl w:ilvl="0" w:tplc="1138E640">
      <w:start w:val="1"/>
      <w:numFmt w:val="lowerLetter"/>
      <w:lvlText w:val="%1."/>
      <w:lvlJc w:val="left"/>
      <w:pPr>
        <w:ind w:left="927" w:hanging="360"/>
      </w:pPr>
      <w:rPr>
        <w:rFonts w:hint="default"/>
      </w:rPr>
    </w:lvl>
    <w:lvl w:ilvl="1" w:tplc="240A0019" w:tentative="1">
      <w:start w:val="1"/>
      <w:numFmt w:val="lowerLetter"/>
      <w:lvlText w:val="%2."/>
      <w:lvlJc w:val="left"/>
      <w:pPr>
        <w:ind w:left="1647" w:hanging="360"/>
      </w:pPr>
    </w:lvl>
    <w:lvl w:ilvl="2" w:tplc="240A001B" w:tentative="1">
      <w:start w:val="1"/>
      <w:numFmt w:val="lowerRoman"/>
      <w:lvlText w:val="%3."/>
      <w:lvlJc w:val="right"/>
      <w:pPr>
        <w:ind w:left="2367" w:hanging="180"/>
      </w:pPr>
    </w:lvl>
    <w:lvl w:ilvl="3" w:tplc="240A000F" w:tentative="1">
      <w:start w:val="1"/>
      <w:numFmt w:val="decimal"/>
      <w:lvlText w:val="%4."/>
      <w:lvlJc w:val="left"/>
      <w:pPr>
        <w:ind w:left="3087" w:hanging="360"/>
      </w:pPr>
    </w:lvl>
    <w:lvl w:ilvl="4" w:tplc="240A0019" w:tentative="1">
      <w:start w:val="1"/>
      <w:numFmt w:val="lowerLetter"/>
      <w:lvlText w:val="%5."/>
      <w:lvlJc w:val="left"/>
      <w:pPr>
        <w:ind w:left="3807" w:hanging="360"/>
      </w:pPr>
    </w:lvl>
    <w:lvl w:ilvl="5" w:tplc="240A001B" w:tentative="1">
      <w:start w:val="1"/>
      <w:numFmt w:val="lowerRoman"/>
      <w:lvlText w:val="%6."/>
      <w:lvlJc w:val="right"/>
      <w:pPr>
        <w:ind w:left="4527" w:hanging="180"/>
      </w:pPr>
    </w:lvl>
    <w:lvl w:ilvl="6" w:tplc="240A000F" w:tentative="1">
      <w:start w:val="1"/>
      <w:numFmt w:val="decimal"/>
      <w:lvlText w:val="%7."/>
      <w:lvlJc w:val="left"/>
      <w:pPr>
        <w:ind w:left="5247" w:hanging="360"/>
      </w:pPr>
    </w:lvl>
    <w:lvl w:ilvl="7" w:tplc="240A0019" w:tentative="1">
      <w:start w:val="1"/>
      <w:numFmt w:val="lowerLetter"/>
      <w:lvlText w:val="%8."/>
      <w:lvlJc w:val="left"/>
      <w:pPr>
        <w:ind w:left="5967" w:hanging="360"/>
      </w:pPr>
    </w:lvl>
    <w:lvl w:ilvl="8" w:tplc="240A001B" w:tentative="1">
      <w:start w:val="1"/>
      <w:numFmt w:val="lowerRoman"/>
      <w:lvlText w:val="%9."/>
      <w:lvlJc w:val="right"/>
      <w:pPr>
        <w:ind w:left="6687" w:hanging="180"/>
      </w:pPr>
    </w:lvl>
  </w:abstractNum>
  <w:num w:numId="1" w16cid:durableId="661272836">
    <w:abstractNumId w:val="2"/>
  </w:num>
  <w:num w:numId="2" w16cid:durableId="356852935">
    <w:abstractNumId w:val="0"/>
  </w:num>
  <w:num w:numId="3" w16cid:durableId="910773152">
    <w:abstractNumId w:val="6"/>
  </w:num>
  <w:num w:numId="4" w16cid:durableId="946623709">
    <w:abstractNumId w:val="4"/>
  </w:num>
  <w:num w:numId="5" w16cid:durableId="1344628852">
    <w:abstractNumId w:val="3"/>
  </w:num>
  <w:num w:numId="6" w16cid:durableId="1061831709">
    <w:abstractNumId w:val="5"/>
  </w:num>
  <w:num w:numId="7" w16cid:durableId="712072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361"/>
    <w:rsid w:val="001E275F"/>
    <w:rsid w:val="001E3361"/>
    <w:rsid w:val="002B48A9"/>
    <w:rsid w:val="00615894"/>
    <w:rsid w:val="009C349F"/>
    <w:rsid w:val="00EC2229"/>
    <w:rsid w:val="00F639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A212"/>
  <w15:docId w15:val="{D76D8613-C13D-4D4B-9466-F20955071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O" w:eastAsia="es-CO"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paragraph" w:styleId="Ttulo7">
    <w:name w:val="heading 7"/>
    <w:basedOn w:val="Normal"/>
    <w:next w:val="Normal"/>
    <w:link w:val="Ttulo7Car"/>
    <w:uiPriority w:val="9"/>
    <w:semiHidden/>
    <w:unhideWhenUsed/>
    <w:qFormat/>
    <w:rsid w:val="001966D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966D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966D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character" w:customStyle="1" w:styleId="Ttulo1Car">
    <w:name w:val="Título 1 Car"/>
    <w:basedOn w:val="Fuentedeprrafopredeter"/>
    <w:uiPriority w:val="9"/>
    <w:rsid w:val="001966D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uiPriority w:val="9"/>
    <w:semiHidden/>
    <w:rsid w:val="001966D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uiPriority w:val="9"/>
    <w:semiHidden/>
    <w:rsid w:val="001966D1"/>
    <w:rPr>
      <w:rFonts w:eastAsiaTheme="majorEastAsia" w:cstheme="majorBidi"/>
      <w:color w:val="0F4761" w:themeColor="accent1" w:themeShade="BF"/>
      <w:sz w:val="28"/>
      <w:szCs w:val="28"/>
    </w:rPr>
  </w:style>
  <w:style w:type="character" w:customStyle="1" w:styleId="Ttulo4Car">
    <w:name w:val="Título 4 Car"/>
    <w:basedOn w:val="Fuentedeprrafopredeter"/>
    <w:uiPriority w:val="9"/>
    <w:semiHidden/>
    <w:rsid w:val="001966D1"/>
    <w:rPr>
      <w:rFonts w:eastAsiaTheme="majorEastAsia" w:cstheme="majorBidi"/>
      <w:i/>
      <w:iCs/>
      <w:color w:val="0F4761" w:themeColor="accent1" w:themeShade="BF"/>
    </w:rPr>
  </w:style>
  <w:style w:type="character" w:customStyle="1" w:styleId="Ttulo5Car">
    <w:name w:val="Título 5 Car"/>
    <w:basedOn w:val="Fuentedeprrafopredeter"/>
    <w:uiPriority w:val="9"/>
    <w:semiHidden/>
    <w:rsid w:val="001966D1"/>
    <w:rPr>
      <w:rFonts w:eastAsiaTheme="majorEastAsia" w:cstheme="majorBidi"/>
      <w:color w:val="0F4761" w:themeColor="accent1" w:themeShade="BF"/>
    </w:rPr>
  </w:style>
  <w:style w:type="character" w:customStyle="1" w:styleId="Ttulo6Car">
    <w:name w:val="Título 6 Car"/>
    <w:basedOn w:val="Fuentedeprrafopredeter"/>
    <w:uiPriority w:val="9"/>
    <w:semiHidden/>
    <w:rsid w:val="001966D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966D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966D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966D1"/>
    <w:rPr>
      <w:rFonts w:eastAsiaTheme="majorEastAsia" w:cstheme="majorBidi"/>
      <w:color w:val="272727" w:themeColor="text1" w:themeTint="D8"/>
    </w:rPr>
  </w:style>
  <w:style w:type="character" w:customStyle="1" w:styleId="TtuloCar">
    <w:name w:val="Título Car"/>
    <w:basedOn w:val="Fuentedeprrafopredeter"/>
    <w:uiPriority w:val="10"/>
    <w:rsid w:val="001966D1"/>
    <w:rPr>
      <w:rFonts w:asciiTheme="majorHAnsi" w:eastAsiaTheme="majorEastAsia" w:hAnsiTheme="majorHAnsi" w:cstheme="majorBidi"/>
      <w:spacing w:val="-10"/>
      <w:kern w:val="28"/>
      <w:sz w:val="56"/>
      <w:szCs w:val="56"/>
    </w:rPr>
  </w:style>
  <w:style w:type="character" w:customStyle="1" w:styleId="SubttuloCar">
    <w:name w:val="Subtítulo Car"/>
    <w:basedOn w:val="Fuentedeprrafopredeter"/>
    <w:uiPriority w:val="11"/>
    <w:rsid w:val="001966D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966D1"/>
    <w:pPr>
      <w:spacing w:before="160"/>
      <w:jc w:val="center"/>
    </w:pPr>
    <w:rPr>
      <w:i/>
      <w:iCs/>
      <w:color w:val="404040" w:themeColor="text1" w:themeTint="BF"/>
    </w:rPr>
  </w:style>
  <w:style w:type="character" w:customStyle="1" w:styleId="CitaCar">
    <w:name w:val="Cita Car"/>
    <w:basedOn w:val="Fuentedeprrafopredeter"/>
    <w:link w:val="Cita"/>
    <w:uiPriority w:val="29"/>
    <w:rsid w:val="001966D1"/>
    <w:rPr>
      <w:i/>
      <w:iCs/>
      <w:color w:val="404040" w:themeColor="text1" w:themeTint="BF"/>
    </w:rPr>
  </w:style>
  <w:style w:type="paragraph" w:styleId="Prrafodelista">
    <w:name w:val="List Paragraph"/>
    <w:basedOn w:val="Normal"/>
    <w:uiPriority w:val="34"/>
    <w:qFormat/>
    <w:rsid w:val="001966D1"/>
    <w:pPr>
      <w:ind w:left="720"/>
      <w:contextualSpacing/>
    </w:pPr>
  </w:style>
  <w:style w:type="character" w:styleId="nfasisintenso">
    <w:name w:val="Intense Emphasis"/>
    <w:basedOn w:val="Fuentedeprrafopredeter"/>
    <w:uiPriority w:val="21"/>
    <w:qFormat/>
    <w:rsid w:val="001966D1"/>
    <w:rPr>
      <w:i/>
      <w:iCs/>
      <w:color w:val="0F4761" w:themeColor="accent1" w:themeShade="BF"/>
    </w:rPr>
  </w:style>
  <w:style w:type="paragraph" w:styleId="Citadestacada">
    <w:name w:val="Intense Quote"/>
    <w:basedOn w:val="Normal"/>
    <w:next w:val="Normal"/>
    <w:link w:val="CitadestacadaCar"/>
    <w:uiPriority w:val="30"/>
    <w:qFormat/>
    <w:rsid w:val="001966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966D1"/>
    <w:rPr>
      <w:i/>
      <w:iCs/>
      <w:color w:val="0F4761" w:themeColor="accent1" w:themeShade="BF"/>
    </w:rPr>
  </w:style>
  <w:style w:type="character" w:styleId="Referenciaintensa">
    <w:name w:val="Intense Reference"/>
    <w:basedOn w:val="Fuentedeprrafopredeter"/>
    <w:uiPriority w:val="32"/>
    <w:qFormat/>
    <w:rsid w:val="001966D1"/>
    <w:rPr>
      <w:b/>
      <w:bCs/>
      <w:smallCaps/>
      <w:color w:val="0F4761" w:themeColor="accent1" w:themeShade="BF"/>
      <w:spacing w:val="5"/>
    </w:rPr>
  </w:style>
  <w:style w:type="character" w:styleId="Hipervnculo">
    <w:name w:val="Hyperlink"/>
    <w:basedOn w:val="Fuentedeprrafopredeter"/>
    <w:uiPriority w:val="99"/>
    <w:unhideWhenUsed/>
    <w:rsid w:val="001966D1"/>
    <w:rPr>
      <w:color w:val="467886" w:themeColor="hyperlink"/>
      <w:u w:val="single"/>
    </w:rPr>
  </w:style>
  <w:style w:type="character" w:styleId="Mencinsinresolver">
    <w:name w:val="Unresolved Mention"/>
    <w:basedOn w:val="Fuentedeprrafopredeter"/>
    <w:uiPriority w:val="99"/>
    <w:semiHidden/>
    <w:unhideWhenUsed/>
    <w:rsid w:val="001966D1"/>
    <w:rPr>
      <w:color w:val="605E5C"/>
      <w:shd w:val="clear" w:color="auto" w:fill="E1DFDD"/>
    </w:rPr>
  </w:style>
  <w:style w:type="paragraph" w:styleId="Subttulo">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3" ma:contentTypeDescription="Crear nuevo documento." ma:contentTypeScope="" ma:versionID="b4d173dae77e0f6cefc0a12b2bbb2e99">
  <xsd:schema xmlns:xsd="http://www.w3.org/2001/XMLSchema" xmlns:xs="http://www.w3.org/2001/XMLSchema" xmlns:p="http://schemas.microsoft.com/office/2006/metadata/properties" xmlns:ns2="83b6216f-50ca-4067-8039-c588814c8876" targetNamespace="http://schemas.microsoft.com/office/2006/metadata/properties" ma:root="true" ma:fieldsID="eca3e6bf47cf396c8fb42fde65a041b6" ns2:_="">
    <xsd:import namespace="83b6216f-50ca-4067-8039-c588814c88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xcjOXTCXwY/N+1N73pSAfs2h0A==">CgMxLjA4AHIhMXYtSWI2Z09EdEY5LXZFYk5GeEtNbnVrN0lUaGdiVVJo</go:docsCustomData>
</go:gDocsCustomXmlDataStorage>
</file>

<file path=customXml/itemProps1.xml><?xml version="1.0" encoding="utf-8"?>
<ds:datastoreItem xmlns:ds="http://schemas.openxmlformats.org/officeDocument/2006/customXml" ds:itemID="{87B4094A-43A4-4BAB-96E1-7A0F08D72D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8890AB4-BC8E-4E1F-8D78-64EC9DF9E7F9}">
  <ds:schemaRefs>
    <ds:schemaRef ds:uri="http://schemas.microsoft.com/sharepoint/v3/contenttype/forms"/>
  </ds:schemaRefs>
</ds:datastoreItem>
</file>

<file path=customXml/itemProps3.xml><?xml version="1.0" encoding="utf-8"?>
<ds:datastoreItem xmlns:ds="http://schemas.openxmlformats.org/officeDocument/2006/customXml" ds:itemID="{F8514CB3-19FD-436F-BAED-827E7E4358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b6216f-50ca-4067-8039-c588814c88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6857</Words>
  <Characters>37717</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SANTIAGO CELY MENDOZA</dc:creator>
  <cp:lastModifiedBy>Daniel Eduardo Lozano Bocanegra</cp:lastModifiedBy>
  <cp:revision>5</cp:revision>
  <dcterms:created xsi:type="dcterms:W3CDTF">2026-04-03T02:56:00Z</dcterms:created>
  <dcterms:modified xsi:type="dcterms:W3CDTF">2026-08-25T15:37:00Z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