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5" w14:textId="01C01D6D" w:rsidR="00C20680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7650 de 2025</w:t>
      </w:r>
    </w:p>
    <w:p w14:paraId="00000006" w14:textId="77777777" w:rsidR="00C20680" w:rsidRDefault="00C20680">
      <w:pPr>
        <w:jc w:val="center"/>
        <w:rPr>
          <w:rFonts w:ascii="Verdana" w:eastAsia="Verdana" w:hAnsi="Verdana" w:cs="Verdana"/>
          <w:b/>
          <w:bCs/>
        </w:rPr>
      </w:pPr>
    </w:p>
    <w:p w14:paraId="00000007" w14:textId="77777777" w:rsidR="00C20680" w:rsidRDefault="00000000">
      <w:pPr>
        <w:ind w:left="14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5 de diciembre de 2025</w:t>
      </w:r>
    </w:p>
    <w:p w14:paraId="00000008" w14:textId="34875BFE" w:rsidR="00C20680" w:rsidRDefault="00000000">
      <w:pPr>
        <w:ind w:left="720" w:firstLine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</w:t>
      </w:r>
      <w:r w:rsidR="00250AA4" w:rsidRPr="00250AA4">
        <w:rPr>
          <w:rFonts w:ascii="Verdana" w:eastAsia="Verdana" w:hAnsi="Verdana" w:cs="Verdana"/>
        </w:rPr>
        <w:t xml:space="preserve"> </w:t>
      </w:r>
      <w:r w:rsidR="00250AA4">
        <w:rPr>
          <w:rFonts w:ascii="Verdana" w:eastAsia="Verdana" w:hAnsi="Verdana" w:cs="Verdana"/>
        </w:rPr>
        <w:t>9 de diciembre de 2025</w:t>
      </w:r>
    </w:p>
    <w:p w14:paraId="00000009" w14:textId="77777777" w:rsidR="00C20680" w:rsidRDefault="00000000">
      <w:pPr>
        <w:ind w:left="720" w:firstLine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Estado de la vigencia: Vigente</w:t>
      </w:r>
    </w:p>
    <w:p w14:paraId="07CC5D40" w14:textId="77777777" w:rsidR="00250AA4" w:rsidRDefault="00250AA4">
      <w:pPr>
        <w:ind w:left="720" w:firstLine="720"/>
        <w:rPr>
          <w:rFonts w:ascii="Verdana" w:eastAsia="Verdana" w:hAnsi="Verdana" w:cs="Verdana"/>
        </w:rPr>
      </w:pPr>
    </w:p>
    <w:p w14:paraId="0000000A" w14:textId="2C3471F6" w:rsidR="00C20680" w:rsidRDefault="00000000">
      <w:pPr>
        <w:ind w:left="720" w:firstLine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 w:rsidR="00250AA4">
        <w:rPr>
          <w:rFonts w:ascii="Verdana" w:eastAsia="Verdana" w:hAnsi="Verdana" w:cs="Verdana"/>
        </w:rPr>
        <w:t>9 de diciembre de 2025</w:t>
      </w:r>
    </w:p>
    <w:p w14:paraId="0000000B" w14:textId="26CB6312" w:rsidR="00C20680" w:rsidRDefault="00000000">
      <w:pPr>
        <w:ind w:left="720" w:firstLine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</w:t>
      </w:r>
      <w:r w:rsidR="00250AA4">
        <w:rPr>
          <w:rFonts w:ascii="Verdana" w:eastAsia="Verdana" w:hAnsi="Verdana" w:cs="Verdana"/>
        </w:rPr>
        <w:t xml:space="preserve"> 53329</w:t>
      </w:r>
    </w:p>
    <w:p w14:paraId="0000000C" w14:textId="77777777" w:rsidR="00C20680" w:rsidRDefault="00000000">
      <w:pPr>
        <w:ind w:left="720" w:firstLine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14:paraId="0000000D" w14:textId="77777777" w:rsidR="00C20680" w:rsidRDefault="00C20680">
      <w:pPr>
        <w:ind w:left="720"/>
        <w:rPr>
          <w:rFonts w:ascii="Verdana" w:eastAsia="Verdana" w:hAnsi="Verdana" w:cs="Verdana"/>
        </w:rPr>
      </w:pPr>
    </w:p>
    <w:p w14:paraId="0000000E" w14:textId="68595124" w:rsidR="00C20680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7650 de 2025</w:t>
      </w:r>
    </w:p>
    <w:p w14:paraId="04F5A1FE" w14:textId="77777777" w:rsidR="00250AA4" w:rsidRDefault="00250AA4">
      <w:pPr>
        <w:jc w:val="center"/>
        <w:rPr>
          <w:rFonts w:ascii="Verdana" w:eastAsia="Verdana" w:hAnsi="Verdana" w:cs="Verdana"/>
          <w:b/>
          <w:bCs/>
        </w:rPr>
      </w:pPr>
    </w:p>
    <w:p w14:paraId="0000000F" w14:textId="77777777" w:rsidR="00C20680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(5 de diciembre) </w:t>
      </w:r>
    </w:p>
    <w:p w14:paraId="00000010" w14:textId="766AB345" w:rsidR="00C20680" w:rsidRPr="00250A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1" w:lineRule="auto"/>
        <w:ind w:left="1605" w:right="1451"/>
        <w:jc w:val="center"/>
        <w:rPr>
          <w:rFonts w:ascii="Verdana" w:eastAsia="Verdana" w:hAnsi="Verdana" w:cs="Verdana"/>
          <w:color w:val="000000"/>
        </w:rPr>
      </w:pPr>
      <w:r w:rsidRPr="00250AA4">
        <w:rPr>
          <w:rFonts w:ascii="Verdana" w:eastAsia="Verdana" w:hAnsi="Verdana" w:cs="Verdana"/>
          <w:color w:val="000000"/>
        </w:rPr>
        <w:t xml:space="preserve"> “Por la cual se dictan disposiciones sobre la cuota de participación a cargo de las familias y/o cuidadores de las niñas y los niños participantes en los servicios de la</w:t>
      </w:r>
      <w:r w:rsidR="00250AA4" w:rsidRPr="00250AA4">
        <w:rPr>
          <w:rFonts w:ascii="Verdana" w:eastAsia="Verdana" w:hAnsi="Verdana" w:cs="Verdana"/>
          <w:color w:val="000000"/>
        </w:rPr>
        <w:t xml:space="preserve"> </w:t>
      </w:r>
      <w:r w:rsidRPr="00250AA4">
        <w:rPr>
          <w:rFonts w:ascii="Verdana" w:eastAsia="Verdana" w:hAnsi="Verdana" w:cs="Verdana"/>
          <w:color w:val="000000"/>
        </w:rPr>
        <w:t xml:space="preserve">Modalidad Familiar y Comunitaria del ICBF y deroga la Resolución 1908 de 2014” </w:t>
      </w:r>
    </w:p>
    <w:p w14:paraId="00000011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8" w:line="204" w:lineRule="auto"/>
        <w:ind w:left="1796" w:right="1649"/>
        <w:jc w:val="center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LA DIRECTORA GENERAL DEL INSTITUTO COLOMBIANO DE BIENESTAR FAMILIAR – ICBF- “CECILIA DE LA FUENTE DE LLERAS” </w:t>
      </w:r>
    </w:p>
    <w:p w14:paraId="00000012" w14:textId="379A011B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05" w:lineRule="auto"/>
        <w:ind w:left="1464" w:right="1238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En uso de sus facultades legales y estatutarias, en particular de las conferidas por el artículo 78 de la Ley 489 de 1998, el literal b) del artículo 28 de la Ley 7 de 1979, el literal a) del artículo 28 del Acuerdo 102 de 1979 aprobado mediante Decreto 334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1980, el parágrafo del artículo 2o del Decreto No. 1490 de 2008, y </w:t>
      </w:r>
    </w:p>
    <w:p w14:paraId="00000013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 w:line="240" w:lineRule="auto"/>
        <w:ind w:right="5023"/>
        <w:jc w:val="right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CONSIDERANDO </w:t>
      </w:r>
    </w:p>
    <w:p w14:paraId="00000014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/>
        <w:ind w:left="1268" w:right="1053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Que conforme a lo dispuesto en el artículo 44 de la Constitución Política, la Familia, la Sociedad y el Estado tienen la obligación de asistir y proteger a las niñas y los niños, para garantizar su desarrollo armónico e integral y el ejercicio pleno de sus derechos, los cuales prevalecen sobre los derechos de los demás. </w:t>
      </w:r>
    </w:p>
    <w:p w14:paraId="00000015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8" w:right="1060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Que el artículo 95 de la Constitución Política, determina el deber de todos los colombianos de obrar conforme al principio de solidaridad, lo cual implica la ayuda, el sustento y el sostenimiento de las condiciones que beneficien a los demás miembros de la sociedad. </w:t>
      </w:r>
    </w:p>
    <w:p w14:paraId="00000016" w14:textId="77FFD95A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8" w:right="1055" w:firstLine="10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El Instituto Colombiano de Bienestar Familiar –ICBF– es un establecimiento público descentralizado, con personería jurídica, autonomía administrativa y patrimonio propio, creado por la Ley 75 de 1968 y reglamentado mediante el Decreto 2388 de 1979.</w:t>
      </w:r>
      <w:r w:rsidR="00250AA4">
        <w:rPr>
          <w:rFonts w:ascii="Verdana" w:eastAsia="Verdana" w:hAnsi="Verdana" w:cs="Verdana"/>
          <w:color w:val="000000"/>
        </w:rPr>
        <w:t xml:space="preserve"> </w:t>
      </w:r>
    </w:p>
    <w:p w14:paraId="00000017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/>
        <w:ind w:left="1268" w:right="106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Que en virtud de lo dispuesto en el Decreto 1074 del 29 de junio de 2023, el ICBF se encuentra adscrito al Ministerio de Igualdad y Equidad. Dentro de las competencias asignadas a la Entidad. </w:t>
      </w:r>
    </w:p>
    <w:p w14:paraId="00000018" w14:textId="65804889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8" w:right="105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lastRenderedPageBreak/>
        <w:t>Que el Sistema Nacional de Bienestar Familiar –SNBF– como ente rector, es la instancia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a la cual corresponde articular y coordinar acciones en garantía y restablecimiento de derechos de las niñas y niños. </w:t>
      </w:r>
    </w:p>
    <w:p w14:paraId="00000019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/>
        <w:ind w:left="1268" w:right="105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Que la Ley 1098 de 2006 –Código de la Infancia y la Adolescencia–, en su artículo 10, establece la corresponsabilidad de la familia, la sociedad y el Estado. </w:t>
      </w:r>
    </w:p>
    <w:p w14:paraId="0000001A" w14:textId="583A54A9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/>
        <w:ind w:left="1268" w:right="105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Que el literal b) del artículo 28 de la Ley 7 de 1979 atribuye al Director(a) General del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ICBF la función de dictar los actos, realizar las operaciones y celebrar los contratos para el cumplimiento de las funciones del Instituto, conforme a las disposiciones legales,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estatutarias y los acuerdos de la Junta Directiva. </w:t>
      </w:r>
    </w:p>
    <w:p w14:paraId="0000001B" w14:textId="05F7AA81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268" w:right="1060"/>
        <w:jc w:val="both"/>
        <w:rPr>
          <w:rFonts w:ascii="Verdana" w:eastAsia="Verdana" w:hAnsi="Verdana" w:cs="Verdana"/>
          <w:color w:val="000000"/>
        </w:rPr>
        <w:sectPr w:rsidR="00C20680" w:rsidSect="00250AA4">
          <w:pgSz w:w="12240" w:h="15840"/>
          <w:pgMar w:top="1276" w:right="191" w:bottom="1276" w:left="20" w:header="0" w:footer="720" w:gutter="0"/>
          <w:pgNumType w:start="1"/>
          <w:cols w:space="720"/>
        </w:sectPr>
      </w:pPr>
      <w:r>
        <w:rPr>
          <w:rFonts w:ascii="Verdana" w:eastAsia="Verdana" w:hAnsi="Verdana" w:cs="Verdana"/>
          <w:color w:val="000000"/>
        </w:rPr>
        <w:t>Que el Decreto 1340 de 1995, expedido en desarrollo de la Ley 89 de 1988, en su artículo 1° establece que el Programa de Hogares Comunitarios de Bienestar se fundamenta en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la acción mancomunada de las familias, la comunidad y el Estado, quienes concurren en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la atención de las necesidades básicas de nutrición, salud, protección y desarrollo integral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de las niñas y niños, bajo los principios de participación y corresponsabilidad. </w:t>
      </w:r>
    </w:p>
    <w:p w14:paraId="0000001C" w14:textId="3F123DC0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/>
        <w:ind w:left="1268" w:right="1055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Que el artículo 2 del Decreto ibidem señala que el ICBF a través de su Junta Directiva,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establecerá los criterios, parámetros y procedimientos técnicos y administrativos que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permitan la organización y funcionamiento del Programa Hogares Comunitarios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Bienestar -HCB-, y dicha determinación se implementará en forma gradual, atendiendo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las condiciones sociales, económicas, geográficas y de participación comunitaria de cada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región, de forma tal, que se garantice continuidad en la prestación del servicio. </w:t>
      </w:r>
    </w:p>
    <w:p w14:paraId="0000001D" w14:textId="5EC43EBB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/>
        <w:ind w:left="1263" w:right="1051" w:firstLine="5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Que mediante el Acuerdo 018 del 11 de julio de 2000, el Consejo Directivo del Instituto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Colombiano de Bienestar Familiar –ICBF– estableció los porcentajes de la cuota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participación a cargo de las familias o cuidadores de familias y/o cuidadores de las niñas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y los niños participantes del servicio de Hogares Comunitarios de Bienestar -HCB-, fijando los criterios y rangos para su determinación conforme al nivel de ingresos del hogar. </w:t>
      </w:r>
    </w:p>
    <w:p w14:paraId="0000001E" w14:textId="1E5B58CB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1268" w:right="1054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Que, el ICBF, mediante la Resolución 2611 de 2011, dictó normas internas para el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reconocimiento y pago de las cuotas de participación y tasas compensatorias en los servicios del Instituto, tratándolas de manera conjunta para efectos operativos y de pago,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en especial respecto de la población en condición de desplazamiento. </w:t>
      </w:r>
    </w:p>
    <w:p w14:paraId="0000001F" w14:textId="503D1E08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3" w:right="1055" w:firstLine="5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Que el Concepto Jurídico ICBF No. 010 de 2014 aclaró que las cuotas de participación constituyen aportes voluntarios de las familias o responsables del cuidado, dirigidos 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cualificar la atención y asegurar la sostenibilidad del servicio, y no revisten naturaleza tributaria ni contractual, descartándose su utilización para cubrir obligaciones laborales o parafiscales de las madres comunitarias. </w:t>
      </w:r>
    </w:p>
    <w:p w14:paraId="00000020" w14:textId="05CC9F76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8" w:right="106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Que, en el marco del principio de corresponsabilidad, las familias y cuidadores pueden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realizar aportes voluntarios para contribuir al fortalecimiento de las condiciones de atención y de calidad de los servicios comunitarios. </w:t>
      </w:r>
    </w:p>
    <w:p w14:paraId="00000021" w14:textId="5C3110B0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/>
        <w:ind w:left="1263" w:right="1052" w:firstLine="5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lastRenderedPageBreak/>
        <w:t>Que el ICBF expidió la Resolución 1908 de 2014, “</w:t>
      </w:r>
      <w:r>
        <w:rPr>
          <w:rFonts w:ascii="Verdana" w:eastAsia="Verdana" w:hAnsi="Verdana" w:cs="Verdana"/>
          <w:i/>
          <w:iCs/>
          <w:color w:val="000000"/>
        </w:rPr>
        <w:t>por la cual se adopta la regulación de</w:t>
      </w:r>
      <w:r w:rsidR="00250AA4">
        <w:rPr>
          <w:rFonts w:ascii="Verdana" w:eastAsia="Verdana" w:hAnsi="Verdana" w:cs="Verdana"/>
          <w:i/>
          <w:iCs/>
          <w:color w:val="000000"/>
        </w:rPr>
        <w:t xml:space="preserve"> </w:t>
      </w:r>
      <w:r>
        <w:rPr>
          <w:rFonts w:ascii="Verdana" w:eastAsia="Verdana" w:hAnsi="Verdana" w:cs="Verdana"/>
          <w:i/>
          <w:iCs/>
          <w:color w:val="000000"/>
        </w:rPr>
        <w:t>la cuota de participación en los servicios de Hogares Comunitarios de Bienesta</w:t>
      </w:r>
      <w:r>
        <w:rPr>
          <w:rFonts w:ascii="Verdana" w:eastAsia="Verdana" w:hAnsi="Verdana" w:cs="Verdana"/>
          <w:color w:val="000000"/>
        </w:rPr>
        <w:t>r”, con el propósito de definir el valor y la destinación de los aportes voluntarios efectuados por las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familias y/o cuidadores, buscando orientar estos recursos hacia la mejora de la atención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y la sostenibilidad del servicio, en el marco del principio de corresponsabilidad. </w:t>
      </w:r>
    </w:p>
    <w:p w14:paraId="00000026" w14:textId="075737A5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263" w:right="1061"/>
        <w:jc w:val="both"/>
        <w:rPr>
          <w:rFonts w:ascii="Verdana" w:eastAsia="Verdana" w:hAnsi="Verdana" w:cs="Verdana"/>
          <w:color w:val="000000"/>
        </w:rPr>
        <w:sectPr w:rsidR="00C20680" w:rsidSect="00250AA4">
          <w:type w:val="continuous"/>
          <w:pgSz w:w="12240" w:h="15840"/>
          <w:pgMar w:top="1134" w:right="0" w:bottom="1135" w:left="20" w:header="0" w:footer="720" w:gutter="0"/>
          <w:cols w:space="720"/>
        </w:sectPr>
      </w:pPr>
      <w:r>
        <w:rPr>
          <w:rFonts w:ascii="Verdana" w:eastAsia="Verdana" w:hAnsi="Verdana" w:cs="Verdana"/>
          <w:color w:val="000000"/>
        </w:rPr>
        <w:t>Que, no obstante dicho propósito inicial, la aplicación de la Resolución 1908 de 2014 ha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evidenciado limitaciones y vacíos operativos respecto a la destinación de los recursos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recaudados, pues la norma restringe su uso a criterios que no reflejan las necesidades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actuales de las unidades de servicio, ni las dinámicas y necesidades actuales de las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unidades de servicio ni las decisiones adoptadas por la Asamblea General de Padres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Usuarios del Programa y/o cuidadores; situación que ha llevado a que su objetivo original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 se desvirtúe, generando interpretaciones dispares y afectando la flexibilidad que requiere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el servicio para su adecuado funcionamiento. </w:t>
      </w:r>
    </w:p>
    <w:p w14:paraId="00000027" w14:textId="14D46200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/>
        <w:ind w:left="1268" w:right="105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Que con el fin de dar cumplimiento al numeral 9 del artículo 3 y el numeral 8 del artículo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8 de la Ley 1437 de 2011, a los artículos 2.1.2.1.14, 2.1.2.1.21 y 2.1.2.1.23 del Decreto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1081 de 2015 y el artículo 2 de la Resolución 0353 del 2023 del ICBF, se publicó el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presente proyecto de acto administrativo en la página web del ICBF,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https://www.icbf.gov.co/participa/consulta-ciudadana, del 2 al 5 de octubre de 2025.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Dentro de este término, no se recibió ningún correo con observaciones, sugerencias 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comentarios a la fecha de cierre de la publicación. </w:t>
      </w:r>
    </w:p>
    <w:p w14:paraId="00000028" w14:textId="15AA814B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50" w:right="1051" w:firstLine="1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Que, en consecuencia, resulta necesario derogar la Resolución 1908 de 2014 y expedir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una nueva regulación que defina los usos de los recursos que aportan las familias y/o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cuidadores participantes del servicio HCB por concepto de cuotas de participación, cuando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así lo determinen la Asamblea General de Padres Usuarios del Programa y/o cuidadores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 las niñas y los niños participantes, así como las mujeres gestantes y madres en periodo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 lactancia en el caso de los HCB FAMI, organizadas en Asamblea General, con la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justificación pertinente. </w:t>
      </w:r>
    </w:p>
    <w:p w14:paraId="00000029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78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En mérito de lo expuesto, </w:t>
      </w:r>
    </w:p>
    <w:p w14:paraId="0000002A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40" w:lineRule="auto"/>
        <w:ind w:right="5368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RESUELVE</w:t>
      </w:r>
      <w:r>
        <w:rPr>
          <w:rFonts w:ascii="Verdana" w:eastAsia="Verdana" w:hAnsi="Verdana" w:cs="Verdana"/>
          <w:color w:val="000000"/>
        </w:rPr>
        <w:t xml:space="preserve">: </w:t>
      </w:r>
    </w:p>
    <w:p w14:paraId="0000002B" w14:textId="404AFA0B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/>
        <w:ind w:left="1268" w:right="1057" w:hanging="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ARTÍCULO PRIMERO. </w:t>
      </w:r>
      <w:r>
        <w:rPr>
          <w:rFonts w:ascii="Verdana" w:eastAsia="Verdana" w:hAnsi="Verdana" w:cs="Verdana"/>
          <w:color w:val="000000"/>
        </w:rPr>
        <w:t>OBJETO.</w:t>
      </w:r>
      <w:r>
        <w:rPr>
          <w:rFonts w:ascii="Verdana" w:eastAsia="Verdana" w:hAnsi="Verdana" w:cs="Verdana"/>
          <w:b/>
          <w:bCs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La presente resolución tiene por objeto establecer disposiciones para la fijación, destinación, recaudo, exenciones, responsabilidades y vigilancia de la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cuota de participación aportada de manera voluntaria por las familias y/o cuidadores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las niñas y los niños participantes de los servicios de la Modalidad Familiar y Comunitaria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del ICBF, así como definir su naturaleza y alcance en el marco de la cualificación o mejora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del servicio. </w:t>
      </w:r>
    </w:p>
    <w:p w14:paraId="0000002C" w14:textId="2EE680AC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8" w:right="1057" w:firstLine="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PARÁGRAFO. </w:t>
      </w:r>
      <w:r>
        <w:rPr>
          <w:rFonts w:ascii="Verdana" w:eastAsia="Verdana" w:hAnsi="Verdana" w:cs="Verdana"/>
          <w:color w:val="000000"/>
        </w:rPr>
        <w:t>Para todos los efectos, entiéndase por cuota de participación el aporte económico que realizan las familias y/o cuidadores de las niñas y los niños participantes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del servicio de Hogares Comunitarios de Bienestar, con el propósito de contribuir a la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cualificación o mejora del servicio. </w:t>
      </w:r>
    </w:p>
    <w:p w14:paraId="0000002E" w14:textId="4995D61B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8" w:right="1057" w:firstLine="9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lastRenderedPageBreak/>
        <w:t xml:space="preserve">ARTÍCULO SEGUNDO. </w:t>
      </w:r>
      <w:r>
        <w:rPr>
          <w:rFonts w:ascii="Verdana" w:eastAsia="Verdana" w:hAnsi="Verdana" w:cs="Verdana"/>
          <w:color w:val="000000"/>
        </w:rPr>
        <w:t>ALCANCE</w:t>
      </w:r>
      <w:r>
        <w:rPr>
          <w:rFonts w:ascii="Verdana" w:eastAsia="Verdana" w:hAnsi="Verdana" w:cs="Verdana"/>
          <w:b/>
          <w:bCs/>
          <w:color w:val="000000"/>
        </w:rPr>
        <w:t xml:space="preserve">. </w:t>
      </w:r>
      <w:r>
        <w:rPr>
          <w:rFonts w:ascii="Verdana" w:eastAsia="Verdana" w:hAnsi="Verdana" w:cs="Verdana"/>
          <w:color w:val="000000"/>
        </w:rPr>
        <w:t>La presente resolución aplica a las familias y/o cuidadores de las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niñas y los niños participantes del servicio de Hogares Comunitarios de Bienestar, de los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Hogares FAMI y FAMI BienVenir, así como de los Jardines Comunitarios; las Asociaciones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 padres de familia responsables de definir mediante la Asamblea General de Padres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Usuarios del Programa, el establecimiento y destinación de la cuota de participación; 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las Entidades Administradoras del Servicio –EAS– y Prestadores del Servicio, encargados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del recaudo cuando corresponda y de remitir al Centro Zonal las actas con las decisiones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adoptadas; a las Madres y Padres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Comunitarios que brindan la atención en los hogares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 la Modalidad Familiar y Comunitaria cuando la Asamblea les delegue el recaudo; y 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los supervisores de contrato del Centro Zonal del ICBF, responsables de la revisión y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seguimiento de la destinación de los recursos. </w:t>
      </w:r>
    </w:p>
    <w:p w14:paraId="0000002F" w14:textId="3A0C888E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8" w:right="1052" w:firstLine="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La cuota de participación no será obligatoria para aquellas familias y/o cuidadores de las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niñas y los niños que manifiesten, de manera expresa, que no cuentan con los recursos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para asumir este compromiso económico, incluso si participaron en la Asamblea General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de Padres Usuarios del Programa en la que se aprobó el cobro. </w:t>
      </w:r>
    </w:p>
    <w:p w14:paraId="00000030" w14:textId="63EC6FD5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1268" w:right="1058" w:firstLine="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PARÁGRAFO PRIMERO. </w:t>
      </w:r>
      <w:r>
        <w:rPr>
          <w:rFonts w:ascii="Verdana" w:eastAsia="Verdana" w:hAnsi="Verdana" w:cs="Verdana"/>
          <w:color w:val="000000"/>
        </w:rPr>
        <w:t>El no aporte de la cuota de participación por parte de las familias y/o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cuidadores de las niñas y los niños participantes del servicio, no es causal de retiro ni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suspensión del servicio. </w:t>
      </w:r>
    </w:p>
    <w:p w14:paraId="00000031" w14:textId="12848FD3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3" w:right="1059" w:firstLine="1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PARÁGRAFO SEGUNDO. </w:t>
      </w:r>
      <w:r>
        <w:rPr>
          <w:rFonts w:ascii="Verdana" w:eastAsia="Verdana" w:hAnsi="Verdana" w:cs="Verdana"/>
          <w:color w:val="000000"/>
        </w:rPr>
        <w:t>Las familias y/o cuidadores de las niñas y los niños participantes, así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como de las mujeres gestantes, las madres en periodo de lactancia, en el caso de los HCB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FAMI participantes, en condición de desplazamiento a causa del conflicto armado, estarán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exentos del aporte de cuota de participación, dada la gratuidad del servicio, por lo que la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Entidad Administradora del Servicio o Prestadores del Servicio deberá garantizar la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vinculación y la permanencia de esta población. </w:t>
      </w:r>
    </w:p>
    <w:p w14:paraId="00000032" w14:textId="2EBFC094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8" w:right="106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Queda expresamente prohibido el cobro, directa o indirectamente, de cualquier valor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asociado a dicha cuota, y la Entidad Administradora del Servicio o los Prestadores del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Servicio deberán garantizar la vinculación y permanencia de esta población, sin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condicionamiento alguno relacionado con dicho pago. </w:t>
      </w:r>
    </w:p>
    <w:p w14:paraId="00000033" w14:textId="22356845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1268" w:right="1053" w:hanging="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ARTÍCULO TERCERO. </w:t>
      </w:r>
      <w:r>
        <w:rPr>
          <w:rFonts w:ascii="Verdana" w:eastAsia="Verdana" w:hAnsi="Verdana" w:cs="Verdana"/>
          <w:color w:val="000000"/>
        </w:rPr>
        <w:t>CUALIFICACIÓN O MEJORA DEL SERVICIO. Para efectos de la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presente resolución, se entenderá por cualificación o mejora del servicio el conjunto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acciones, bienes o actividades que contribuyen al fortalecimiento de las condiciones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atención, participación y entorno comunitario en las unidades de servicio, conforme con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los principios de calidad, bienestar, protección y corresponsabilidad familiar. </w:t>
      </w:r>
    </w:p>
    <w:p w14:paraId="00000034" w14:textId="1F503E60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1264" w:right="1060" w:firstLine="14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Estas acciones podrán comprender, entre otras, la adquisición o adecuación de elementos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pedagógicos y lúdicos, materiales didácticos, implementos de bioseguridad, mejoras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locativas menores que beneficien la atención de los niños y niñas, actividades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fortalecimiento familiar o comunitario, y demás iniciativas que coadyuven a garantizar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una atención digna, segura y pertinente. </w:t>
      </w:r>
    </w:p>
    <w:p w14:paraId="00000035" w14:textId="716C3076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263" w:right="1055" w:firstLine="15"/>
        <w:jc w:val="both"/>
        <w:rPr>
          <w:rFonts w:ascii="Verdana" w:eastAsia="Verdana" w:hAnsi="Verdana" w:cs="Verdana"/>
          <w:color w:val="000000"/>
        </w:rPr>
        <w:sectPr w:rsidR="00C20680" w:rsidSect="00250AA4">
          <w:type w:val="continuous"/>
          <w:pgSz w:w="12240" w:h="15840"/>
          <w:pgMar w:top="993" w:right="0" w:bottom="1418" w:left="20" w:header="0" w:footer="720" w:gutter="0"/>
          <w:cols w:space="720"/>
        </w:sectPr>
      </w:pPr>
      <w:r>
        <w:rPr>
          <w:rFonts w:ascii="Verdana" w:eastAsia="Verdana" w:hAnsi="Verdana" w:cs="Verdana"/>
          <w:b/>
          <w:bCs/>
          <w:color w:val="000000"/>
        </w:rPr>
        <w:t xml:space="preserve">ARTÍCULO CUARTO. </w:t>
      </w:r>
      <w:r>
        <w:rPr>
          <w:rFonts w:ascii="Verdana" w:eastAsia="Verdana" w:hAnsi="Verdana" w:cs="Verdana"/>
          <w:color w:val="000000"/>
        </w:rPr>
        <w:t>FIJACIÓN Y DESTINACIÓN DE LA CUOTA DE PARTICIPACIÓN.</w:t>
      </w:r>
      <w:r>
        <w:rPr>
          <w:rFonts w:ascii="Verdana" w:eastAsia="Verdana" w:hAnsi="Verdana" w:cs="Verdana"/>
          <w:b/>
          <w:bCs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El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lastRenderedPageBreak/>
        <w:t>Centro Zonal del ICBF realizará la revisión del acta con el fin de verificar que la destinación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 los recursos no se oriente a fines distintos a la cualificación o mejora del servicio,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podrán establecer el cobro de la cuota de participación, cuya destinación será definida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por las familias y/o cuidadores de las niñas y los niños participantes, así como las mujeres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gestantes y madres en periodo de lactancia en el caso de los HCB FAMI, organizadas en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Asamblea General de Padres Usuarios del Programa, en función de las necesidades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identificadas por quienes hacen parte de cada unidad de servicio. </w:t>
      </w:r>
    </w:p>
    <w:p w14:paraId="00000036" w14:textId="6782D175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/>
        <w:ind w:left="1263" w:right="1062" w:firstLine="15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La decisión del cobro y el uso de la cuota deberá quedar registrada en el acta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correspondiente con aprobación de la mayoría simple de los integrantes de la asamblea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y será remitida al supervisor del contrato del Centro Zonal en un término de ocho (08)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días hábiles contados a partir de la realización de la asamblea. </w:t>
      </w:r>
    </w:p>
    <w:p w14:paraId="00000037" w14:textId="6019954B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8" w:right="1054" w:firstLine="10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El supervisor del contrato responsable de la unidad de servicio realizará la revisión del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acta con el fin de verificar que la destinación de los recursos no se oriente a fines distintos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a contribuir a la cualificación o mejora del servicio. </w:t>
      </w:r>
    </w:p>
    <w:p w14:paraId="00000038" w14:textId="1E5012B5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/>
        <w:ind w:left="1268" w:right="1059" w:firstLine="10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En ningún caso la Entidad Administradora del Servicio o Prestadores del Servicio,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independientemente de su naturaleza jurídica o vínculo con las familias, podrá establecer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o modificar la cuota ni su destinación. </w:t>
      </w:r>
    </w:p>
    <w:p w14:paraId="00000039" w14:textId="572CF926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9" w:right="1059" w:firstLine="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PARÁGRAFO. </w:t>
      </w:r>
      <w:r>
        <w:rPr>
          <w:rFonts w:ascii="Verdana" w:eastAsia="Verdana" w:hAnsi="Verdana" w:cs="Verdana"/>
          <w:color w:val="000000"/>
        </w:rPr>
        <w:t>En todo caso, las inversiones deberán conservar el carácter social,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solidario y no remunerativo de la cuota de participación y estar en consonancia con las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necesidades identificadas por las familias y/o cuidadores, bajo el acompañamiento y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seguimiento del Centro Zonal del ICBF. </w:t>
      </w:r>
    </w:p>
    <w:p w14:paraId="0000003A" w14:textId="5DD73EE1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8" w:right="1050" w:hanging="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ARTÍCULO QUINTO</w:t>
      </w:r>
      <w:r>
        <w:rPr>
          <w:rFonts w:ascii="Verdana" w:eastAsia="Verdana" w:hAnsi="Verdana" w:cs="Verdana"/>
          <w:color w:val="000000"/>
        </w:rPr>
        <w:t>. RESPONSABILIDADES DE LAS ENTIDAD ADMINISTRADORA DEL SERVICIO O PRESTADORES DEL SERVICIO -EAS-</w:t>
      </w:r>
      <w:r>
        <w:rPr>
          <w:rFonts w:ascii="Verdana" w:eastAsia="Verdana" w:hAnsi="Verdana" w:cs="Verdana"/>
          <w:b/>
          <w:bCs/>
          <w:color w:val="000000"/>
        </w:rPr>
        <w:t xml:space="preserve">. </w:t>
      </w:r>
      <w:r>
        <w:rPr>
          <w:rFonts w:ascii="Verdana" w:eastAsia="Verdana" w:hAnsi="Verdana" w:cs="Verdana"/>
          <w:color w:val="000000"/>
        </w:rPr>
        <w:t>Las EAS serán responsables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enviar al Centro Zonal del ICBF responsable de la supervisión de la unidad de servicio, copia del acta en la que conste la decisión adoptada por las familias y/o cuidadores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las niñas y los niños participantes, así como las mujeres gestantes y madres en periodo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 lactancia en el caso de los HCB FAMI, organizadas en Asamblea General de Padres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Usuarios del Programa, incluyendo los conceptos definidos para la inversión de la cuota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de participación. </w:t>
      </w:r>
    </w:p>
    <w:p w14:paraId="0000003B" w14:textId="4EEF408C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60" w:right="1050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Asimismo, las Entidades Administradoras del Servicio o Prestadores del Servicio serán responsables del recaudo de las cuotas de participación de los servicios de Hogares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Comunitarios de Bienestar Familiar y Jardines Comunitarios -que incluyen los servicios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anteriormente denominados Jardín Social, Hogar Empresarial, Hogar Múltiple y -HCB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Agrupado-.</w:t>
      </w:r>
      <w:r w:rsidR="00250AA4">
        <w:rPr>
          <w:rFonts w:ascii="Verdana" w:eastAsia="Verdana" w:hAnsi="Verdana" w:cs="Verdana"/>
          <w:color w:val="000000"/>
        </w:rPr>
        <w:t xml:space="preserve"> </w:t>
      </w:r>
    </w:p>
    <w:p w14:paraId="0000003C" w14:textId="715E437C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left="1268" w:right="1052" w:hanging="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ARTÍCULO SEXTO.</w:t>
      </w:r>
      <w:r>
        <w:rPr>
          <w:rFonts w:ascii="Verdana" w:eastAsia="Verdana" w:hAnsi="Verdana" w:cs="Verdana"/>
          <w:color w:val="000000"/>
        </w:rPr>
        <w:t xml:space="preserve"> En los Hogares Comunitarios de Bienestar de la Modalidad Familiar y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Comunitaria, el recaudo será responsabilidad de la Madre o Padre Comunitario que brinde la atención en la unidad de servicio, de acuerdo con lo definido por las familias y/o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cuidadores de las niñas y los niños participantes, así como de las mujeres gestantes, las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madres en periodo de lactancia, en el caso de los HCB FAMI participantes del servicio </w:t>
      </w:r>
    </w:p>
    <w:p w14:paraId="0000003D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268"/>
        <w:rPr>
          <w:rFonts w:ascii="Verdana" w:eastAsia="Verdana" w:hAnsi="Verdana" w:cs="Verdana"/>
          <w:color w:val="000000"/>
        </w:rPr>
        <w:sectPr w:rsidR="00C20680" w:rsidSect="00250AA4">
          <w:type w:val="continuous"/>
          <w:pgSz w:w="12240" w:h="15840"/>
          <w:pgMar w:top="1134" w:right="0" w:bottom="438" w:left="20" w:header="0" w:footer="720" w:gutter="0"/>
          <w:cols w:space="720"/>
        </w:sectPr>
      </w:pPr>
      <w:r>
        <w:rPr>
          <w:rFonts w:ascii="Verdana" w:eastAsia="Verdana" w:hAnsi="Verdana" w:cs="Verdana"/>
          <w:color w:val="000000"/>
        </w:rPr>
        <w:lastRenderedPageBreak/>
        <w:t xml:space="preserve">organizados en Asamblea. </w:t>
      </w:r>
    </w:p>
    <w:p w14:paraId="0000003E" w14:textId="3C2D102C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268" w:right="1053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ARTÍCULO 7°. VALOR DE LA CUOTA DE PARTICIPACIÓN. </w:t>
      </w:r>
      <w:r>
        <w:rPr>
          <w:rFonts w:ascii="Verdana" w:eastAsia="Verdana" w:hAnsi="Verdana" w:cs="Verdana"/>
          <w:color w:val="000000"/>
        </w:rPr>
        <w:t>El valor de la cuota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participación que podrán aportar las familias y/o cuidadores será: </w:t>
      </w:r>
    </w:p>
    <w:p w14:paraId="0000003F" w14:textId="180335DF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/>
        <w:ind w:left="1997" w:right="1056" w:hanging="34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1. Hasta el 57.7% del salario diario mínimo mensual legal vigente, por cada niña 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niño participante de Hogares Comunitarios de Bienestar y Jardines Comunitarios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(incluyendo las modalidades anteriormente denominadas Jardín Social, Hogar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Empresarial, Hogar Múltiple y HCB Agrupado), cualquiera sea su forma de atención,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para el rango de 0 a 5 años o menores de 2 años;</w:t>
      </w:r>
      <w:r w:rsidR="00250AA4">
        <w:rPr>
          <w:rFonts w:ascii="Verdana" w:eastAsia="Verdana" w:hAnsi="Verdana" w:cs="Verdana"/>
          <w:color w:val="000000"/>
        </w:rPr>
        <w:t xml:space="preserve"> </w:t>
      </w:r>
    </w:p>
    <w:p w14:paraId="00000040" w14:textId="78D0514C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8"/>
        <w:ind w:left="1984" w:right="1060" w:hanging="34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2. Hasta el 45.5% del salario diario mínimo mensual legal vigente, por familia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vinculada a los Hogares FAMI y Hogares FAMI BienVenir, independientemente del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número de niñas y niños atendidos en la unidad de servicio. </w:t>
      </w:r>
    </w:p>
    <w:p w14:paraId="00000045" w14:textId="26DA5B89" w:rsidR="00C20680" w:rsidRDefault="00000000" w:rsidP="00250A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9"/>
        <w:ind w:left="1268" w:right="1058" w:firstLine="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PARÁGRAFO. </w:t>
      </w:r>
      <w:r>
        <w:rPr>
          <w:rFonts w:ascii="Verdana" w:eastAsia="Verdana" w:hAnsi="Verdana" w:cs="Verdana"/>
          <w:color w:val="000000"/>
        </w:rPr>
        <w:t>Los valores de las cuotas de participación calculados con estos porcentajes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deberán aproximarse a la centena más cercana por exceso o por defecto. </w:t>
      </w:r>
    </w:p>
    <w:p w14:paraId="00000046" w14:textId="57A9ABCF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/>
        <w:ind w:left="1268" w:right="1057" w:hanging="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ARTÍCULO OCTAVO. VIGILANCIA. </w:t>
      </w:r>
      <w:r>
        <w:rPr>
          <w:rFonts w:ascii="Verdana" w:eastAsia="Verdana" w:hAnsi="Verdana" w:cs="Verdana"/>
          <w:color w:val="000000"/>
        </w:rPr>
        <w:t>La inversión de los recursos provenientes de la cuota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participación estará sujeta a la revisión y seguimiento del supervisor del contrato de la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Entidad Administradora del Servicio o Prestadores del Servicio, para garantizar su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coherencia con las decisiones de las familias y/o cuidadores de las niñas y los niños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participantes, así como las mujeres gestantes y madres en periodo de lactancia en el caso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de los HCB FAMI, organizadas en Asamblea General. </w:t>
      </w:r>
    </w:p>
    <w:p w14:paraId="00000047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71" w:right="1057" w:hanging="1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ARTÍCULO NOVENO. PROHIBICIONES. </w:t>
      </w:r>
      <w:r>
        <w:rPr>
          <w:rFonts w:ascii="Verdana" w:eastAsia="Verdana" w:hAnsi="Verdana" w:cs="Verdana"/>
          <w:color w:val="000000"/>
        </w:rPr>
        <w:t xml:space="preserve">En ningún caso las Entidades Administradoras del Servicio podrán: </w:t>
      </w:r>
    </w:p>
    <w:p w14:paraId="00000048" w14:textId="28D0DFD8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/>
        <w:ind w:left="1269" w:right="1059" w:firstLine="16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1. Realizar cobros de cuotas de participación que no hayan sido aprobados en la Asamblea General de Padres Usuarios y Madres Comunitarias de los Hogares Comunitarios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Bienestar. </w:t>
      </w:r>
    </w:p>
    <w:p w14:paraId="00000049" w14:textId="4D2B546A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/>
        <w:ind w:left="1278" w:right="1059" w:hanging="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3. Destinar la cuota de participación para fines distintos a los aprobados en Asamblea de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Padres Usuarios de los Hogares de Bienestar. </w:t>
      </w:r>
    </w:p>
    <w:p w14:paraId="0000004A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/>
        <w:ind w:left="1277" w:right="1050" w:hanging="1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4. Retirar al niño, niña o familia del programa a causa del no pago de la cuota de participación. </w:t>
      </w:r>
    </w:p>
    <w:p w14:paraId="0000004B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/>
        <w:ind w:left="1277" w:right="1050" w:hanging="1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ARTÍCULO DÉCIMO</w:t>
      </w:r>
      <w:r>
        <w:rPr>
          <w:rFonts w:ascii="Verdana" w:eastAsia="Verdana" w:hAnsi="Verdana" w:cs="Verdana"/>
          <w:color w:val="000000"/>
        </w:rPr>
        <w:t xml:space="preserve">. A través de la Dirección de Primera Infancia, </w:t>
      </w:r>
      <w:r>
        <w:rPr>
          <w:rFonts w:ascii="Verdana" w:eastAsia="Verdana" w:hAnsi="Verdana" w:cs="Verdana"/>
          <w:b/>
          <w:bCs/>
          <w:color w:val="000000"/>
        </w:rPr>
        <w:t xml:space="preserve">COMUNÍQUESE </w:t>
      </w:r>
      <w:r>
        <w:rPr>
          <w:rFonts w:ascii="Verdana" w:eastAsia="Verdana" w:hAnsi="Verdana" w:cs="Verdana"/>
          <w:color w:val="000000"/>
        </w:rPr>
        <w:t xml:space="preserve">el presente acto administrativo a los interesados. </w:t>
      </w:r>
    </w:p>
    <w:p w14:paraId="0000004C" w14:textId="26E825C9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/>
        <w:ind w:left="1277" w:right="1050" w:hanging="1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ARTÍCULO DÉCIMO PRIMERO. </w:t>
      </w:r>
      <w:r>
        <w:rPr>
          <w:rFonts w:ascii="Verdana" w:eastAsia="Verdana" w:hAnsi="Verdana" w:cs="Verdana"/>
          <w:color w:val="000000"/>
        </w:rPr>
        <w:t xml:space="preserve">A través de la Oficina Asesora de Comunicaciones, </w:t>
      </w:r>
      <w:r>
        <w:rPr>
          <w:rFonts w:ascii="Verdana" w:eastAsia="Verdana" w:hAnsi="Verdana" w:cs="Verdana"/>
          <w:b/>
          <w:bCs/>
          <w:color w:val="000000"/>
        </w:rPr>
        <w:t xml:space="preserve">PUBLÍQUESE </w:t>
      </w:r>
      <w:r>
        <w:rPr>
          <w:rFonts w:ascii="Verdana" w:eastAsia="Verdana" w:hAnsi="Verdana" w:cs="Verdana"/>
          <w:color w:val="000000"/>
        </w:rPr>
        <w:t>la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presente resolución en la página web del ICBF.</w:t>
      </w:r>
      <w:r w:rsidR="00250AA4">
        <w:rPr>
          <w:rFonts w:ascii="Verdana" w:eastAsia="Verdana" w:hAnsi="Verdana" w:cs="Verdana"/>
          <w:color w:val="000000"/>
        </w:rPr>
        <w:t xml:space="preserve"> </w:t>
      </w:r>
    </w:p>
    <w:p w14:paraId="0000004D" w14:textId="603967C1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272" w:right="1050" w:hanging="1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ARTÍCULO DÉCIMO SEGUNDO</w:t>
      </w:r>
      <w:r>
        <w:rPr>
          <w:rFonts w:ascii="Verdana" w:eastAsia="Verdana" w:hAnsi="Verdana" w:cs="Verdana"/>
          <w:color w:val="000000"/>
        </w:rPr>
        <w:t xml:space="preserve">. A través de la Oficina Asesora de Comunicaciones, </w:t>
      </w:r>
      <w:r>
        <w:rPr>
          <w:rFonts w:ascii="Verdana" w:eastAsia="Verdana" w:hAnsi="Verdana" w:cs="Verdana"/>
          <w:b/>
          <w:bCs/>
          <w:color w:val="000000"/>
        </w:rPr>
        <w:t xml:space="preserve">PUBLÍQUESE </w:t>
      </w:r>
      <w:r>
        <w:rPr>
          <w:rFonts w:ascii="Verdana" w:eastAsia="Verdana" w:hAnsi="Verdana" w:cs="Verdana"/>
          <w:color w:val="000000"/>
        </w:rPr>
        <w:t>la</w:t>
      </w:r>
      <w:r w:rsidR="00250AA4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presente Resolución en el Diario Oficial, de conformidad con lo establecido en el artículo 65 del Código de Procedimiento Administrativo y de lo Contencioso Administrativo. </w:t>
      </w:r>
    </w:p>
    <w:p w14:paraId="0000004E" w14:textId="77777777" w:rsidR="00C2068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/>
        <w:ind w:left="1277" w:right="1055" w:hanging="1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ARTÍCULO DÉCIMO TERCERNO. </w:t>
      </w:r>
      <w:r>
        <w:rPr>
          <w:rFonts w:ascii="Verdana" w:eastAsia="Verdana" w:hAnsi="Verdana" w:cs="Verdana"/>
          <w:color w:val="000000"/>
        </w:rPr>
        <w:t xml:space="preserve">VIGENCIA Y DEROGATORIAS. La presente resolución </w:t>
      </w:r>
      <w:r>
        <w:rPr>
          <w:rFonts w:ascii="Verdana" w:eastAsia="Verdana" w:hAnsi="Verdana" w:cs="Verdana"/>
          <w:color w:val="000000"/>
        </w:rPr>
        <w:lastRenderedPageBreak/>
        <w:t xml:space="preserve">rige a partir de la fecha de su publicación, deroga expresamente la Resolución 1908 de 2014. </w:t>
      </w:r>
    </w:p>
    <w:p w14:paraId="0000004F" w14:textId="77777777" w:rsidR="00C20680" w:rsidRPr="00250AA4" w:rsidRDefault="00000000">
      <w:pPr>
        <w:jc w:val="center"/>
        <w:rPr>
          <w:rFonts w:ascii="Verdana" w:eastAsia="Verdana" w:hAnsi="Verdana" w:cs="Verdana"/>
          <w:b/>
          <w:bCs/>
        </w:rPr>
      </w:pPr>
      <w:r w:rsidRPr="00250AA4">
        <w:rPr>
          <w:rFonts w:ascii="Verdana" w:eastAsia="Verdana" w:hAnsi="Verdana" w:cs="Verdana"/>
          <w:b/>
          <w:bCs/>
        </w:rPr>
        <w:t>PÚBLIQUESE, COMUNÍQUESE Y CÚMPLASE</w:t>
      </w:r>
    </w:p>
    <w:p w14:paraId="00000050" w14:textId="77777777" w:rsidR="00C20680" w:rsidRDefault="00C20680">
      <w:pPr>
        <w:jc w:val="center"/>
        <w:rPr>
          <w:rFonts w:ascii="Verdana" w:eastAsia="Verdana" w:hAnsi="Verdana" w:cs="Verdana"/>
        </w:rPr>
      </w:pPr>
    </w:p>
    <w:p w14:paraId="00000051" w14:textId="77777777" w:rsidR="00C20680" w:rsidRDefault="00000000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 , a los 5 días de diciembre de 2025</w:t>
      </w:r>
    </w:p>
    <w:p w14:paraId="00000052" w14:textId="77777777" w:rsidR="00C20680" w:rsidRDefault="00C20680">
      <w:pPr>
        <w:jc w:val="center"/>
        <w:rPr>
          <w:rFonts w:ascii="Verdana" w:eastAsia="Verdana" w:hAnsi="Verdana" w:cs="Verdana"/>
        </w:rPr>
      </w:pPr>
    </w:p>
    <w:p w14:paraId="00000053" w14:textId="77777777" w:rsidR="00C20680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ASTRID ELIANA CÁCERES CÁRDENAS</w:t>
      </w:r>
    </w:p>
    <w:p w14:paraId="00000054" w14:textId="77777777" w:rsidR="00C20680" w:rsidRDefault="00C20680">
      <w:pPr>
        <w:jc w:val="center"/>
        <w:rPr>
          <w:rFonts w:ascii="Verdana" w:eastAsia="Verdana" w:hAnsi="Verdana" w:cs="Verdana"/>
          <w:b/>
          <w:bCs/>
        </w:rPr>
      </w:pPr>
    </w:p>
    <w:p w14:paraId="00000055" w14:textId="77777777" w:rsidR="00C20680" w:rsidRDefault="00000000">
      <w:pPr>
        <w:jc w:val="center"/>
        <w:rPr>
          <w:rFonts w:ascii="Verdana" w:eastAsia="Verdana" w:hAnsi="Verdana" w:cs="Verdana"/>
        </w:rPr>
        <w:sectPr w:rsidR="00C20680" w:rsidSect="00250AA4">
          <w:type w:val="continuous"/>
          <w:pgSz w:w="12240" w:h="15840"/>
          <w:pgMar w:top="993" w:right="0" w:bottom="1135" w:left="20" w:header="0" w:footer="720" w:gutter="0"/>
          <w:cols w:space="720"/>
        </w:sectPr>
      </w:pPr>
      <w:r>
        <w:rPr>
          <w:rFonts w:ascii="Verdana" w:eastAsia="Verdana" w:hAnsi="Verdana" w:cs="Verdana"/>
        </w:rPr>
        <w:t>DIRECTORA GENERAL</w:t>
      </w:r>
    </w:p>
    <w:p w14:paraId="00000056" w14:textId="77777777" w:rsidR="00C20680" w:rsidRDefault="00C206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00000057" w14:textId="77777777" w:rsidR="00C20680" w:rsidRDefault="00C206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00000058" w14:textId="77777777" w:rsidR="00C20680" w:rsidRDefault="00C206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00000059" w14:textId="77777777" w:rsidR="00C20680" w:rsidRDefault="00C206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</w:rPr>
        <w:sectPr w:rsidR="00C20680">
          <w:type w:val="continuous"/>
          <w:pgSz w:w="12240" w:h="15840"/>
          <w:pgMar w:top="105" w:right="1491" w:bottom="438" w:left="4713" w:header="0" w:footer="720" w:gutter="0"/>
          <w:cols w:num="2" w:space="720" w:equalWidth="0">
            <w:col w:w="3018" w:space="0"/>
            <w:col w:w="3018" w:space="0"/>
          </w:cols>
        </w:sectPr>
      </w:pPr>
    </w:p>
    <w:p w14:paraId="0000005A" w14:textId="77777777" w:rsidR="00C20680" w:rsidRDefault="00C2068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right="14"/>
        <w:rPr>
          <w:rFonts w:ascii="Verdana" w:eastAsia="Verdana" w:hAnsi="Verdana" w:cs="Verdana"/>
          <w:color w:val="595959"/>
          <w:sz w:val="18"/>
          <w:szCs w:val="18"/>
        </w:rPr>
      </w:pPr>
    </w:p>
    <w:sectPr w:rsidR="00C20680">
      <w:type w:val="continuous"/>
      <w:pgSz w:w="12240" w:h="15840"/>
      <w:pgMar w:top="105" w:right="2360" w:bottom="438" w:left="1853" w:header="0" w:footer="720" w:gutter="0"/>
      <w:cols w:num="2" w:space="720" w:equalWidth="0">
        <w:col w:w="4013" w:space="0"/>
        <w:col w:w="401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3A56A771-013C-4422-A56F-B517ACDE235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7DFD04E-5645-4FAA-8F8C-B0CBC1EA434B}"/>
    <w:embedBold r:id="rId3" w:fontKey="{E347C32C-CD76-4119-84CF-8C4C01BB77A4}"/>
    <w:embedItalic r:id="rId4" w:fontKey="{1E51CBAF-FA5D-4C81-B981-889AC99252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D1452E5-F84F-467B-AD88-9FFCD4EB80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C74188-329E-48B8-B495-D2C6E3831F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680"/>
    <w:rsid w:val="00250AA4"/>
    <w:rsid w:val="009C6C3C"/>
    <w:rsid w:val="00C2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AB078"/>
  <w15:docId w15:val="{8820671E-7CA5-4B5F-8CF1-81859C7F5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hNm9jyW9/s4+2pwdahdujJQYdA==">CgMxLjA4AHIhMV9wZDdMQ1hkYVI1NWFBbHNTN2I5T3RRQ3RONHR6eGFv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B793328-062F-4802-921A-B4F93D2B8DCB}"/>
</file>

<file path=customXml/itemProps3.xml><?xml version="1.0" encoding="utf-8"?>
<ds:datastoreItem xmlns:ds="http://schemas.openxmlformats.org/officeDocument/2006/customXml" ds:itemID="{9900731B-63F5-4F05-B0C1-8E8909E38F7B}"/>
</file>

<file path=customXml/itemProps4.xml><?xml version="1.0" encoding="utf-8"?>
<ds:datastoreItem xmlns:ds="http://schemas.openxmlformats.org/officeDocument/2006/customXml" ds:itemID="{680F5B32-9497-414A-926F-F6A84C3A42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2614</Words>
  <Characters>14379</Characters>
  <Application>Microsoft Office Word</Application>
  <DocSecurity>0</DocSecurity>
  <Lines>119</Lines>
  <Paragraphs>33</Paragraphs>
  <ScaleCrop>false</ScaleCrop>
  <Company/>
  <LinksUpToDate>false</LinksUpToDate>
  <CharactersWithSpaces>16960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3</cp:revision>
  <dcterms:created xsi:type="dcterms:W3CDTF">2026-04-02T21:54:00Z</dcterms:created>
  <dcterms:modified xsi:type="dcterms:W3CDTF">2026-04-08T20:28:00Z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