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0EB33F40" w:rsidR="006D5ECF" w:rsidRPr="009E6B1B" w:rsidRDefault="00251F6B" w:rsidP="00251F6B">
      <w:pPr>
        <w:jc w:val="center"/>
        <w:rPr>
          <w:rFonts w:ascii="Verdana" w:hAnsi="Verdana"/>
          <w:sz w:val="22"/>
          <w:szCs w:val="22"/>
        </w:rPr>
      </w:pPr>
      <w:r w:rsidRPr="009E6B1B">
        <w:rPr>
          <w:rFonts w:ascii="Verdana" w:hAnsi="Verdana"/>
          <w:b/>
          <w:bCs/>
          <w:sz w:val="22"/>
          <w:szCs w:val="22"/>
        </w:rPr>
        <w:t xml:space="preserve">RESOLUCIÓN </w:t>
      </w:r>
      <w:r w:rsidR="00476CE6" w:rsidRPr="009E6B1B">
        <w:rPr>
          <w:rFonts w:ascii="Verdana" w:hAnsi="Verdana"/>
          <w:b/>
          <w:bCs/>
          <w:sz w:val="22"/>
          <w:szCs w:val="22"/>
        </w:rPr>
        <w:t xml:space="preserve">7535 </w:t>
      </w:r>
      <w:r w:rsidRPr="009E6B1B">
        <w:rPr>
          <w:rFonts w:ascii="Verdana" w:hAnsi="Verdana"/>
          <w:b/>
          <w:bCs/>
          <w:sz w:val="22"/>
          <w:szCs w:val="22"/>
        </w:rPr>
        <w:t>DE 2023</w:t>
      </w:r>
    </w:p>
    <w:p w14:paraId="7FAA1F65" w14:textId="5CD597D6" w:rsidR="006D1939" w:rsidRPr="009E6B1B" w:rsidRDefault="006D1939" w:rsidP="006D1939">
      <w:pPr>
        <w:rPr>
          <w:rFonts w:ascii="Verdana" w:hAnsi="Verdana"/>
          <w:sz w:val="20"/>
          <w:szCs w:val="20"/>
        </w:rPr>
      </w:pPr>
      <w:r w:rsidRPr="009E6B1B">
        <w:rPr>
          <w:rFonts w:ascii="Verdana" w:hAnsi="Verdana"/>
          <w:sz w:val="20"/>
          <w:szCs w:val="20"/>
        </w:rPr>
        <w:t xml:space="preserve">Fecha de Expedición: </w:t>
      </w:r>
      <w:r w:rsidR="00476CE6">
        <w:rPr>
          <w:rFonts w:ascii="Verdana" w:hAnsi="Verdana"/>
          <w:sz w:val="20"/>
          <w:szCs w:val="20"/>
        </w:rPr>
        <w:t>27 de noviembre</w:t>
      </w:r>
      <w:r w:rsidRPr="009E6B1B">
        <w:rPr>
          <w:rFonts w:ascii="Verdana" w:hAnsi="Verdana"/>
          <w:sz w:val="20"/>
          <w:szCs w:val="20"/>
        </w:rPr>
        <w:t xml:space="preserve"> de 20</w:t>
      </w:r>
      <w:r w:rsidR="00D5214B" w:rsidRPr="009E6B1B">
        <w:rPr>
          <w:rFonts w:ascii="Verdana" w:hAnsi="Verdana"/>
          <w:sz w:val="20"/>
          <w:szCs w:val="20"/>
        </w:rPr>
        <w:t>23</w:t>
      </w:r>
    </w:p>
    <w:p w14:paraId="3C8362D2" w14:textId="6EC8BB47" w:rsidR="006D1939" w:rsidRPr="009E6B1B" w:rsidRDefault="006D1939" w:rsidP="006D1939">
      <w:pPr>
        <w:rPr>
          <w:rFonts w:ascii="Verdana" w:hAnsi="Verdana"/>
          <w:sz w:val="20"/>
          <w:szCs w:val="20"/>
        </w:rPr>
      </w:pPr>
      <w:r w:rsidRPr="009E6B1B">
        <w:rPr>
          <w:rFonts w:ascii="Verdana" w:hAnsi="Verdana"/>
          <w:sz w:val="20"/>
          <w:szCs w:val="20"/>
        </w:rPr>
        <w:t xml:space="preserve">Fecha de </w:t>
      </w:r>
      <w:proofErr w:type="gramStart"/>
      <w:r w:rsidRPr="009E6B1B">
        <w:rPr>
          <w:rFonts w:ascii="Verdana" w:hAnsi="Verdana"/>
          <w:sz w:val="20"/>
          <w:szCs w:val="20"/>
        </w:rPr>
        <w:t>entrada en vigencia</w:t>
      </w:r>
      <w:proofErr w:type="gramEnd"/>
      <w:r w:rsidRPr="009E6B1B">
        <w:rPr>
          <w:rFonts w:ascii="Verdana" w:hAnsi="Verdana"/>
          <w:sz w:val="20"/>
          <w:szCs w:val="20"/>
        </w:rPr>
        <w:t xml:space="preserve">: </w:t>
      </w:r>
      <w:r w:rsidR="00476CE6">
        <w:rPr>
          <w:rFonts w:ascii="Verdana" w:hAnsi="Verdana"/>
          <w:sz w:val="20"/>
          <w:szCs w:val="20"/>
        </w:rPr>
        <w:t>27 de noviembre</w:t>
      </w:r>
      <w:r w:rsidR="00251F6B" w:rsidRPr="009E6B1B">
        <w:rPr>
          <w:rFonts w:ascii="Verdana" w:hAnsi="Verdana"/>
          <w:sz w:val="20"/>
          <w:szCs w:val="20"/>
        </w:rPr>
        <w:t xml:space="preserve"> de 2023</w:t>
      </w:r>
    </w:p>
    <w:p w14:paraId="1772F951" w14:textId="6F07403F" w:rsidR="006D1939" w:rsidRPr="009E6B1B" w:rsidRDefault="006D1939" w:rsidP="006D1939">
      <w:pPr>
        <w:rPr>
          <w:rFonts w:ascii="Verdana" w:hAnsi="Verdana"/>
          <w:sz w:val="20"/>
          <w:szCs w:val="20"/>
        </w:rPr>
      </w:pPr>
      <w:r w:rsidRPr="009E6B1B">
        <w:rPr>
          <w:rFonts w:ascii="Verdana" w:hAnsi="Verdana"/>
          <w:sz w:val="20"/>
          <w:szCs w:val="20"/>
        </w:rPr>
        <w:t xml:space="preserve">Estado de la vigencia: </w:t>
      </w:r>
      <w:r w:rsidR="00476CE6">
        <w:rPr>
          <w:rFonts w:ascii="Verdana" w:hAnsi="Verdana"/>
          <w:sz w:val="20"/>
          <w:szCs w:val="20"/>
        </w:rPr>
        <w:t>vigente</w:t>
      </w:r>
    </w:p>
    <w:p w14:paraId="30D368E6" w14:textId="77777777" w:rsidR="006D1939" w:rsidRPr="009E6B1B" w:rsidRDefault="006D1939" w:rsidP="006D1939">
      <w:pPr>
        <w:rPr>
          <w:rFonts w:ascii="Verdana" w:hAnsi="Verdana"/>
          <w:sz w:val="20"/>
          <w:szCs w:val="20"/>
        </w:rPr>
      </w:pPr>
    </w:p>
    <w:p w14:paraId="396C1C8B" w14:textId="0AF63525" w:rsidR="006D1939" w:rsidRPr="009E6B1B" w:rsidRDefault="006D1939" w:rsidP="006D1939">
      <w:pPr>
        <w:rPr>
          <w:rFonts w:ascii="Verdana" w:hAnsi="Verdana"/>
          <w:sz w:val="20"/>
          <w:szCs w:val="20"/>
        </w:rPr>
      </w:pPr>
      <w:r w:rsidRPr="009E6B1B">
        <w:rPr>
          <w:rFonts w:ascii="Verdana" w:hAnsi="Verdana"/>
          <w:sz w:val="20"/>
          <w:szCs w:val="20"/>
        </w:rPr>
        <w:t xml:space="preserve">Fecha de publicación en Diario Oficial: </w:t>
      </w:r>
      <w:r w:rsidR="00476CE6">
        <w:rPr>
          <w:rFonts w:ascii="Verdana" w:hAnsi="Verdana"/>
          <w:sz w:val="20"/>
          <w:szCs w:val="20"/>
        </w:rPr>
        <w:t>N/A</w:t>
      </w:r>
    </w:p>
    <w:p w14:paraId="038FC3F0" w14:textId="04790F32" w:rsidR="006D1939" w:rsidRPr="009E6B1B" w:rsidRDefault="006D1939" w:rsidP="006D1939">
      <w:pPr>
        <w:rPr>
          <w:rFonts w:ascii="Verdana" w:hAnsi="Verdana"/>
          <w:sz w:val="20"/>
          <w:szCs w:val="20"/>
        </w:rPr>
      </w:pPr>
      <w:r w:rsidRPr="009E6B1B">
        <w:rPr>
          <w:rFonts w:ascii="Verdana" w:hAnsi="Verdana"/>
          <w:sz w:val="20"/>
          <w:szCs w:val="20"/>
        </w:rPr>
        <w:t xml:space="preserve">Número del Diario Oficial: </w:t>
      </w:r>
      <w:r w:rsidR="00251F6B" w:rsidRPr="009E6B1B">
        <w:rPr>
          <w:rFonts w:ascii="Verdana" w:hAnsi="Verdana"/>
          <w:sz w:val="20"/>
          <w:szCs w:val="20"/>
        </w:rPr>
        <w:t>N</w:t>
      </w:r>
      <w:r w:rsidR="00476CE6">
        <w:rPr>
          <w:rFonts w:ascii="Verdana" w:hAnsi="Verdana"/>
          <w:sz w:val="20"/>
          <w:szCs w:val="20"/>
        </w:rPr>
        <w:t>/A</w:t>
      </w:r>
    </w:p>
    <w:p w14:paraId="19C12C14" w14:textId="77777777" w:rsidR="009E6B1B" w:rsidRPr="009E6B1B" w:rsidRDefault="009E6B1B" w:rsidP="00CA5800">
      <w:pPr>
        <w:jc w:val="center"/>
        <w:rPr>
          <w:rFonts w:ascii="Verdana" w:hAnsi="Verdana"/>
          <w:sz w:val="22"/>
          <w:szCs w:val="22"/>
        </w:rPr>
      </w:pPr>
      <w:r w:rsidRPr="009E6B1B">
        <w:rPr>
          <w:rFonts w:ascii="Verdana" w:hAnsi="Verdana"/>
          <w:b/>
          <w:bCs/>
          <w:sz w:val="22"/>
          <w:szCs w:val="22"/>
        </w:rPr>
        <w:t>RESOLUCIÓN 7535 DE 2023</w:t>
      </w:r>
    </w:p>
    <w:p w14:paraId="62A9C5FC" w14:textId="4C1E3A26" w:rsidR="009E6B1B" w:rsidRPr="009E6B1B" w:rsidRDefault="009E6B1B" w:rsidP="00CA5800">
      <w:pPr>
        <w:jc w:val="center"/>
        <w:rPr>
          <w:rFonts w:ascii="Verdana" w:hAnsi="Verdana"/>
          <w:sz w:val="22"/>
          <w:szCs w:val="22"/>
        </w:rPr>
      </w:pPr>
      <w:r w:rsidRPr="009E6B1B">
        <w:rPr>
          <w:rFonts w:ascii="Verdana" w:hAnsi="Verdana"/>
          <w:b/>
          <w:bCs/>
          <w:sz w:val="22"/>
          <w:szCs w:val="22"/>
        </w:rPr>
        <w:t>(</w:t>
      </w:r>
      <w:r w:rsidR="00CA5800">
        <w:rPr>
          <w:rFonts w:ascii="Verdana" w:hAnsi="Verdana"/>
          <w:b/>
          <w:bCs/>
          <w:sz w:val="22"/>
          <w:szCs w:val="22"/>
        </w:rPr>
        <w:t xml:space="preserve">27 de </w:t>
      </w:r>
      <w:r w:rsidRPr="009E6B1B">
        <w:rPr>
          <w:rFonts w:ascii="Verdana" w:hAnsi="Verdana"/>
          <w:b/>
          <w:bCs/>
          <w:sz w:val="22"/>
          <w:szCs w:val="22"/>
        </w:rPr>
        <w:t>noviembre)</w:t>
      </w:r>
    </w:p>
    <w:p w14:paraId="261D3D13" w14:textId="77777777" w:rsidR="009E6B1B" w:rsidRPr="009E6B1B" w:rsidRDefault="009E6B1B" w:rsidP="00CA5800">
      <w:pPr>
        <w:jc w:val="center"/>
        <w:rPr>
          <w:rFonts w:ascii="Verdana" w:hAnsi="Verdana"/>
          <w:sz w:val="22"/>
          <w:szCs w:val="22"/>
        </w:rPr>
      </w:pPr>
      <w:r w:rsidRPr="009E6B1B">
        <w:rPr>
          <w:rFonts w:ascii="Verdana" w:hAnsi="Verdana"/>
          <w:b/>
          <w:bCs/>
          <w:sz w:val="22"/>
          <w:szCs w:val="22"/>
        </w:rPr>
        <w:t>INSTITUTO COLOMBIANO DE BIENESTAR FAMILIAR</w:t>
      </w:r>
    </w:p>
    <w:p w14:paraId="4ABCC44A" w14:textId="40F8B484" w:rsidR="009E6B1B" w:rsidRPr="009E6B1B" w:rsidRDefault="00CA5800" w:rsidP="00CA5800">
      <w:pPr>
        <w:jc w:val="center"/>
        <w:rPr>
          <w:rFonts w:ascii="Verdana" w:hAnsi="Verdana"/>
          <w:sz w:val="22"/>
          <w:szCs w:val="22"/>
        </w:rPr>
      </w:pPr>
      <w:r>
        <w:rPr>
          <w:rFonts w:ascii="Verdana" w:hAnsi="Verdana"/>
          <w:sz w:val="22"/>
          <w:szCs w:val="22"/>
        </w:rPr>
        <w:t>“</w:t>
      </w:r>
      <w:r w:rsidR="009E6B1B" w:rsidRPr="009E6B1B">
        <w:rPr>
          <w:rFonts w:ascii="Verdana" w:hAnsi="Verdana"/>
          <w:sz w:val="22"/>
          <w:szCs w:val="22"/>
        </w:rPr>
        <w:t>Por medio de la cual se adopta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Instituto Colombiano de Bienestar Familiar- ICBF y se dictan otras disposiciones.</w:t>
      </w:r>
      <w:r>
        <w:rPr>
          <w:rFonts w:ascii="Verdana" w:hAnsi="Verdana"/>
          <w:sz w:val="22"/>
          <w:szCs w:val="22"/>
        </w:rPr>
        <w:t>”</w:t>
      </w:r>
    </w:p>
    <w:p w14:paraId="46C3222D" w14:textId="77777777" w:rsidR="009E6B1B" w:rsidRPr="009E6B1B" w:rsidRDefault="009E6B1B" w:rsidP="00CA5800">
      <w:pPr>
        <w:jc w:val="center"/>
        <w:rPr>
          <w:rFonts w:ascii="Verdana" w:hAnsi="Verdana"/>
          <w:sz w:val="22"/>
          <w:szCs w:val="22"/>
        </w:rPr>
      </w:pPr>
      <w:r w:rsidRPr="009E6B1B">
        <w:rPr>
          <w:rFonts w:ascii="Verdana" w:hAnsi="Verdana"/>
          <w:b/>
          <w:bCs/>
          <w:sz w:val="22"/>
          <w:szCs w:val="22"/>
        </w:rPr>
        <w:t>LA DIRECTORA GENERAL DEL INSTITUTO COLOMBIANO DE BIENESTAR FAMILIAR - CECILIA DE LA FUENTE DE LLERAS</w:t>
      </w:r>
    </w:p>
    <w:p w14:paraId="4702E347" w14:textId="6D94E8EC" w:rsidR="009E6B1B" w:rsidRPr="009E6B1B" w:rsidRDefault="009E6B1B" w:rsidP="00CA5800">
      <w:pPr>
        <w:jc w:val="center"/>
        <w:rPr>
          <w:rFonts w:ascii="Verdana" w:hAnsi="Verdana"/>
          <w:sz w:val="22"/>
          <w:szCs w:val="22"/>
        </w:rPr>
      </w:pPr>
      <w:r w:rsidRPr="009E6B1B">
        <w:rPr>
          <w:rFonts w:ascii="Verdana" w:hAnsi="Verdana"/>
          <w:sz w:val="22"/>
          <w:szCs w:val="22"/>
        </w:rPr>
        <w:t>En uso de sus facultades legales y estatutarias y, en especial de las que le confieren el literal b) del artículo 28 de la Ley 7 de 1979, el artículo 78 de la Ley 489 de 1998 y,</w:t>
      </w:r>
    </w:p>
    <w:p w14:paraId="54D5E6D8" w14:textId="77777777" w:rsidR="009E6B1B" w:rsidRPr="009E6B1B" w:rsidRDefault="009E6B1B" w:rsidP="00CA5800">
      <w:pPr>
        <w:jc w:val="center"/>
        <w:rPr>
          <w:rFonts w:ascii="Verdana" w:hAnsi="Verdana"/>
          <w:sz w:val="22"/>
          <w:szCs w:val="22"/>
        </w:rPr>
      </w:pPr>
      <w:r w:rsidRPr="009E6B1B">
        <w:rPr>
          <w:rFonts w:ascii="Verdana" w:hAnsi="Verdana"/>
          <w:b/>
          <w:bCs/>
          <w:sz w:val="22"/>
          <w:szCs w:val="22"/>
        </w:rPr>
        <w:t>CONSIDERANDO:</w:t>
      </w:r>
    </w:p>
    <w:p w14:paraId="2D05D452"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 Constitución Política, los tratados y declaraciones Internacionales ratificados por Colombia que hacen parte del bloque de constitucionalidad, reconocen que la igualdad de género y la no discriminación son principios rectores del Estado Social de Derecho.</w:t>
      </w:r>
    </w:p>
    <w:p w14:paraId="53AF1E30" w14:textId="692E9FC8"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de acuerdo con el artículo </w:t>
      </w:r>
      <w:r w:rsidRPr="00CA5800">
        <w:rPr>
          <w:rFonts w:ascii="Verdana" w:hAnsi="Verdana"/>
          <w:sz w:val="22"/>
          <w:szCs w:val="22"/>
        </w:rPr>
        <w:t>7</w:t>
      </w:r>
      <w:r w:rsidRPr="00CA5800">
        <w:rPr>
          <w:rFonts w:ascii="Verdana" w:hAnsi="Verdana"/>
          <w:sz w:val="22"/>
          <w:szCs w:val="22"/>
        </w:rPr>
        <w:t> de la Declaración Universal de Derechos Humanos y la Ley 74 de 1968, </w:t>
      </w:r>
      <w:r w:rsidRPr="00CA5800">
        <w:rPr>
          <w:rFonts w:ascii="Verdana" w:hAnsi="Verdana"/>
          <w:i/>
          <w:iCs/>
          <w:sz w:val="22"/>
          <w:szCs w:val="22"/>
        </w:rPr>
        <w:t>“Todos son iguales ante la ley y tienen, sin distinción, derecho a igual protección de la ley (…)”.</w:t>
      </w:r>
    </w:p>
    <w:p w14:paraId="0025ED76"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 Declaración de las Naciones Unidades sobre la eliminación de las formas de discriminación racial señala: “la discriminación entre los seres humanos por motivos de raza, color y origen étnico es un atentado contra la dignidad humana y; debe condenarse como una negación de los principios de la Carta de las Naciones Unidas; constituye una violación de los derechos humanos y tas libertades fundamentales proclamados en la Declaración, Universal de Derechos Humanos”.</w:t>
      </w:r>
    </w:p>
    <w:p w14:paraId="4A13690F" w14:textId="56F34B63"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 Ley </w:t>
      </w:r>
      <w:r w:rsidRPr="00CA5800">
        <w:rPr>
          <w:rFonts w:ascii="Verdana" w:hAnsi="Verdana"/>
          <w:sz w:val="22"/>
          <w:szCs w:val="22"/>
        </w:rPr>
        <w:t>22</w:t>
      </w:r>
      <w:r w:rsidRPr="00CA5800">
        <w:rPr>
          <w:rFonts w:ascii="Verdana" w:hAnsi="Verdana"/>
          <w:sz w:val="22"/>
          <w:szCs w:val="22"/>
        </w:rPr>
        <w:t> de 1981, Ley </w:t>
      </w:r>
      <w:r w:rsidRPr="00CA5800">
        <w:rPr>
          <w:rFonts w:ascii="Verdana" w:hAnsi="Verdana"/>
          <w:sz w:val="22"/>
          <w:szCs w:val="22"/>
        </w:rPr>
        <w:t>51</w:t>
      </w:r>
      <w:r w:rsidRPr="00CA5800">
        <w:rPr>
          <w:rFonts w:ascii="Verdana" w:hAnsi="Verdana"/>
          <w:sz w:val="22"/>
          <w:szCs w:val="22"/>
        </w:rPr>
        <w:t> de 1981, la Ley </w:t>
      </w:r>
      <w:r w:rsidRPr="00CA5800">
        <w:rPr>
          <w:rFonts w:ascii="Verdana" w:hAnsi="Verdana"/>
          <w:sz w:val="22"/>
          <w:szCs w:val="22"/>
        </w:rPr>
        <w:t>248</w:t>
      </w:r>
      <w:r w:rsidRPr="00CA5800">
        <w:rPr>
          <w:rFonts w:ascii="Verdana" w:hAnsi="Verdana"/>
          <w:sz w:val="22"/>
          <w:szCs w:val="22"/>
        </w:rPr>
        <w:t> de 1995 y la Ley </w:t>
      </w:r>
      <w:r w:rsidRPr="00CA5800">
        <w:rPr>
          <w:rFonts w:ascii="Verdana" w:hAnsi="Verdana"/>
          <w:sz w:val="22"/>
          <w:szCs w:val="22"/>
        </w:rPr>
        <w:t>1346</w:t>
      </w:r>
      <w:r w:rsidRPr="00CA5800">
        <w:rPr>
          <w:rFonts w:ascii="Verdana" w:hAnsi="Verdana"/>
          <w:sz w:val="22"/>
          <w:szCs w:val="22"/>
        </w:rPr>
        <w:t xml:space="preserve"> de 2009, aprueban las convenciones que abordan las formas de violencia contra las mujeres y basadas en género, así como de los actos </w:t>
      </w:r>
      <w:r w:rsidRPr="00CA5800">
        <w:rPr>
          <w:rFonts w:ascii="Verdana" w:hAnsi="Verdana"/>
          <w:sz w:val="22"/>
          <w:szCs w:val="22"/>
        </w:rPr>
        <w:lastRenderedPageBreak/>
        <w:t>de discriminación por razón de pertenencia etnia, religión, nacionalidad, ideología política o filosófica, sexo, orientación sexual, discapacidad y demás razones de discriminación.</w:t>
      </w:r>
    </w:p>
    <w:p w14:paraId="65B25032" w14:textId="2C94E379"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las Leyes </w:t>
      </w:r>
      <w:r w:rsidRPr="00CA5800">
        <w:rPr>
          <w:rFonts w:ascii="Verdana" w:hAnsi="Verdana"/>
          <w:sz w:val="22"/>
          <w:szCs w:val="22"/>
        </w:rPr>
        <w:t>1257</w:t>
      </w:r>
      <w:r w:rsidRPr="00CA5800">
        <w:rPr>
          <w:rFonts w:ascii="Verdana" w:hAnsi="Verdana"/>
          <w:sz w:val="22"/>
          <w:szCs w:val="22"/>
        </w:rPr>
        <w:t> de 2008, </w:t>
      </w:r>
      <w:r w:rsidRPr="00CA5800">
        <w:rPr>
          <w:rFonts w:ascii="Verdana" w:hAnsi="Verdana"/>
          <w:sz w:val="22"/>
          <w:szCs w:val="22"/>
        </w:rPr>
        <w:t>1010</w:t>
      </w:r>
      <w:r w:rsidRPr="00CA5800">
        <w:rPr>
          <w:rFonts w:ascii="Verdana" w:hAnsi="Verdana"/>
          <w:sz w:val="22"/>
          <w:szCs w:val="22"/>
        </w:rPr>
        <w:t> de 2006, </w:t>
      </w:r>
      <w:r w:rsidRPr="00CA5800">
        <w:rPr>
          <w:rFonts w:ascii="Verdana" w:hAnsi="Verdana"/>
          <w:sz w:val="22"/>
          <w:szCs w:val="22"/>
        </w:rPr>
        <w:t>1752</w:t>
      </w:r>
      <w:r w:rsidRPr="00CA5800">
        <w:rPr>
          <w:rFonts w:ascii="Verdana" w:hAnsi="Verdana"/>
          <w:sz w:val="22"/>
          <w:szCs w:val="22"/>
        </w:rPr>
        <w:t> de 2015 abordan lo relacionado con las formas de violencia contra las mujeres y basadas en género, así como de los actos de discriminación por razón de pertenencia etnia, religión, nacionalidad, ideología política o filosófica, sexo, orientación sexual, discapacidad y demás razones de discriminación en el ámbito laboral, así como las medidas para prevenir corregir y sancionar dichas conductas.</w:t>
      </w:r>
    </w:p>
    <w:p w14:paraId="04BB7E09" w14:textId="0553C9AB"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 Ley 2294 de 2023 </w:t>
      </w:r>
      <w:r w:rsidRPr="00CA5800">
        <w:rPr>
          <w:rFonts w:ascii="Verdana" w:hAnsi="Verdana"/>
          <w:i/>
          <w:iCs/>
          <w:sz w:val="22"/>
          <w:szCs w:val="22"/>
        </w:rPr>
        <w:t>“Por la cual se expide, el Plan Nacional de Desarrollo 2022-2026 “Colombia potencia mundial de la Vida"</w:t>
      </w:r>
      <w:r w:rsidRPr="00CA5800">
        <w:rPr>
          <w:rFonts w:ascii="Verdana" w:hAnsi="Verdana"/>
          <w:sz w:val="22"/>
          <w:szCs w:val="22"/>
        </w:rPr>
        <w:t> en el artículo </w:t>
      </w:r>
      <w:r w:rsidRPr="00CA5800">
        <w:rPr>
          <w:rFonts w:ascii="Verdana" w:hAnsi="Verdana"/>
          <w:sz w:val="22"/>
          <w:szCs w:val="22"/>
        </w:rPr>
        <w:t>343</w:t>
      </w:r>
      <w:r w:rsidRPr="00CA5800">
        <w:rPr>
          <w:rFonts w:ascii="Verdana" w:hAnsi="Verdana"/>
          <w:sz w:val="22"/>
          <w:szCs w:val="22"/>
        </w:rPr>
        <w:t> dispuso la creación del “Sistema Nacional de Registro, Atención, Seguimiento y Monitoreo de las Violencias Basadas en Género -VBG-, bajo el liderazgo de la Consejería Presidencial para la Equidad de la Mujer o quien haga sus veces”.</w:t>
      </w:r>
    </w:p>
    <w:p w14:paraId="27DEDA04"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el Decreto 762 de 2018 del Ministerio de Interior, adoptó la </w:t>
      </w:r>
      <w:r w:rsidRPr="00CA5800">
        <w:rPr>
          <w:rFonts w:ascii="Verdana" w:hAnsi="Verdana"/>
          <w:i/>
          <w:iCs/>
          <w:sz w:val="22"/>
          <w:szCs w:val="22"/>
        </w:rPr>
        <w:t>“Política Pública para la garantía del ejercicio efectivo de los derechos de las personas que hacen parte de los sectores sociales LGTBI y de personas con orientaciones sexuales e identidades de género diversas”</w:t>
      </w:r>
      <w:r w:rsidRPr="00CA5800">
        <w:rPr>
          <w:rFonts w:ascii="Verdana" w:hAnsi="Verdana"/>
          <w:sz w:val="22"/>
          <w:szCs w:val="22"/>
        </w:rPr>
        <w:t> a la cual deben someterse las entidades nacionales.</w:t>
      </w:r>
    </w:p>
    <w:p w14:paraId="2B5E8E84" w14:textId="7531E478"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el Decreto </w:t>
      </w:r>
      <w:r w:rsidRPr="00CA5800">
        <w:rPr>
          <w:rFonts w:ascii="Verdana" w:hAnsi="Verdana"/>
          <w:sz w:val="22"/>
          <w:szCs w:val="22"/>
        </w:rPr>
        <w:t>1710</w:t>
      </w:r>
      <w:r w:rsidRPr="00CA5800">
        <w:rPr>
          <w:rFonts w:ascii="Verdana" w:hAnsi="Verdana"/>
          <w:sz w:val="22"/>
          <w:szCs w:val="22"/>
        </w:rPr>
        <w:t> de 2020, desarrolla el mecanismo articulador para el abordaje Integral de las violencias por razones de sexo y género de las mujeres, niños, niñas y adolescentes.</w:t>
      </w:r>
    </w:p>
    <w:p w14:paraId="658E273B" w14:textId="17F6E98E"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la </w:t>
      </w:r>
      <w:r w:rsidRPr="00CA5800">
        <w:rPr>
          <w:rFonts w:ascii="Verdana" w:hAnsi="Verdana"/>
          <w:i/>
          <w:iCs/>
          <w:sz w:val="22"/>
          <w:szCs w:val="22"/>
        </w:rPr>
        <w:t>“Política Pública de Equidad de Género para las mujeres:</w:t>
      </w:r>
      <w:r w:rsidRPr="00CA5800">
        <w:rPr>
          <w:rFonts w:ascii="Verdana" w:hAnsi="Verdana"/>
          <w:sz w:val="22"/>
          <w:szCs w:val="22"/>
        </w:rPr>
        <w:t> </w:t>
      </w:r>
      <w:r w:rsidRPr="00CA5800">
        <w:rPr>
          <w:rFonts w:ascii="Verdana" w:hAnsi="Verdana"/>
          <w:i/>
          <w:iCs/>
          <w:sz w:val="22"/>
          <w:szCs w:val="22"/>
        </w:rPr>
        <w:t>Hacia el desarrollo sostenible del país”,</w:t>
      </w:r>
      <w:r w:rsidRPr="00CA5800">
        <w:rPr>
          <w:rFonts w:ascii="Verdana" w:hAnsi="Verdana"/>
          <w:sz w:val="22"/>
          <w:szCs w:val="22"/>
        </w:rPr>
        <w:t> contemplada en el CONPES </w:t>
      </w:r>
      <w:r w:rsidRPr="00CA5800">
        <w:rPr>
          <w:rFonts w:ascii="Verdana" w:hAnsi="Verdana"/>
          <w:sz w:val="22"/>
          <w:szCs w:val="22"/>
        </w:rPr>
        <w:t>4080</w:t>
      </w:r>
      <w:r w:rsidRPr="00CA5800">
        <w:rPr>
          <w:rFonts w:ascii="Verdana" w:hAnsi="Verdana"/>
          <w:sz w:val="22"/>
          <w:szCs w:val="22"/>
        </w:rPr>
        <w:t> de 2022, establece la necesidad de fortalecer las políticas de prevención y atención integral de las violencias contra las mujeres, para lo cual establece una serie de actividades que incluyen la elaboración de protocolos sectoriales sobre violencias basadas en género que afectan a las mujeres y la implementación de estrategias de sensibilización y transformación cultural de estereotipos de género para servidores públicos.</w:t>
      </w:r>
    </w:p>
    <w:p w14:paraId="1983F500"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con el fin de erradicar los estereotipos discriminatorios dentro de la función pública y de crear espacios seguros y libres de violencia para las mujeres en toda su diversidad, así como de otros sujetos de especial protección constitucional, tanto en el ámbito laboral como contractual de la administración pública, el Gobierno nacional elaboró el modelo de </w:t>
      </w:r>
      <w:r w:rsidRPr="00CA5800">
        <w:rPr>
          <w:rFonts w:ascii="Verdana" w:hAnsi="Verdana"/>
          <w:i/>
          <w:iCs/>
          <w:sz w:val="22"/>
          <w:szCs w:val="22"/>
        </w:rPr>
        <w:t>“Protocolo para la prevención, atención y medidas 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sector público”.</w:t>
      </w:r>
    </w:p>
    <w:p w14:paraId="765AD06C" w14:textId="19B02B41"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mediante la Directiva Presidencial 0</w:t>
      </w:r>
      <w:r w:rsidRPr="00CA5800">
        <w:rPr>
          <w:rFonts w:ascii="Verdana" w:hAnsi="Verdana"/>
          <w:sz w:val="22"/>
          <w:szCs w:val="22"/>
        </w:rPr>
        <w:t>1</w:t>
      </w:r>
      <w:r w:rsidRPr="00CA5800">
        <w:rPr>
          <w:rFonts w:ascii="Verdana" w:hAnsi="Verdana"/>
          <w:sz w:val="22"/>
          <w:szCs w:val="22"/>
        </w:rPr>
        <w:t xml:space="preserve"> del 8 de marzo de 2023, el Gobierno nacional emitió una serie de directrices dirigidas a las entidades de la rama ejecutiva del orden nacional para que, entre otras disposiciones, adopten mediante acto administrativo un protocolo </w:t>
      </w:r>
      <w:proofErr w:type="spellStart"/>
      <w:r w:rsidRPr="00CA5800">
        <w:rPr>
          <w:rFonts w:ascii="Verdana" w:hAnsi="Verdana"/>
          <w:sz w:val="22"/>
          <w:szCs w:val="22"/>
        </w:rPr>
        <w:t>que.tenga</w:t>
      </w:r>
      <w:proofErr w:type="spellEnd"/>
      <w:r w:rsidRPr="00CA5800">
        <w:rPr>
          <w:rFonts w:ascii="Verdana" w:hAnsi="Verdana"/>
          <w:sz w:val="22"/>
          <w:szCs w:val="22"/>
        </w:rPr>
        <w:t xml:space="preserve"> como base el </w:t>
      </w:r>
      <w:r w:rsidRPr="00CA5800">
        <w:rPr>
          <w:rFonts w:ascii="Verdana" w:hAnsi="Verdana"/>
          <w:i/>
          <w:iCs/>
          <w:sz w:val="22"/>
          <w:szCs w:val="22"/>
        </w:rPr>
        <w:t xml:space="preserve">“Protocolo para la prevención, atención y medidas </w:t>
      </w:r>
      <w:r w:rsidRPr="00CA5800">
        <w:rPr>
          <w:rFonts w:ascii="Verdana" w:hAnsi="Verdana"/>
          <w:i/>
          <w:iCs/>
          <w:sz w:val="22"/>
          <w:szCs w:val="22"/>
        </w:rPr>
        <w:lastRenderedPageBreak/>
        <w:t>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sector público”.</w:t>
      </w:r>
    </w:p>
    <w:p w14:paraId="14FAADC2" w14:textId="3A54C460"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aunado a lo anterior, la Circular Conjunta 00</w:t>
      </w:r>
      <w:r w:rsidRPr="00CA5800">
        <w:rPr>
          <w:rFonts w:ascii="Verdana" w:hAnsi="Verdana"/>
          <w:sz w:val="22"/>
          <w:szCs w:val="22"/>
        </w:rPr>
        <w:t>1</w:t>
      </w:r>
      <w:r w:rsidRPr="00CA5800">
        <w:rPr>
          <w:rFonts w:ascii="Verdana" w:hAnsi="Verdana"/>
          <w:sz w:val="22"/>
          <w:szCs w:val="22"/>
        </w:rPr>
        <w:t> de 2023 emitida por la Vicepresidencia de la República y el Departamento Administrativo de la función pública, dictó una serie de lineamientos que los ministros y ministras, directores(as) de departamentos administrativos y representantes legales de los órganos, organismos y entidades de la rama ejecutiva del orden nacional deben tener en cuenta al momento de tomar medidas para la prevención y atención a las violencias contra las mujeres y discriminación racial en el ámbito laboral del sector público y al momento de fortalecer e impulsar la participación efectiva de las mujeres en las diferentes instancias de la administración Pública”.</w:t>
      </w:r>
    </w:p>
    <w:p w14:paraId="6FE89BF4"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Que con base en lo anterior y en cumplimiento de la normatividad legal citada, el Instituto Colombiano de Bienestar Familiar-ICBF mediante el presente acto administrativo adoptará el Protocolo para la prevención, atención y protección frente a todas las formas de violencia contra las mujeres y basadas en genero así como de los actos de discriminación por razón de pertenencia étnica, religión, nacionalidad, ideología política o filosófica, sexo, orientación sexual, discapacidad y demás razones de discriminación en el ámbito laboral, pedagógico y contractual de la Entidad y creará el Comité Institucional para, el Abordaje de Violencias basadas en Género y Discriminación del ICBF, los cuales se ajustan a las necesidades específicas de la Entidad, relacionadas con la temática.</w:t>
      </w:r>
    </w:p>
    <w:p w14:paraId="49B3CD7C" w14:textId="77777777" w:rsidR="009E6B1B" w:rsidRPr="00CA5800" w:rsidRDefault="009E6B1B" w:rsidP="00CA5800">
      <w:pPr>
        <w:pStyle w:val="Prrafodelista"/>
        <w:numPr>
          <w:ilvl w:val="0"/>
          <w:numId w:val="8"/>
        </w:numPr>
        <w:rPr>
          <w:rFonts w:ascii="Verdana" w:hAnsi="Verdana"/>
          <w:sz w:val="22"/>
          <w:szCs w:val="22"/>
        </w:rPr>
      </w:pPr>
      <w:r w:rsidRPr="00CA5800">
        <w:rPr>
          <w:rFonts w:ascii="Verdana" w:hAnsi="Verdana"/>
          <w:sz w:val="22"/>
          <w:szCs w:val="22"/>
        </w:rPr>
        <w:t>En mérito de lo expuesto,</w:t>
      </w:r>
    </w:p>
    <w:p w14:paraId="11DEF2FA" w14:textId="77777777" w:rsidR="009E6B1B" w:rsidRPr="009E6B1B" w:rsidRDefault="009E6B1B" w:rsidP="00CA5800">
      <w:pPr>
        <w:jc w:val="center"/>
        <w:rPr>
          <w:rFonts w:ascii="Verdana" w:hAnsi="Verdana"/>
          <w:sz w:val="22"/>
          <w:szCs w:val="22"/>
        </w:rPr>
      </w:pPr>
      <w:r w:rsidRPr="009E6B1B">
        <w:rPr>
          <w:rFonts w:ascii="Verdana" w:hAnsi="Verdana"/>
          <w:b/>
          <w:bCs/>
          <w:sz w:val="22"/>
          <w:szCs w:val="22"/>
        </w:rPr>
        <w:t>RESUELVE:</w:t>
      </w:r>
    </w:p>
    <w:p w14:paraId="211D6CED" w14:textId="434B5B58" w:rsidR="009E6B1B" w:rsidRPr="009E6B1B" w:rsidRDefault="009E6B1B" w:rsidP="009E6B1B">
      <w:pPr>
        <w:rPr>
          <w:rFonts w:ascii="Verdana" w:hAnsi="Verdana"/>
          <w:sz w:val="22"/>
          <w:szCs w:val="22"/>
        </w:rPr>
      </w:pPr>
      <w:bookmarkStart w:id="0" w:name="1"/>
      <w:bookmarkEnd w:id="0"/>
      <w:r w:rsidRPr="009E6B1B">
        <w:rPr>
          <w:rFonts w:ascii="Verdana" w:hAnsi="Verdana"/>
          <w:b/>
          <w:bCs/>
          <w:sz w:val="22"/>
          <w:szCs w:val="22"/>
        </w:rPr>
        <w:t xml:space="preserve">ARTÍCULO </w:t>
      </w:r>
      <w:r w:rsidR="00CA5800">
        <w:rPr>
          <w:rFonts w:ascii="Verdana" w:hAnsi="Verdana"/>
          <w:b/>
          <w:bCs/>
          <w:sz w:val="22"/>
          <w:szCs w:val="22"/>
        </w:rPr>
        <w:t>1o</w:t>
      </w:r>
      <w:r w:rsidRPr="009E6B1B">
        <w:rPr>
          <w:rFonts w:ascii="Verdana" w:hAnsi="Verdana"/>
          <w:b/>
          <w:bCs/>
          <w:sz w:val="22"/>
          <w:szCs w:val="22"/>
        </w:rPr>
        <w:t>.</w:t>
      </w:r>
      <w:r w:rsidRPr="009E6B1B">
        <w:rPr>
          <w:rFonts w:ascii="Verdana" w:hAnsi="Verdana"/>
          <w:sz w:val="22"/>
          <w:szCs w:val="22"/>
        </w:rPr>
        <w:t> Adoptar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Instituto Colombiano de Bienestar Familiar- ICBF, el cual hace parte integral del presente documento.</w:t>
      </w:r>
    </w:p>
    <w:p w14:paraId="717876A1" w14:textId="36A3D37C" w:rsidR="009E6B1B" w:rsidRPr="009E6B1B" w:rsidRDefault="009E6B1B" w:rsidP="009E6B1B">
      <w:pPr>
        <w:rPr>
          <w:rFonts w:ascii="Verdana" w:hAnsi="Verdana"/>
          <w:sz w:val="22"/>
          <w:szCs w:val="22"/>
        </w:rPr>
      </w:pPr>
      <w:bookmarkStart w:id="1" w:name="2"/>
      <w:bookmarkEnd w:id="1"/>
      <w:r w:rsidRPr="009E6B1B">
        <w:rPr>
          <w:rFonts w:ascii="Verdana" w:hAnsi="Verdana"/>
          <w:b/>
          <w:bCs/>
          <w:sz w:val="22"/>
          <w:szCs w:val="22"/>
        </w:rPr>
        <w:t xml:space="preserve">ARTÍCULO </w:t>
      </w:r>
      <w:r w:rsidR="00CA5800">
        <w:rPr>
          <w:rFonts w:ascii="Verdana" w:hAnsi="Verdana"/>
          <w:b/>
          <w:bCs/>
          <w:sz w:val="22"/>
          <w:szCs w:val="22"/>
        </w:rPr>
        <w:t>2o</w:t>
      </w:r>
      <w:r w:rsidRPr="009E6B1B">
        <w:rPr>
          <w:rFonts w:ascii="Verdana" w:hAnsi="Verdana"/>
          <w:b/>
          <w:bCs/>
          <w:sz w:val="22"/>
          <w:szCs w:val="22"/>
        </w:rPr>
        <w:t>.</w:t>
      </w:r>
      <w:r w:rsidRPr="009E6B1B">
        <w:rPr>
          <w:rFonts w:ascii="Verdana" w:hAnsi="Verdana"/>
          <w:sz w:val="22"/>
          <w:szCs w:val="22"/>
        </w:rPr>
        <w:t> Crear el Comité Institucional para el Abordaje de Violencias basadas en Género y Discriminación en el Instituto Colombiano de Bienestar Familiar.</w:t>
      </w:r>
    </w:p>
    <w:p w14:paraId="356C0450" w14:textId="4F96B441" w:rsidR="009E6B1B" w:rsidRPr="009E6B1B" w:rsidRDefault="009E6B1B" w:rsidP="009E6B1B">
      <w:pPr>
        <w:rPr>
          <w:rFonts w:ascii="Verdana" w:hAnsi="Verdana"/>
          <w:sz w:val="22"/>
          <w:szCs w:val="22"/>
        </w:rPr>
      </w:pPr>
      <w:bookmarkStart w:id="2" w:name="3"/>
      <w:bookmarkEnd w:id="2"/>
      <w:r w:rsidRPr="009E6B1B">
        <w:rPr>
          <w:rFonts w:ascii="Verdana" w:hAnsi="Verdana"/>
          <w:b/>
          <w:bCs/>
          <w:sz w:val="22"/>
          <w:szCs w:val="22"/>
        </w:rPr>
        <w:t xml:space="preserve">ARTÍCULO </w:t>
      </w:r>
      <w:r w:rsidR="00CA5800">
        <w:rPr>
          <w:rFonts w:ascii="Verdana" w:hAnsi="Verdana"/>
          <w:b/>
          <w:bCs/>
          <w:sz w:val="22"/>
          <w:szCs w:val="22"/>
        </w:rPr>
        <w:t>3o</w:t>
      </w:r>
      <w:r w:rsidRPr="009E6B1B">
        <w:rPr>
          <w:rFonts w:ascii="Verdana" w:hAnsi="Verdana"/>
          <w:b/>
          <w:bCs/>
          <w:sz w:val="22"/>
          <w:szCs w:val="22"/>
        </w:rPr>
        <w:t>.</w:t>
      </w:r>
      <w:r w:rsidRPr="009E6B1B">
        <w:rPr>
          <w:rFonts w:ascii="Verdana" w:hAnsi="Verdana"/>
          <w:sz w:val="22"/>
          <w:szCs w:val="22"/>
        </w:rPr>
        <w:t> El Comité Institucional para el Abordaje de Violencias </w:t>
      </w:r>
      <w:r w:rsidRPr="009E6B1B">
        <w:rPr>
          <w:rFonts w:ascii="Verdana" w:hAnsi="Verdana"/>
          <w:b/>
          <w:bCs/>
          <w:sz w:val="22"/>
          <w:szCs w:val="22"/>
        </w:rPr>
        <w:t>basadas en Género y Discriminación del ICBF estará conformado por los siguientes integrantes:</w:t>
      </w:r>
    </w:p>
    <w:p w14:paraId="0BEE3FD1" w14:textId="20B31FB9" w:rsidR="009E6B1B" w:rsidRPr="00CA5800" w:rsidRDefault="009E6B1B" w:rsidP="00CA5800">
      <w:pPr>
        <w:pStyle w:val="Prrafodelista"/>
        <w:numPr>
          <w:ilvl w:val="0"/>
          <w:numId w:val="7"/>
        </w:numPr>
        <w:rPr>
          <w:rFonts w:ascii="Verdana" w:hAnsi="Verdana"/>
          <w:sz w:val="22"/>
          <w:szCs w:val="22"/>
        </w:rPr>
      </w:pPr>
      <w:r w:rsidRPr="00CA5800">
        <w:rPr>
          <w:rFonts w:ascii="Verdana" w:hAnsi="Verdana"/>
          <w:sz w:val="22"/>
          <w:szCs w:val="22"/>
        </w:rPr>
        <w:t>Director/a General o su delegado, quien lo presidirá</w:t>
      </w:r>
    </w:p>
    <w:p w14:paraId="4E12E4BB" w14:textId="2A146488" w:rsidR="009E6B1B" w:rsidRPr="00CA5800" w:rsidRDefault="009E6B1B" w:rsidP="00CA5800">
      <w:pPr>
        <w:pStyle w:val="Prrafodelista"/>
        <w:numPr>
          <w:ilvl w:val="0"/>
          <w:numId w:val="7"/>
        </w:numPr>
        <w:rPr>
          <w:rFonts w:ascii="Verdana" w:hAnsi="Verdana"/>
          <w:sz w:val="22"/>
          <w:szCs w:val="22"/>
        </w:rPr>
      </w:pPr>
      <w:r w:rsidRPr="00CA5800">
        <w:rPr>
          <w:rFonts w:ascii="Verdana" w:hAnsi="Verdana"/>
          <w:sz w:val="22"/>
          <w:szCs w:val="22"/>
        </w:rPr>
        <w:t>Secretario/a General</w:t>
      </w:r>
    </w:p>
    <w:p w14:paraId="45DDAF6D" w14:textId="682FD363" w:rsidR="009E6B1B" w:rsidRPr="00CA5800" w:rsidRDefault="009E6B1B" w:rsidP="00CA5800">
      <w:pPr>
        <w:pStyle w:val="Prrafodelista"/>
        <w:numPr>
          <w:ilvl w:val="0"/>
          <w:numId w:val="7"/>
        </w:numPr>
        <w:rPr>
          <w:rFonts w:ascii="Verdana" w:hAnsi="Verdana"/>
          <w:sz w:val="22"/>
          <w:szCs w:val="22"/>
        </w:rPr>
      </w:pPr>
      <w:r w:rsidRPr="00CA5800">
        <w:rPr>
          <w:rFonts w:ascii="Verdana" w:hAnsi="Verdana"/>
          <w:sz w:val="22"/>
          <w:szCs w:val="22"/>
        </w:rPr>
        <w:t>Subdirector/a General</w:t>
      </w:r>
    </w:p>
    <w:p w14:paraId="649FCC1A" w14:textId="0C21E6CE" w:rsidR="009E6B1B" w:rsidRPr="00CA5800" w:rsidRDefault="009E6B1B" w:rsidP="00CA5800">
      <w:pPr>
        <w:pStyle w:val="Prrafodelista"/>
        <w:numPr>
          <w:ilvl w:val="0"/>
          <w:numId w:val="7"/>
        </w:numPr>
        <w:rPr>
          <w:rFonts w:ascii="Verdana" w:hAnsi="Verdana"/>
          <w:sz w:val="22"/>
          <w:szCs w:val="22"/>
        </w:rPr>
      </w:pPr>
      <w:r w:rsidRPr="00CA5800">
        <w:rPr>
          <w:rFonts w:ascii="Verdana" w:hAnsi="Verdana"/>
          <w:sz w:val="22"/>
          <w:szCs w:val="22"/>
        </w:rPr>
        <w:t>Jefe de la Oficina Asesora jurídica</w:t>
      </w:r>
    </w:p>
    <w:p w14:paraId="6165E3AD" w14:textId="086188D0" w:rsidR="009E6B1B" w:rsidRPr="00CA5800" w:rsidRDefault="009E6B1B" w:rsidP="00CA5800">
      <w:pPr>
        <w:pStyle w:val="Prrafodelista"/>
        <w:numPr>
          <w:ilvl w:val="0"/>
          <w:numId w:val="7"/>
        </w:numPr>
        <w:rPr>
          <w:rFonts w:ascii="Verdana" w:hAnsi="Verdana"/>
          <w:sz w:val="22"/>
          <w:szCs w:val="22"/>
        </w:rPr>
      </w:pPr>
      <w:r w:rsidRPr="00CA5800">
        <w:rPr>
          <w:rFonts w:ascii="Verdana" w:hAnsi="Verdana"/>
          <w:sz w:val="22"/>
          <w:szCs w:val="22"/>
        </w:rPr>
        <w:lastRenderedPageBreak/>
        <w:t>Director/a de Gestión Humana</w:t>
      </w:r>
    </w:p>
    <w:p w14:paraId="48F7F1F2" w14:textId="7E93D32F" w:rsidR="009E6B1B" w:rsidRPr="009E6B1B" w:rsidRDefault="009E6B1B" w:rsidP="009E6B1B">
      <w:pPr>
        <w:rPr>
          <w:rFonts w:ascii="Verdana" w:hAnsi="Verdana"/>
          <w:sz w:val="22"/>
          <w:szCs w:val="22"/>
        </w:rPr>
      </w:pPr>
      <w:r w:rsidRPr="009E6B1B">
        <w:rPr>
          <w:rFonts w:ascii="Verdana" w:hAnsi="Verdana"/>
          <w:b/>
          <w:bCs/>
          <w:sz w:val="22"/>
          <w:szCs w:val="22"/>
        </w:rPr>
        <w:t>PARÁGRAFO.</w:t>
      </w:r>
      <w:r w:rsidRPr="009E6B1B">
        <w:rPr>
          <w:rFonts w:ascii="Verdana" w:hAnsi="Verdana"/>
          <w:sz w:val="22"/>
          <w:szCs w:val="22"/>
        </w:rPr>
        <w:t> El Comité podrá convocar a sus sesiones a otras </w:t>
      </w:r>
      <w:r w:rsidRPr="009E6B1B">
        <w:rPr>
          <w:rFonts w:ascii="Verdana" w:hAnsi="Verdana"/>
          <w:b/>
          <w:bCs/>
          <w:sz w:val="22"/>
          <w:szCs w:val="22"/>
        </w:rPr>
        <w:t>dependencias de la Entidad, en caso de ser requerido.</w:t>
      </w:r>
    </w:p>
    <w:p w14:paraId="6B09A2BC" w14:textId="77777777" w:rsidR="009E6B1B" w:rsidRPr="00CA5800" w:rsidRDefault="009E6B1B" w:rsidP="00CA5800">
      <w:pPr>
        <w:rPr>
          <w:rFonts w:ascii="Verdana" w:hAnsi="Verdana"/>
          <w:sz w:val="22"/>
          <w:szCs w:val="22"/>
        </w:rPr>
      </w:pPr>
      <w:bookmarkStart w:id="3" w:name="4"/>
      <w:bookmarkEnd w:id="3"/>
      <w:r w:rsidRPr="00CA5800">
        <w:rPr>
          <w:rFonts w:ascii="Verdana" w:hAnsi="Verdana"/>
          <w:b/>
          <w:bCs/>
          <w:sz w:val="22"/>
          <w:szCs w:val="22"/>
        </w:rPr>
        <w:t xml:space="preserve">ARTÍCULO CUARTO. </w:t>
      </w:r>
      <w:r w:rsidRPr="00CA5800">
        <w:rPr>
          <w:rFonts w:ascii="Verdana" w:hAnsi="Verdana"/>
          <w:sz w:val="22"/>
          <w:szCs w:val="22"/>
        </w:rPr>
        <w:t>FUNCIONES DEL COMITÉ. El Comité Institucional para el Abordaje de Violencias basadas en Género y Discriminación del ICBF tendrá las siguientes funciones:</w:t>
      </w:r>
    </w:p>
    <w:p w14:paraId="6BB4ED9F" w14:textId="7E33F11B"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Liderar la estrategia Institucional de promoción, difusión y conocimiento del protocolo.</w:t>
      </w:r>
    </w:p>
    <w:p w14:paraId="170CD930" w14:textId="75785EF8"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Recomendar a las dependencias que corresponda, las acciones necesarias a emprender para el restablecimiento de derechos de las personas afectadas.</w:t>
      </w:r>
    </w:p>
    <w:p w14:paraId="62F4B39E" w14:textId="674E8A43"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Implementar mecanismos para promover que los servidores y las servidoras públicas cumplan con su deber legal de denunciar ante las autoridades competentes los delitos, contravenciones y faltas disciplinarias relacionadas con violencias contra las mujeres y basadas en género, y/o discriminaciones prohibidas por la ley, salvo las excepciones de ley.</w:t>
      </w:r>
    </w:p>
    <w:p w14:paraId="609BA28B" w14:textId="0F191FA5"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Requerir a la Oficina de Control Interno Disciplinario las estadísticas de quejas presentadas por las y los servidores públicos, contratistas de prestación de servicios profesionales y de apoyo a la gestión, estudiantes de programas de formación de servicios profesionales y de apoyo a la gestión, estudiantes de programas de formación complementaria como practicantes o judicantes.</w:t>
      </w:r>
    </w:p>
    <w:p w14:paraId="4DB788C9" w14:textId="4AF137F5"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Llevar registro y estadísticas de las quejas de violencia contra las mujeres y basadas en género y/o discriminaciones comunicadas por la Oficina de Control Interno Disciplinario y generar los informes pertinentes a los que haya lugar para el cumplimiento del protocolo y funcionamiento de este Comité.</w:t>
      </w:r>
    </w:p>
    <w:p w14:paraId="566691BD" w14:textId="3E3917C7" w:rsidR="009E6B1B" w:rsidRPr="00CA5800" w:rsidRDefault="009E6B1B" w:rsidP="00CA5800">
      <w:pPr>
        <w:pStyle w:val="Prrafodelista"/>
        <w:numPr>
          <w:ilvl w:val="0"/>
          <w:numId w:val="5"/>
        </w:numPr>
        <w:rPr>
          <w:rFonts w:ascii="Verdana" w:hAnsi="Verdana"/>
          <w:sz w:val="22"/>
          <w:szCs w:val="22"/>
        </w:rPr>
      </w:pPr>
      <w:r w:rsidRPr="00CA5800">
        <w:rPr>
          <w:rFonts w:ascii="Verdana" w:hAnsi="Verdana"/>
          <w:sz w:val="22"/>
          <w:szCs w:val="22"/>
        </w:rPr>
        <w:t>Analizar, con base en los informes de seguimiento, patrones que permitan identificar el comportamiento individual como institucional que reproduzcan las violencias o discriminaciones de género.</w:t>
      </w:r>
    </w:p>
    <w:p w14:paraId="37F1F67F" w14:textId="79880049" w:rsidR="009E6B1B" w:rsidRPr="009E6B1B" w:rsidRDefault="009E6B1B" w:rsidP="009E6B1B">
      <w:pPr>
        <w:rPr>
          <w:rFonts w:ascii="Verdana" w:hAnsi="Verdana"/>
          <w:sz w:val="22"/>
          <w:szCs w:val="22"/>
        </w:rPr>
      </w:pPr>
      <w:bookmarkStart w:id="4" w:name="5"/>
      <w:bookmarkEnd w:id="4"/>
      <w:r w:rsidRPr="009E6B1B">
        <w:rPr>
          <w:rFonts w:ascii="Verdana" w:hAnsi="Verdana"/>
          <w:b/>
          <w:bCs/>
          <w:sz w:val="22"/>
          <w:szCs w:val="22"/>
        </w:rPr>
        <w:t xml:space="preserve">ARTÍCULO </w:t>
      </w:r>
      <w:r w:rsidR="00CA5800">
        <w:rPr>
          <w:rFonts w:ascii="Verdana" w:hAnsi="Verdana"/>
          <w:b/>
          <w:bCs/>
          <w:sz w:val="22"/>
          <w:szCs w:val="22"/>
        </w:rPr>
        <w:t>5o</w:t>
      </w:r>
      <w:r w:rsidRPr="009E6B1B">
        <w:rPr>
          <w:rFonts w:ascii="Verdana" w:hAnsi="Verdana"/>
          <w:b/>
          <w:bCs/>
          <w:sz w:val="22"/>
          <w:szCs w:val="22"/>
        </w:rPr>
        <w:t xml:space="preserve">. </w:t>
      </w:r>
      <w:r w:rsidRPr="009E6B1B">
        <w:rPr>
          <w:rFonts w:ascii="Verdana" w:hAnsi="Verdana"/>
          <w:sz w:val="22"/>
          <w:szCs w:val="22"/>
        </w:rPr>
        <w:t>SECRETARIA TÉCNICA Y FUNCIONES. La secretaria técnica será ejercida por la Dirección de Gestión Humana. El -secretario Técnico del Comité tendrá a su cargo las siguientes funciones:</w:t>
      </w:r>
    </w:p>
    <w:p w14:paraId="588A431F" w14:textId="5B91A953" w:rsidR="009E6B1B" w:rsidRPr="00CA5800" w:rsidRDefault="009E6B1B" w:rsidP="00CA5800">
      <w:pPr>
        <w:pStyle w:val="Prrafodelista"/>
        <w:numPr>
          <w:ilvl w:val="0"/>
          <w:numId w:val="4"/>
        </w:numPr>
        <w:rPr>
          <w:rFonts w:ascii="Verdana" w:hAnsi="Verdana"/>
          <w:sz w:val="22"/>
          <w:szCs w:val="22"/>
        </w:rPr>
      </w:pPr>
      <w:r w:rsidRPr="00CA5800">
        <w:rPr>
          <w:rFonts w:ascii="Verdana" w:hAnsi="Verdana"/>
          <w:sz w:val="22"/>
          <w:szCs w:val="22"/>
        </w:rPr>
        <w:t>Preparar y disponer la información que sea requerida por el Comité para el cumplimiento de sus funciones.</w:t>
      </w:r>
    </w:p>
    <w:p w14:paraId="4B3DE60F" w14:textId="717A0428" w:rsidR="009E6B1B" w:rsidRPr="00CA5800" w:rsidRDefault="009E6B1B" w:rsidP="00CA5800">
      <w:pPr>
        <w:pStyle w:val="Prrafodelista"/>
        <w:numPr>
          <w:ilvl w:val="0"/>
          <w:numId w:val="4"/>
        </w:numPr>
        <w:rPr>
          <w:rFonts w:ascii="Verdana" w:hAnsi="Verdana"/>
          <w:sz w:val="22"/>
          <w:szCs w:val="22"/>
        </w:rPr>
      </w:pPr>
      <w:r w:rsidRPr="00CA5800">
        <w:rPr>
          <w:rFonts w:ascii="Verdana" w:hAnsi="Verdana"/>
          <w:sz w:val="22"/>
          <w:szCs w:val="22"/>
        </w:rPr>
        <w:t>Convocar por escrito a las sesiones ordinarias del Comité, con una antelación no inferior a cinco (5) días hábiles a la fecha indicada, remitiendo el orden del día, el lugar y hora a sesionar y los documentos soporte de cada uno de los temas a tratar.</w:t>
      </w:r>
    </w:p>
    <w:p w14:paraId="20AFB993" w14:textId="2544CE1D" w:rsidR="009E6B1B" w:rsidRPr="00CA5800" w:rsidRDefault="009E6B1B" w:rsidP="00CA5800">
      <w:pPr>
        <w:pStyle w:val="Prrafodelista"/>
        <w:numPr>
          <w:ilvl w:val="0"/>
          <w:numId w:val="4"/>
        </w:numPr>
        <w:rPr>
          <w:rFonts w:ascii="Verdana" w:hAnsi="Verdana"/>
          <w:sz w:val="22"/>
          <w:szCs w:val="22"/>
        </w:rPr>
      </w:pPr>
      <w:r w:rsidRPr="00CA5800">
        <w:rPr>
          <w:rFonts w:ascii="Verdana" w:hAnsi="Verdana"/>
          <w:sz w:val="22"/>
          <w:szCs w:val="22"/>
        </w:rPr>
        <w:t>Convocar a las sesiones extraordinarias, cuando se requiera por temas específicos, por solicitud de la Dirección General o por alguno de los integrantes del Comité.</w:t>
      </w:r>
    </w:p>
    <w:p w14:paraId="0B93754D" w14:textId="571E1D41" w:rsidR="009E6B1B" w:rsidRPr="00CA5800" w:rsidRDefault="009E6B1B" w:rsidP="00CA5800">
      <w:pPr>
        <w:pStyle w:val="Prrafodelista"/>
        <w:numPr>
          <w:ilvl w:val="0"/>
          <w:numId w:val="4"/>
        </w:numPr>
        <w:rPr>
          <w:rFonts w:ascii="Verdana" w:hAnsi="Verdana"/>
          <w:sz w:val="22"/>
          <w:szCs w:val="22"/>
        </w:rPr>
      </w:pPr>
      <w:r w:rsidRPr="00CA5800">
        <w:rPr>
          <w:rFonts w:ascii="Verdana" w:hAnsi="Verdana"/>
          <w:sz w:val="22"/>
          <w:szCs w:val="22"/>
        </w:rPr>
        <w:t xml:space="preserve">Elaborar, conservar y custodiar, en orden cronológico, las actas de las sesiones, las cuales deben encontrarse debidamente numeradas y </w:t>
      </w:r>
      <w:r w:rsidRPr="00CA5800">
        <w:rPr>
          <w:rFonts w:ascii="Verdana" w:hAnsi="Verdana"/>
          <w:sz w:val="22"/>
          <w:szCs w:val="22"/>
        </w:rPr>
        <w:lastRenderedPageBreak/>
        <w:t>fechadas en forma consecutiva en cada vigencia y estar suscritas por los integrantes del Comité y los convocados a la sesión.</w:t>
      </w:r>
    </w:p>
    <w:p w14:paraId="3307C186" w14:textId="627661D2" w:rsidR="009E6B1B" w:rsidRPr="009E6B1B" w:rsidRDefault="009E6B1B" w:rsidP="009E6B1B">
      <w:pPr>
        <w:rPr>
          <w:rFonts w:ascii="Verdana" w:hAnsi="Verdana"/>
          <w:sz w:val="22"/>
          <w:szCs w:val="22"/>
        </w:rPr>
      </w:pPr>
      <w:bookmarkStart w:id="5" w:name="6"/>
      <w:bookmarkEnd w:id="5"/>
      <w:r w:rsidRPr="009E6B1B">
        <w:rPr>
          <w:rFonts w:ascii="Verdana" w:hAnsi="Verdana"/>
          <w:b/>
          <w:bCs/>
          <w:sz w:val="22"/>
          <w:szCs w:val="22"/>
        </w:rPr>
        <w:t xml:space="preserve">ARTÍCULO </w:t>
      </w:r>
      <w:r w:rsidR="007972FA">
        <w:rPr>
          <w:rFonts w:ascii="Verdana" w:hAnsi="Verdana"/>
          <w:b/>
          <w:bCs/>
          <w:sz w:val="22"/>
          <w:szCs w:val="22"/>
        </w:rPr>
        <w:t>6o</w:t>
      </w:r>
      <w:r w:rsidRPr="009E6B1B">
        <w:rPr>
          <w:rFonts w:ascii="Verdana" w:hAnsi="Verdana"/>
          <w:b/>
          <w:bCs/>
          <w:sz w:val="22"/>
          <w:szCs w:val="22"/>
        </w:rPr>
        <w:t xml:space="preserve">. </w:t>
      </w:r>
      <w:r w:rsidRPr="009E6B1B">
        <w:rPr>
          <w:rFonts w:ascii="Verdana" w:hAnsi="Verdana"/>
          <w:sz w:val="22"/>
          <w:szCs w:val="22"/>
        </w:rPr>
        <w:t>SESIONES Y QUORUM DELIBERATORIO Y DECISORIO. El Comité Institucional para el Abordaje de Violencias basadas en Género y Discriminación, sesionará ordinariamente trimestralmente.</w:t>
      </w:r>
    </w:p>
    <w:p w14:paraId="4B97EE25" w14:textId="77777777" w:rsidR="009E6B1B" w:rsidRPr="009E6B1B" w:rsidRDefault="009E6B1B" w:rsidP="009E6B1B">
      <w:pPr>
        <w:rPr>
          <w:rFonts w:ascii="Verdana" w:hAnsi="Verdana"/>
          <w:sz w:val="22"/>
          <w:szCs w:val="22"/>
        </w:rPr>
      </w:pPr>
      <w:r w:rsidRPr="009E6B1B">
        <w:rPr>
          <w:rFonts w:ascii="Verdana" w:hAnsi="Verdana"/>
          <w:sz w:val="22"/>
          <w:szCs w:val="22"/>
        </w:rPr>
        <w:t>Dicho Comité sesionará con la presencia de la mitad más uno de sus miembros y las decisiones deberán adoptarse por mayoría simple de los miembros deliberantes.</w:t>
      </w:r>
    </w:p>
    <w:p w14:paraId="461FA429" w14:textId="7894DD64" w:rsidR="009E6B1B" w:rsidRPr="009E6B1B" w:rsidRDefault="009E6B1B" w:rsidP="009E6B1B">
      <w:pPr>
        <w:rPr>
          <w:rFonts w:ascii="Verdana" w:hAnsi="Verdana"/>
          <w:sz w:val="22"/>
          <w:szCs w:val="22"/>
        </w:rPr>
      </w:pPr>
      <w:r w:rsidRPr="009E6B1B">
        <w:rPr>
          <w:rFonts w:ascii="Verdana" w:hAnsi="Verdana"/>
          <w:sz w:val="22"/>
          <w:szCs w:val="22"/>
        </w:rPr>
        <w:t xml:space="preserve">En caso de empate en alguna de las decisiones, se repetirá nuevamente la votación y en caso de persistir el </w:t>
      </w:r>
      <w:proofErr w:type="gramStart"/>
      <w:r w:rsidRPr="009E6B1B">
        <w:rPr>
          <w:rFonts w:ascii="Verdana" w:hAnsi="Verdana"/>
          <w:sz w:val="22"/>
          <w:szCs w:val="22"/>
        </w:rPr>
        <w:t>Director</w:t>
      </w:r>
      <w:proofErr w:type="gramEnd"/>
      <w:r w:rsidRPr="009E6B1B">
        <w:rPr>
          <w:rFonts w:ascii="Verdana" w:hAnsi="Verdana"/>
          <w:sz w:val="22"/>
          <w:szCs w:val="22"/>
        </w:rPr>
        <w:t>/</w:t>
      </w:r>
      <w:proofErr w:type="spellStart"/>
      <w:r w:rsidRPr="009E6B1B">
        <w:rPr>
          <w:rFonts w:ascii="Verdana" w:hAnsi="Verdana"/>
          <w:sz w:val="22"/>
          <w:szCs w:val="22"/>
        </w:rPr>
        <w:t>ra</w:t>
      </w:r>
      <w:proofErr w:type="spellEnd"/>
      <w:r w:rsidRPr="009E6B1B">
        <w:rPr>
          <w:rFonts w:ascii="Verdana" w:hAnsi="Verdana"/>
          <w:sz w:val="22"/>
          <w:szCs w:val="22"/>
        </w:rPr>
        <w:t xml:space="preserve"> General o su delegado adoptará la decisión correspondiente.</w:t>
      </w:r>
    </w:p>
    <w:p w14:paraId="08EE70A3" w14:textId="52D39FCE" w:rsidR="009E6B1B" w:rsidRPr="009E6B1B" w:rsidRDefault="009E6B1B" w:rsidP="009E6B1B">
      <w:pPr>
        <w:rPr>
          <w:rFonts w:ascii="Verdana" w:hAnsi="Verdana"/>
          <w:b/>
          <w:bCs/>
          <w:sz w:val="22"/>
          <w:szCs w:val="22"/>
        </w:rPr>
      </w:pPr>
      <w:bookmarkStart w:id="6" w:name="7"/>
      <w:bookmarkEnd w:id="6"/>
      <w:r w:rsidRPr="009E6B1B">
        <w:rPr>
          <w:rFonts w:ascii="Verdana" w:hAnsi="Verdana"/>
          <w:b/>
          <w:bCs/>
          <w:sz w:val="22"/>
          <w:szCs w:val="22"/>
        </w:rPr>
        <w:t xml:space="preserve">ARTÍCULO </w:t>
      </w:r>
      <w:r w:rsidR="007972FA">
        <w:rPr>
          <w:rFonts w:ascii="Verdana" w:hAnsi="Verdana"/>
          <w:b/>
          <w:bCs/>
          <w:sz w:val="22"/>
          <w:szCs w:val="22"/>
        </w:rPr>
        <w:t>7o</w:t>
      </w:r>
      <w:r w:rsidRPr="009E6B1B">
        <w:rPr>
          <w:rFonts w:ascii="Verdana" w:hAnsi="Verdana"/>
          <w:b/>
          <w:bCs/>
          <w:sz w:val="22"/>
          <w:szCs w:val="22"/>
        </w:rPr>
        <w:t>.</w:t>
      </w:r>
      <w:r w:rsidRPr="009E6B1B">
        <w:rPr>
          <w:rFonts w:ascii="Verdana" w:hAnsi="Verdana"/>
          <w:sz w:val="22"/>
          <w:szCs w:val="22"/>
        </w:rPr>
        <w:t> A través de la Dirección de Gestión Humana, PUBLICAR de manera permanentemente, el contenido de esta Resolución y el correspondiente texto del Protocolo en comento en el sitio web de la Entidad, así como las actualizaciones, ajustes, alcances, complementos y modificaciones que llegaren a expedirse.</w:t>
      </w:r>
    </w:p>
    <w:p w14:paraId="175AFBB1" w14:textId="1F4C3E29" w:rsidR="009E6B1B" w:rsidRPr="009E6B1B" w:rsidRDefault="009E6B1B" w:rsidP="009E6B1B">
      <w:pPr>
        <w:rPr>
          <w:rFonts w:ascii="Verdana" w:hAnsi="Verdana"/>
          <w:sz w:val="22"/>
          <w:szCs w:val="22"/>
        </w:rPr>
      </w:pPr>
      <w:bookmarkStart w:id="7" w:name="8"/>
      <w:bookmarkEnd w:id="7"/>
      <w:r w:rsidRPr="009E6B1B">
        <w:rPr>
          <w:rFonts w:ascii="Verdana" w:hAnsi="Verdana"/>
          <w:b/>
          <w:bCs/>
          <w:sz w:val="22"/>
          <w:szCs w:val="22"/>
        </w:rPr>
        <w:t>ARTÍCULO</w:t>
      </w:r>
      <w:r>
        <w:rPr>
          <w:rFonts w:ascii="Verdana" w:hAnsi="Verdana"/>
          <w:b/>
          <w:bCs/>
          <w:sz w:val="22"/>
          <w:szCs w:val="22"/>
        </w:rPr>
        <w:t xml:space="preserve"> 8o</w:t>
      </w:r>
      <w:r w:rsidRPr="009E6B1B">
        <w:rPr>
          <w:rFonts w:ascii="Verdana" w:hAnsi="Verdana"/>
          <w:b/>
          <w:bCs/>
          <w:sz w:val="22"/>
          <w:szCs w:val="22"/>
        </w:rPr>
        <w:t>.</w:t>
      </w:r>
      <w:r w:rsidRPr="009E6B1B">
        <w:rPr>
          <w:rFonts w:ascii="Verdana" w:hAnsi="Verdana"/>
          <w:sz w:val="22"/>
          <w:szCs w:val="22"/>
        </w:rPr>
        <w:t> Remitir copia del presente documento a la Consejería </w:t>
      </w:r>
      <w:r w:rsidRPr="009E6B1B">
        <w:rPr>
          <w:rFonts w:ascii="Verdana" w:hAnsi="Verdana"/>
          <w:b/>
          <w:bCs/>
          <w:sz w:val="22"/>
          <w:szCs w:val="22"/>
        </w:rPr>
        <w:t>Presidencial para la Equidad de la Mujer.</w:t>
      </w:r>
    </w:p>
    <w:p w14:paraId="18766076" w14:textId="5A07DE99" w:rsidR="009E6B1B" w:rsidRPr="009E6B1B" w:rsidRDefault="009E6B1B" w:rsidP="009E6B1B">
      <w:pPr>
        <w:rPr>
          <w:rFonts w:ascii="Verdana" w:hAnsi="Verdana"/>
          <w:sz w:val="22"/>
          <w:szCs w:val="22"/>
        </w:rPr>
      </w:pPr>
      <w:bookmarkStart w:id="8" w:name="9"/>
      <w:bookmarkEnd w:id="8"/>
      <w:r w:rsidRPr="009E6B1B">
        <w:rPr>
          <w:rFonts w:ascii="Verdana" w:hAnsi="Verdana"/>
          <w:b/>
          <w:bCs/>
          <w:sz w:val="22"/>
          <w:szCs w:val="22"/>
        </w:rPr>
        <w:t xml:space="preserve">ARTÍCULO </w:t>
      </w:r>
      <w:r>
        <w:rPr>
          <w:rFonts w:ascii="Verdana" w:hAnsi="Verdana"/>
          <w:b/>
          <w:bCs/>
          <w:sz w:val="22"/>
          <w:szCs w:val="22"/>
        </w:rPr>
        <w:t>9o</w:t>
      </w:r>
      <w:r w:rsidRPr="009E6B1B">
        <w:rPr>
          <w:rFonts w:ascii="Verdana" w:hAnsi="Verdana"/>
          <w:b/>
          <w:bCs/>
          <w:sz w:val="22"/>
          <w:szCs w:val="22"/>
        </w:rPr>
        <w:t>.</w:t>
      </w:r>
      <w:r w:rsidRPr="009E6B1B">
        <w:rPr>
          <w:rFonts w:ascii="Verdana" w:hAnsi="Verdana"/>
          <w:sz w:val="22"/>
          <w:szCs w:val="22"/>
        </w:rPr>
        <w:t> La presente Resolución rige a partir de la fecha de </w:t>
      </w:r>
      <w:r w:rsidRPr="009E6B1B">
        <w:rPr>
          <w:rFonts w:ascii="Verdana" w:hAnsi="Verdana"/>
          <w:b/>
          <w:bCs/>
          <w:sz w:val="22"/>
          <w:szCs w:val="22"/>
        </w:rPr>
        <w:t>expedición.</w:t>
      </w:r>
    </w:p>
    <w:p w14:paraId="105F5A53" w14:textId="77777777" w:rsidR="009E6B1B" w:rsidRPr="009E6B1B" w:rsidRDefault="009E6B1B" w:rsidP="007972FA">
      <w:pPr>
        <w:jc w:val="center"/>
        <w:rPr>
          <w:rFonts w:ascii="Verdana" w:hAnsi="Verdana"/>
          <w:sz w:val="22"/>
          <w:szCs w:val="22"/>
        </w:rPr>
      </w:pPr>
      <w:r w:rsidRPr="009E6B1B">
        <w:rPr>
          <w:rFonts w:ascii="Verdana" w:hAnsi="Verdana"/>
          <w:b/>
          <w:bCs/>
          <w:sz w:val="22"/>
          <w:szCs w:val="22"/>
        </w:rPr>
        <w:t>COMUNÍQUESE Y CÚMPLASE</w:t>
      </w:r>
    </w:p>
    <w:p w14:paraId="3518D242" w14:textId="46B4BCD2" w:rsidR="009E6B1B" w:rsidRPr="009E6B1B" w:rsidRDefault="009E6B1B" w:rsidP="007972FA">
      <w:pPr>
        <w:jc w:val="center"/>
        <w:rPr>
          <w:rFonts w:ascii="Verdana" w:hAnsi="Verdana"/>
          <w:sz w:val="22"/>
          <w:szCs w:val="22"/>
        </w:rPr>
      </w:pPr>
      <w:r w:rsidRPr="009E6B1B">
        <w:rPr>
          <w:rFonts w:ascii="Verdana" w:hAnsi="Verdana"/>
          <w:sz w:val="22"/>
          <w:szCs w:val="22"/>
        </w:rPr>
        <w:t>Dada en Bogotá, D.C a los 27</w:t>
      </w:r>
      <w:r w:rsidR="007972FA">
        <w:rPr>
          <w:rFonts w:ascii="Verdana" w:hAnsi="Verdana"/>
          <w:sz w:val="22"/>
          <w:szCs w:val="22"/>
        </w:rPr>
        <w:t xml:space="preserve"> días del mes de noviembre de</w:t>
      </w:r>
      <w:r w:rsidRPr="009E6B1B">
        <w:rPr>
          <w:rFonts w:ascii="Verdana" w:hAnsi="Verdana"/>
          <w:sz w:val="22"/>
          <w:szCs w:val="22"/>
        </w:rPr>
        <w:t xml:space="preserve"> 2023</w:t>
      </w:r>
    </w:p>
    <w:p w14:paraId="1446F8FC" w14:textId="77777777" w:rsidR="009E6B1B" w:rsidRPr="009E6B1B" w:rsidRDefault="009E6B1B" w:rsidP="007972FA">
      <w:pPr>
        <w:jc w:val="center"/>
        <w:rPr>
          <w:rFonts w:ascii="Verdana" w:hAnsi="Verdana"/>
          <w:sz w:val="22"/>
          <w:szCs w:val="22"/>
        </w:rPr>
      </w:pPr>
      <w:r w:rsidRPr="009E6B1B">
        <w:rPr>
          <w:rFonts w:ascii="Verdana" w:hAnsi="Verdana"/>
          <w:b/>
          <w:bCs/>
          <w:sz w:val="22"/>
          <w:szCs w:val="22"/>
        </w:rPr>
        <w:t>ASTRID ELIANA CÁCERES CÁRDENAS</w:t>
      </w:r>
    </w:p>
    <w:p w14:paraId="01CA8835" w14:textId="36704EC7" w:rsidR="009E6B1B" w:rsidRPr="009E6B1B" w:rsidRDefault="007972FA" w:rsidP="007972FA">
      <w:pPr>
        <w:jc w:val="center"/>
        <w:rPr>
          <w:rFonts w:ascii="Verdana" w:hAnsi="Verdana"/>
          <w:sz w:val="22"/>
          <w:szCs w:val="22"/>
        </w:rPr>
      </w:pPr>
      <w:r w:rsidRPr="009E6B1B">
        <w:rPr>
          <w:rFonts w:ascii="Verdana" w:hAnsi="Verdana"/>
          <w:sz w:val="22"/>
          <w:szCs w:val="22"/>
        </w:rPr>
        <w:t>DIRECTORA GENERAL</w:t>
      </w:r>
    </w:p>
    <w:p w14:paraId="1CB04B45" w14:textId="2EB52963" w:rsidR="009E6B1B" w:rsidRPr="009E6B1B" w:rsidRDefault="009E6B1B" w:rsidP="00CA5800">
      <w:pPr>
        <w:rPr>
          <w:rFonts w:ascii="Verdana" w:hAnsi="Verdana"/>
          <w:sz w:val="22"/>
          <w:szCs w:val="22"/>
        </w:rPr>
      </w:pPr>
      <w:r w:rsidRPr="009E6B1B">
        <w:rPr>
          <w:rFonts w:ascii="Verdana" w:hAnsi="Verdana"/>
          <w:b/>
          <w:bCs/>
          <w:sz w:val="22"/>
          <w:szCs w:val="22"/>
        </w:rPr>
        <w:t xml:space="preserve"> </w:t>
      </w:r>
    </w:p>
    <w:p w14:paraId="1ECFFF6B" w14:textId="564B5EA2" w:rsidR="00A724C4" w:rsidRPr="009E6B1B" w:rsidRDefault="00A724C4" w:rsidP="009E6B1B">
      <w:pPr>
        <w:rPr>
          <w:rFonts w:ascii="Verdana" w:hAnsi="Verdana"/>
          <w:sz w:val="22"/>
          <w:szCs w:val="22"/>
        </w:rPr>
      </w:pPr>
    </w:p>
    <w:sectPr w:rsidR="00A724C4" w:rsidRPr="009E6B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E0F8" w14:textId="77777777" w:rsidR="006B2C6F" w:rsidRDefault="006B2C6F" w:rsidP="00251F6B">
      <w:pPr>
        <w:spacing w:after="0"/>
      </w:pPr>
      <w:r>
        <w:separator/>
      </w:r>
    </w:p>
  </w:endnote>
  <w:endnote w:type="continuationSeparator" w:id="0">
    <w:p w14:paraId="608D0323" w14:textId="77777777" w:rsidR="006B2C6F" w:rsidRDefault="006B2C6F"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FE63" w14:textId="77777777" w:rsidR="006B2C6F" w:rsidRDefault="006B2C6F" w:rsidP="00251F6B">
      <w:pPr>
        <w:spacing w:after="0"/>
      </w:pPr>
      <w:r>
        <w:separator/>
      </w:r>
    </w:p>
  </w:footnote>
  <w:footnote w:type="continuationSeparator" w:id="0">
    <w:p w14:paraId="0E5209C1" w14:textId="77777777" w:rsidR="006B2C6F" w:rsidRDefault="006B2C6F"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9BE"/>
    <w:multiLevelType w:val="hybridMultilevel"/>
    <w:tmpl w:val="47C0EA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D9215A"/>
    <w:multiLevelType w:val="hybridMultilevel"/>
    <w:tmpl w:val="C476967A"/>
    <w:lvl w:ilvl="0" w:tplc="3662B8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B45B79"/>
    <w:multiLevelType w:val="hybridMultilevel"/>
    <w:tmpl w:val="12768B0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72381E"/>
    <w:multiLevelType w:val="hybridMultilevel"/>
    <w:tmpl w:val="1E089BC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612F29"/>
    <w:multiLevelType w:val="hybridMultilevel"/>
    <w:tmpl w:val="E65847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635461"/>
    <w:multiLevelType w:val="hybridMultilevel"/>
    <w:tmpl w:val="AB2E89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6"/>
  </w:num>
  <w:num w:numId="2" w16cid:durableId="707920155">
    <w:abstractNumId w:val="1"/>
  </w:num>
  <w:num w:numId="3" w16cid:durableId="1067605885">
    <w:abstractNumId w:val="0"/>
  </w:num>
  <w:num w:numId="4" w16cid:durableId="871071125">
    <w:abstractNumId w:val="2"/>
  </w:num>
  <w:num w:numId="5" w16cid:durableId="604994866">
    <w:abstractNumId w:val="4"/>
  </w:num>
  <w:num w:numId="6" w16cid:durableId="1224172124">
    <w:abstractNumId w:val="3"/>
  </w:num>
  <w:num w:numId="7" w16cid:durableId="911617272">
    <w:abstractNumId w:val="5"/>
  </w:num>
  <w:num w:numId="8" w16cid:durableId="2039428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476CE6"/>
    <w:rsid w:val="005041B1"/>
    <w:rsid w:val="00657673"/>
    <w:rsid w:val="00692A8A"/>
    <w:rsid w:val="006B2C6F"/>
    <w:rsid w:val="006C543E"/>
    <w:rsid w:val="006D1939"/>
    <w:rsid w:val="006D5ECF"/>
    <w:rsid w:val="007504D1"/>
    <w:rsid w:val="007972FA"/>
    <w:rsid w:val="00863A26"/>
    <w:rsid w:val="00933C0C"/>
    <w:rsid w:val="009E6B1B"/>
    <w:rsid w:val="00A724C4"/>
    <w:rsid w:val="00C07F46"/>
    <w:rsid w:val="00CA5800"/>
    <w:rsid w:val="00D5214B"/>
    <w:rsid w:val="00DB3505"/>
    <w:rsid w:val="00DE103B"/>
    <w:rsid w:val="00E234E0"/>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7872A714-410A-453A-B2CC-D965CD4F0328}"/>
</file>

<file path=customXml/itemProps3.xml><?xml version="1.0" encoding="utf-8"?>
<ds:datastoreItem xmlns:ds="http://schemas.openxmlformats.org/officeDocument/2006/customXml" ds:itemID="{EDFA19C5-F6EB-4943-A932-66F8F0BAF73A}"/>
</file>

<file path=customXml/itemProps4.xml><?xml version="1.0" encoding="utf-8"?>
<ds:datastoreItem xmlns:ds="http://schemas.openxmlformats.org/officeDocument/2006/customXml" ds:itemID="{0FFD6877-3222-40ED-AD3C-8DE70DEFE0B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1867</Words>
  <Characters>10271</Characters>
  <Application>Microsoft Office Word</Application>
  <DocSecurity>0</DocSecurity>
  <Lines>85</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