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556E2E4D"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A259F3">
        <w:rPr>
          <w:rFonts w:ascii="Verdana" w:hAnsi="Verdana"/>
          <w:b/>
          <w:bCs/>
          <w:sz w:val="22"/>
          <w:szCs w:val="22"/>
        </w:rPr>
        <w:t>7511</w:t>
      </w:r>
      <w:r w:rsidR="00A259F3" w:rsidRPr="00DB3505">
        <w:rPr>
          <w:rFonts w:ascii="Verdana" w:hAnsi="Verdana"/>
          <w:b/>
          <w:bCs/>
          <w:sz w:val="22"/>
          <w:szCs w:val="22"/>
        </w:rPr>
        <w:t xml:space="preserve"> </w:t>
      </w:r>
      <w:r w:rsidRPr="00DB3505">
        <w:rPr>
          <w:rFonts w:ascii="Verdana" w:hAnsi="Verdana"/>
          <w:b/>
          <w:bCs/>
          <w:sz w:val="22"/>
          <w:szCs w:val="22"/>
        </w:rPr>
        <w:t>DE 2023</w:t>
      </w:r>
    </w:p>
    <w:p w14:paraId="7FAA1F65" w14:textId="3B3DDC3E"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495793">
        <w:rPr>
          <w:rFonts w:ascii="Verdana" w:hAnsi="Verdana"/>
          <w:sz w:val="20"/>
          <w:szCs w:val="20"/>
        </w:rPr>
        <w:t>24 de noviembre</w:t>
      </w:r>
      <w:r w:rsidRPr="00251F6B">
        <w:rPr>
          <w:rFonts w:ascii="Verdana" w:hAnsi="Verdana"/>
          <w:sz w:val="20"/>
          <w:szCs w:val="20"/>
        </w:rPr>
        <w:t xml:space="preserve"> de 20</w:t>
      </w:r>
      <w:r w:rsidR="00D5214B">
        <w:rPr>
          <w:rFonts w:ascii="Verdana" w:hAnsi="Verdana"/>
          <w:sz w:val="20"/>
          <w:szCs w:val="20"/>
        </w:rPr>
        <w:t>23</w:t>
      </w:r>
    </w:p>
    <w:p w14:paraId="3C8362D2" w14:textId="6BD0F660"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495793">
        <w:rPr>
          <w:rFonts w:ascii="Verdana" w:hAnsi="Verdana"/>
          <w:sz w:val="20"/>
          <w:szCs w:val="20"/>
        </w:rPr>
        <w:t>24 de noviembre</w:t>
      </w:r>
      <w:r w:rsidR="00251F6B" w:rsidRPr="00251F6B">
        <w:rPr>
          <w:rFonts w:ascii="Verdana" w:hAnsi="Verdana"/>
          <w:sz w:val="20"/>
          <w:szCs w:val="20"/>
        </w:rPr>
        <w:t xml:space="preserve"> de 2023</w:t>
      </w:r>
    </w:p>
    <w:p w14:paraId="1772F951" w14:textId="47C9B6AF"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495793">
        <w:rPr>
          <w:rFonts w:ascii="Verdana" w:hAnsi="Verdana"/>
          <w:sz w:val="20"/>
          <w:szCs w:val="20"/>
        </w:rPr>
        <w:t>vigente</w:t>
      </w:r>
    </w:p>
    <w:p w14:paraId="30D368E6" w14:textId="77777777" w:rsidR="006D1939" w:rsidRPr="00251F6B" w:rsidRDefault="006D1939" w:rsidP="006D1939">
      <w:pPr>
        <w:rPr>
          <w:rFonts w:ascii="Verdana" w:hAnsi="Verdana"/>
          <w:sz w:val="20"/>
          <w:szCs w:val="20"/>
        </w:rPr>
      </w:pPr>
    </w:p>
    <w:p w14:paraId="396C1C8B" w14:textId="2A3980B1"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95793">
        <w:rPr>
          <w:rFonts w:ascii="Verdana" w:hAnsi="Verdana"/>
          <w:sz w:val="20"/>
          <w:szCs w:val="20"/>
        </w:rPr>
        <w:t>N/A</w:t>
      </w:r>
    </w:p>
    <w:p w14:paraId="038FC3F0" w14:textId="340F6546" w:rsidR="006D1939"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95793">
        <w:rPr>
          <w:rFonts w:ascii="Verdana" w:hAnsi="Verdana"/>
          <w:sz w:val="20"/>
          <w:szCs w:val="20"/>
        </w:rPr>
        <w:t>/A</w:t>
      </w:r>
    </w:p>
    <w:p w14:paraId="098960A8" w14:textId="4614277C" w:rsidR="00495793" w:rsidRPr="00251F6B" w:rsidRDefault="00495793" w:rsidP="006D1939">
      <w:pPr>
        <w:rPr>
          <w:rFonts w:ascii="Verdana" w:hAnsi="Verdana"/>
          <w:sz w:val="20"/>
          <w:szCs w:val="20"/>
        </w:rPr>
      </w:pPr>
      <w:r>
        <w:rPr>
          <w:rFonts w:ascii="Verdana" w:hAnsi="Verdana"/>
          <w:sz w:val="20"/>
          <w:szCs w:val="20"/>
        </w:rPr>
        <w:t xml:space="preserve">Notas: </w:t>
      </w:r>
      <w:r w:rsidRPr="00495793">
        <w:rPr>
          <w:rFonts w:ascii="Verdana" w:hAnsi="Verdana"/>
          <w:sz w:val="20"/>
          <w:szCs w:val="20"/>
        </w:rPr>
        <w:t xml:space="preserve">Modificada </w:t>
      </w:r>
      <w:r>
        <w:rPr>
          <w:rFonts w:ascii="Verdana" w:hAnsi="Verdana"/>
          <w:sz w:val="20"/>
          <w:szCs w:val="20"/>
        </w:rPr>
        <w:t>por l</w:t>
      </w:r>
      <w:r w:rsidRPr="00495793">
        <w:rPr>
          <w:rFonts w:ascii="Verdana" w:hAnsi="Verdana"/>
          <w:sz w:val="20"/>
          <w:szCs w:val="20"/>
        </w:rPr>
        <w:t>a Resolución 2388 De 2024</w:t>
      </w:r>
    </w:p>
    <w:p w14:paraId="5E657EE0" w14:textId="514F368D" w:rsidR="00DB3505" w:rsidRPr="00DB3505" w:rsidRDefault="00DB3505" w:rsidP="00495793">
      <w:pPr>
        <w:jc w:val="center"/>
        <w:rPr>
          <w:rFonts w:ascii="Verdana" w:hAnsi="Verdana"/>
          <w:sz w:val="22"/>
          <w:szCs w:val="22"/>
        </w:rPr>
      </w:pPr>
      <w:r w:rsidRPr="00DB3505">
        <w:rPr>
          <w:rFonts w:ascii="Verdana" w:hAnsi="Verdana"/>
          <w:b/>
          <w:bCs/>
          <w:sz w:val="22"/>
          <w:szCs w:val="22"/>
        </w:rPr>
        <w:t xml:space="preserve">RESOLUCIÓN </w:t>
      </w:r>
      <w:r w:rsidR="00424C46">
        <w:rPr>
          <w:rFonts w:ascii="Verdana" w:hAnsi="Verdana"/>
          <w:b/>
          <w:bCs/>
          <w:sz w:val="22"/>
          <w:szCs w:val="22"/>
        </w:rPr>
        <w:t>7511</w:t>
      </w:r>
      <w:r w:rsidRPr="00DB3505">
        <w:rPr>
          <w:rFonts w:ascii="Verdana" w:hAnsi="Verdana"/>
          <w:b/>
          <w:bCs/>
          <w:sz w:val="22"/>
          <w:szCs w:val="22"/>
        </w:rPr>
        <w:t xml:space="preserve"> DE 2023</w:t>
      </w:r>
    </w:p>
    <w:p w14:paraId="76C13A6D" w14:textId="5EA16B96" w:rsidR="00DB3505" w:rsidRPr="00DB3505" w:rsidRDefault="00DB3505" w:rsidP="00495793">
      <w:pPr>
        <w:jc w:val="center"/>
        <w:rPr>
          <w:rFonts w:ascii="Verdana" w:hAnsi="Verdana"/>
          <w:b/>
          <w:bCs/>
          <w:sz w:val="22"/>
          <w:szCs w:val="22"/>
        </w:rPr>
      </w:pPr>
      <w:r w:rsidRPr="00DB3505">
        <w:rPr>
          <w:rFonts w:ascii="Verdana" w:hAnsi="Verdana"/>
          <w:b/>
          <w:bCs/>
          <w:sz w:val="22"/>
          <w:szCs w:val="22"/>
        </w:rPr>
        <w:t>(</w:t>
      </w:r>
      <w:r w:rsidR="001429B0">
        <w:rPr>
          <w:rFonts w:ascii="Verdana" w:hAnsi="Verdana"/>
          <w:b/>
          <w:bCs/>
          <w:sz w:val="22"/>
          <w:szCs w:val="22"/>
        </w:rPr>
        <w:t>24 de noviembre</w:t>
      </w:r>
      <w:r w:rsidRPr="00DB3505">
        <w:rPr>
          <w:rFonts w:ascii="Verdana" w:hAnsi="Verdana"/>
          <w:b/>
          <w:bCs/>
          <w:sz w:val="22"/>
          <w:szCs w:val="22"/>
        </w:rPr>
        <w:t>)</w:t>
      </w:r>
    </w:p>
    <w:p w14:paraId="7BB7ACAE" w14:textId="77777777" w:rsidR="00DB3505" w:rsidRPr="00DB3505" w:rsidRDefault="00DB3505" w:rsidP="00495793">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77575F28" w14:textId="1E655FDB" w:rsidR="00424C46" w:rsidRPr="00A259F3" w:rsidRDefault="00A259F3" w:rsidP="00495793">
      <w:pPr>
        <w:jc w:val="center"/>
        <w:rPr>
          <w:rFonts w:ascii="Verdana" w:hAnsi="Verdana"/>
          <w:sz w:val="22"/>
          <w:szCs w:val="22"/>
        </w:rPr>
      </w:pPr>
      <w:r w:rsidRPr="00A259F3">
        <w:rPr>
          <w:rFonts w:ascii="Verdana" w:hAnsi="Verdana"/>
          <w:sz w:val="22"/>
          <w:szCs w:val="22"/>
          <w:lang w:val="es-MX"/>
        </w:rPr>
        <w:t>“Por la cual se conforma el Comité de convivencia laboral de la Sede de la Dirección General del Instituto Colombiano De Bienestar Familiar ICBF para el periodo 2023-2025”</w:t>
      </w:r>
    </w:p>
    <w:p w14:paraId="1E53027C" w14:textId="38AD9C71" w:rsidR="007724E8" w:rsidRPr="007724E8" w:rsidRDefault="007724E8" w:rsidP="00495793">
      <w:pPr>
        <w:jc w:val="center"/>
        <w:rPr>
          <w:rFonts w:ascii="Verdana" w:hAnsi="Verdana"/>
          <w:b/>
          <w:bCs/>
          <w:sz w:val="22"/>
          <w:szCs w:val="22"/>
        </w:rPr>
      </w:pPr>
      <w:r w:rsidRPr="007724E8">
        <w:rPr>
          <w:rFonts w:ascii="Verdana" w:hAnsi="Verdana"/>
          <w:b/>
          <w:bCs/>
          <w:sz w:val="22"/>
          <w:szCs w:val="22"/>
        </w:rPr>
        <w:t>LA DIRECTORA GENERAL DEL INSTITUTO COLOMBIANO DE BIENESTAR FAMILIAR CECILIA DE LA FUENTE DE LLERAS</w:t>
      </w:r>
    </w:p>
    <w:p w14:paraId="719306B7" w14:textId="0E61B2A0" w:rsidR="007724E8" w:rsidRPr="007724E8" w:rsidRDefault="007724E8" w:rsidP="00495793">
      <w:pPr>
        <w:jc w:val="center"/>
        <w:rPr>
          <w:rFonts w:ascii="Verdana" w:hAnsi="Verdana"/>
          <w:sz w:val="22"/>
          <w:szCs w:val="22"/>
        </w:rPr>
      </w:pPr>
      <w:r w:rsidRPr="007724E8">
        <w:rPr>
          <w:rFonts w:ascii="Verdana" w:hAnsi="Verdana"/>
          <w:sz w:val="22"/>
          <w:szCs w:val="22"/>
        </w:rPr>
        <w:t>En uso de sus facultades legales y estatutarias y, en especial de las que le confieren el literal b) del artículo 28 de la Ley 7 de 1979, el artículo 78 de la Ley 489 de 1998, el numeral 1.7 del artículo 14 de la Resolución 2646 de 2008 del Ministerio de la Protección Social, la Resolución 652 de 2012 del Ministerio del Trabajo, la Resolución 1356 de 2012 de</w:t>
      </w:r>
      <w:r w:rsidR="00495793">
        <w:rPr>
          <w:rFonts w:ascii="Verdana" w:hAnsi="Verdana"/>
          <w:sz w:val="22"/>
          <w:szCs w:val="22"/>
        </w:rPr>
        <w:t>l</w:t>
      </w:r>
      <w:r w:rsidRPr="007724E8">
        <w:rPr>
          <w:rFonts w:ascii="Verdana" w:hAnsi="Verdana"/>
          <w:sz w:val="22"/>
          <w:szCs w:val="22"/>
        </w:rPr>
        <w:t xml:space="preserve"> Ministerio del Trabajo y la Resolución 13587 de 2017 del ICBF y,</w:t>
      </w:r>
    </w:p>
    <w:p w14:paraId="3075991C" w14:textId="77777777" w:rsidR="007724E8" w:rsidRPr="007724E8" w:rsidRDefault="007724E8" w:rsidP="00495793">
      <w:pPr>
        <w:jc w:val="center"/>
        <w:rPr>
          <w:rFonts w:ascii="Verdana" w:hAnsi="Verdana"/>
          <w:b/>
          <w:bCs/>
          <w:sz w:val="22"/>
          <w:szCs w:val="22"/>
        </w:rPr>
      </w:pPr>
      <w:r w:rsidRPr="007724E8">
        <w:rPr>
          <w:rFonts w:ascii="Verdana" w:hAnsi="Verdana"/>
          <w:b/>
          <w:bCs/>
          <w:sz w:val="22"/>
          <w:szCs w:val="22"/>
        </w:rPr>
        <w:t>CONSIDERANDO:</w:t>
      </w:r>
    </w:p>
    <w:p w14:paraId="44E7A25A" w14:textId="216A3F27" w:rsidR="00DA43DE" w:rsidRPr="00DA43DE" w:rsidRDefault="00DA43DE" w:rsidP="00DA43DE">
      <w:pPr>
        <w:pStyle w:val="Prrafodelista"/>
        <w:numPr>
          <w:ilvl w:val="0"/>
          <w:numId w:val="3"/>
        </w:numPr>
        <w:rPr>
          <w:rFonts w:ascii="Verdana" w:hAnsi="Verdana"/>
          <w:sz w:val="22"/>
          <w:szCs w:val="22"/>
        </w:rPr>
      </w:pPr>
      <w:r w:rsidRPr="00DA43DE">
        <w:rPr>
          <w:rFonts w:ascii="Verdana" w:hAnsi="Verdana"/>
          <w:sz w:val="22"/>
          <w:szCs w:val="22"/>
        </w:rPr>
        <w:t>Que el artículo 209 de la Constitución Política preceptúa que la función administrativa está al servicio de los intereses generales y se desarrolla con fundamento en los principios de igualdad, moralidad, eficacia, economía, celeridad, imparcialidad y publicidad.</w:t>
      </w:r>
    </w:p>
    <w:p w14:paraId="59924B0C" w14:textId="4BAF133E" w:rsidR="00DA43DE" w:rsidRPr="00DA43DE" w:rsidRDefault="00DA43DE" w:rsidP="00DA43DE">
      <w:pPr>
        <w:pStyle w:val="Prrafodelista"/>
        <w:numPr>
          <w:ilvl w:val="0"/>
          <w:numId w:val="3"/>
        </w:numPr>
        <w:rPr>
          <w:rFonts w:ascii="Verdana" w:hAnsi="Verdana"/>
          <w:sz w:val="22"/>
          <w:szCs w:val="22"/>
        </w:rPr>
      </w:pPr>
      <w:r w:rsidRPr="00DA43DE">
        <w:rPr>
          <w:rFonts w:ascii="Verdana" w:hAnsi="Verdana"/>
          <w:sz w:val="22"/>
          <w:szCs w:val="22"/>
        </w:rPr>
        <w:t>Que por medio de la Ley 1010 de 2006, fueron adoptadas medidas para prevenir, corregir y sancionar el acoso laboral y los hostigamientos en el marco de las relaciones de trabajo, estableciendo en el numeral 1 del artículo 9 que: “Los reglamentos de trabajo de las empresas e instituciones deberán prever mecanismos de prevención de las conductas de acoso laboral y establecer un procedimiento interno, confidencial, conciliatorio y efectivo para superar las que ocurran en el lugar de trabajo (...)”.</w:t>
      </w:r>
    </w:p>
    <w:p w14:paraId="6A8DD5EC" w14:textId="1C04C05D" w:rsidR="00DA43DE" w:rsidRPr="00DA43DE" w:rsidRDefault="00DA43DE" w:rsidP="00DA43DE">
      <w:pPr>
        <w:pStyle w:val="Prrafodelista"/>
        <w:numPr>
          <w:ilvl w:val="0"/>
          <w:numId w:val="3"/>
        </w:numPr>
        <w:rPr>
          <w:rFonts w:ascii="Verdana" w:hAnsi="Verdana"/>
          <w:sz w:val="22"/>
          <w:szCs w:val="22"/>
        </w:rPr>
      </w:pPr>
      <w:proofErr w:type="gramStart"/>
      <w:r w:rsidRPr="00DA43DE">
        <w:rPr>
          <w:rFonts w:ascii="Verdana" w:hAnsi="Verdana"/>
          <w:sz w:val="22"/>
          <w:szCs w:val="22"/>
        </w:rPr>
        <w:t>Que</w:t>
      </w:r>
      <w:proofErr w:type="gramEnd"/>
      <w:r w:rsidRPr="00DA43DE">
        <w:rPr>
          <w:rFonts w:ascii="Verdana" w:hAnsi="Verdana"/>
          <w:sz w:val="22"/>
          <w:szCs w:val="22"/>
        </w:rPr>
        <w:t xml:space="preserve"> en concordancia con lo anterior, el numeral 1.7 del artículo 14 de la Resolución 2646 de 2008 del Ministerio de la Protección Social, dispuso como medidas preventivas y correctivas de las conductas de acoso laboral, la conformación de un Comité de Convivencia Laboral, así como </w:t>
      </w:r>
      <w:r w:rsidRPr="00DA43DE">
        <w:rPr>
          <w:rFonts w:ascii="Verdana" w:hAnsi="Verdana"/>
          <w:sz w:val="22"/>
          <w:szCs w:val="22"/>
        </w:rPr>
        <w:lastRenderedPageBreak/>
        <w:t>el establecimiento de un procedimiento interno confidencial, conciliatorio y efectivo para prevenir este tipo de conductas.</w:t>
      </w:r>
    </w:p>
    <w:p w14:paraId="7486EAD9" w14:textId="5BA125AA" w:rsidR="00DA43DE" w:rsidRPr="00DA43DE" w:rsidRDefault="00DA43DE" w:rsidP="00DA43DE">
      <w:pPr>
        <w:pStyle w:val="Prrafodelista"/>
        <w:numPr>
          <w:ilvl w:val="0"/>
          <w:numId w:val="3"/>
        </w:numPr>
        <w:rPr>
          <w:rFonts w:ascii="Verdana" w:hAnsi="Verdana"/>
          <w:sz w:val="22"/>
          <w:szCs w:val="22"/>
        </w:rPr>
      </w:pPr>
      <w:r w:rsidRPr="00DA43DE">
        <w:rPr>
          <w:rFonts w:ascii="Verdana" w:hAnsi="Verdana"/>
          <w:sz w:val="22"/>
          <w:szCs w:val="22"/>
        </w:rPr>
        <w:t xml:space="preserve">Que el inciso 1 del artículo 3 de la Resolución 652 de 2012 del Ministerio de Trabajo, modificado por el artículo 1 de la Resolución 1356 de 2012, establece que: “El Comité de Convivencia Laboral estará compuesto por dos (2) representantes del empleador y dos (2) de los trabajadores, con sus respectivos suplentes. Las entidades públicas y empresas privadas podrán </w:t>
      </w:r>
      <w:proofErr w:type="gramStart"/>
      <w:r w:rsidRPr="00DA43DE">
        <w:rPr>
          <w:rFonts w:ascii="Verdana" w:hAnsi="Verdana"/>
          <w:sz w:val="22"/>
          <w:szCs w:val="22"/>
        </w:rPr>
        <w:t>de acuerdo a</w:t>
      </w:r>
      <w:proofErr w:type="gramEnd"/>
      <w:r w:rsidRPr="00DA43DE">
        <w:rPr>
          <w:rFonts w:ascii="Verdana" w:hAnsi="Verdana"/>
          <w:sz w:val="22"/>
          <w:szCs w:val="22"/>
        </w:rPr>
        <w:t xml:space="preserve"> su organización interna designar un mayor número de representantes los cuales, en todo caso, serán iguales en ambas partes (...)”.</w:t>
      </w:r>
    </w:p>
    <w:p w14:paraId="690E2C92" w14:textId="0C8E8C59" w:rsidR="00DA43DE" w:rsidRPr="00DA43DE" w:rsidRDefault="00DA43DE" w:rsidP="00DA43DE">
      <w:pPr>
        <w:pStyle w:val="Prrafodelista"/>
        <w:numPr>
          <w:ilvl w:val="0"/>
          <w:numId w:val="3"/>
        </w:numPr>
        <w:rPr>
          <w:rFonts w:ascii="Verdana" w:hAnsi="Verdana"/>
          <w:sz w:val="22"/>
          <w:szCs w:val="22"/>
        </w:rPr>
      </w:pPr>
      <w:r w:rsidRPr="00DA43DE">
        <w:rPr>
          <w:rFonts w:ascii="Verdana" w:hAnsi="Verdana"/>
          <w:sz w:val="22"/>
          <w:szCs w:val="22"/>
        </w:rPr>
        <w:t>Que por medio de la Resolución 13587 del 22 de diciembre de 2017, el Instituto Colombiano de Bienestar Familiar - ICBF, reglamentó la conformación y funcionamiento de los Comités de Convivencia Laboral en la Sede de la Dirección General y de las Direcciones Regionales.</w:t>
      </w:r>
    </w:p>
    <w:p w14:paraId="698DF329" w14:textId="52512AB7" w:rsidR="00DA43DE" w:rsidRPr="00DA43DE" w:rsidRDefault="00DA43DE" w:rsidP="00DA43DE">
      <w:pPr>
        <w:pStyle w:val="Prrafodelista"/>
        <w:numPr>
          <w:ilvl w:val="0"/>
          <w:numId w:val="3"/>
        </w:numPr>
        <w:rPr>
          <w:rFonts w:ascii="Verdana" w:hAnsi="Verdana"/>
          <w:sz w:val="22"/>
          <w:szCs w:val="22"/>
        </w:rPr>
      </w:pPr>
      <w:r w:rsidRPr="00DA43DE">
        <w:rPr>
          <w:rFonts w:ascii="Verdana" w:hAnsi="Verdana"/>
          <w:sz w:val="22"/>
          <w:szCs w:val="22"/>
        </w:rPr>
        <w:t>Que por medio de la Resolución 3314 del 11 de junio de 2021, modificada por la Resolución 5029 del 21 de octubre de 2022, se conformó el Comité de Convivencia Laboral de la Sede de la Dirección General del ICBF, para el periodo del 11 de junio de 2021 al 11 de junio de 2023.</w:t>
      </w:r>
    </w:p>
    <w:p w14:paraId="400227EA" w14:textId="2DF2DA81" w:rsidR="00DA43DE" w:rsidRPr="00DA43DE" w:rsidRDefault="00DA43DE" w:rsidP="00DA43DE">
      <w:pPr>
        <w:pStyle w:val="Prrafodelista"/>
        <w:numPr>
          <w:ilvl w:val="0"/>
          <w:numId w:val="3"/>
        </w:numPr>
        <w:rPr>
          <w:rFonts w:ascii="Verdana" w:hAnsi="Verdana"/>
          <w:sz w:val="22"/>
          <w:szCs w:val="22"/>
        </w:rPr>
      </w:pPr>
      <w:r w:rsidRPr="00DA43DE">
        <w:rPr>
          <w:rFonts w:ascii="Verdana" w:hAnsi="Verdana"/>
          <w:sz w:val="22"/>
          <w:szCs w:val="22"/>
        </w:rPr>
        <w:t>Que de conformidad con lo dispuesto en el artículo 22 de la Resolución 13587 de 2017 y el Procedimiento para la Conformación y Funcionamiento del Comité de Convivencia Laboral de la Sede de la Dirección General del ICBF, como consecuencia de la finalización de su periodo, el día 14 de junio de 2023, la Dirección de Gestión Humana realizó convocatoria virtual a través de correo electrónico a los servidores públicos de la Sede de la Dirección General del ICBF, ante el Comité de Convivencia Laboral para el periodo 2023-2025.</w:t>
      </w:r>
    </w:p>
    <w:p w14:paraId="1ECFFF6B" w14:textId="2DC20477" w:rsidR="00A724C4" w:rsidRDefault="00DA43DE" w:rsidP="00DA43DE">
      <w:pPr>
        <w:pStyle w:val="Prrafodelista"/>
        <w:numPr>
          <w:ilvl w:val="0"/>
          <w:numId w:val="3"/>
        </w:numPr>
        <w:rPr>
          <w:rFonts w:ascii="Verdana" w:hAnsi="Verdana"/>
          <w:sz w:val="22"/>
          <w:szCs w:val="22"/>
        </w:rPr>
      </w:pPr>
      <w:r w:rsidRPr="00DA43DE">
        <w:rPr>
          <w:rFonts w:ascii="Verdana" w:hAnsi="Verdana"/>
          <w:sz w:val="22"/>
          <w:szCs w:val="22"/>
        </w:rPr>
        <w:t>Que dentro del término establecido en la Resolución 13587 de 2017, los funcionarios que se relacionan a continuación se inscribieron ante la Dirección de Gestión Humana como candidatos para representar a los servidores públicos de la Sede de la Dirección General ante el Comité de Convivencia Laboral, para el periodo 2023-2025:</w:t>
      </w:r>
    </w:p>
    <w:p w14:paraId="208B2DDE" w14:textId="2CC66BBA" w:rsidR="00A068E7" w:rsidRDefault="0052799D" w:rsidP="00A068E7">
      <w:pPr>
        <w:pStyle w:val="Prrafodelista"/>
        <w:numPr>
          <w:ilvl w:val="0"/>
          <w:numId w:val="4"/>
        </w:numPr>
        <w:rPr>
          <w:rFonts w:ascii="Verdana" w:hAnsi="Verdana"/>
          <w:sz w:val="22"/>
          <w:szCs w:val="22"/>
        </w:rPr>
      </w:pPr>
      <w:r>
        <w:rPr>
          <w:rFonts w:ascii="Verdana" w:hAnsi="Verdana"/>
          <w:sz w:val="22"/>
          <w:szCs w:val="22"/>
        </w:rPr>
        <w:t xml:space="preserve">MARIO HERNANDO FLORÉZ VANEGAS CC 79.277.140 </w:t>
      </w:r>
    </w:p>
    <w:p w14:paraId="7C0D3DFF" w14:textId="2268FA2D" w:rsidR="0052799D" w:rsidRDefault="0052799D" w:rsidP="00A068E7">
      <w:pPr>
        <w:pStyle w:val="Prrafodelista"/>
        <w:numPr>
          <w:ilvl w:val="0"/>
          <w:numId w:val="4"/>
        </w:numPr>
        <w:rPr>
          <w:rFonts w:ascii="Verdana" w:hAnsi="Verdana"/>
          <w:sz w:val="22"/>
          <w:szCs w:val="22"/>
        </w:rPr>
      </w:pPr>
      <w:r>
        <w:rPr>
          <w:rFonts w:ascii="Verdana" w:hAnsi="Verdana"/>
          <w:sz w:val="22"/>
          <w:szCs w:val="22"/>
        </w:rPr>
        <w:t>GINA ZULETDY YEPES SKINER. CC</w:t>
      </w:r>
      <w:r w:rsidR="00F04223">
        <w:rPr>
          <w:rFonts w:ascii="Verdana" w:hAnsi="Verdana"/>
          <w:sz w:val="22"/>
          <w:szCs w:val="22"/>
        </w:rPr>
        <w:t>.</w:t>
      </w:r>
      <w:r>
        <w:rPr>
          <w:rFonts w:ascii="Verdana" w:hAnsi="Verdana"/>
          <w:sz w:val="22"/>
          <w:szCs w:val="22"/>
        </w:rPr>
        <w:t xml:space="preserve"> 1.018</w:t>
      </w:r>
      <w:r w:rsidR="00F04223">
        <w:rPr>
          <w:rFonts w:ascii="Verdana" w:hAnsi="Verdana"/>
          <w:sz w:val="22"/>
          <w:szCs w:val="22"/>
        </w:rPr>
        <w:t>.407.-859</w:t>
      </w:r>
    </w:p>
    <w:p w14:paraId="31DDFB1D" w14:textId="2BD5473C" w:rsidR="00F04223" w:rsidRDefault="00F04223" w:rsidP="00A068E7">
      <w:pPr>
        <w:pStyle w:val="Prrafodelista"/>
        <w:numPr>
          <w:ilvl w:val="0"/>
          <w:numId w:val="4"/>
        </w:numPr>
        <w:rPr>
          <w:rFonts w:ascii="Verdana" w:hAnsi="Verdana"/>
          <w:sz w:val="22"/>
          <w:szCs w:val="22"/>
        </w:rPr>
      </w:pPr>
      <w:r>
        <w:rPr>
          <w:rFonts w:ascii="Verdana" w:hAnsi="Verdana"/>
          <w:sz w:val="22"/>
          <w:szCs w:val="22"/>
        </w:rPr>
        <w:t xml:space="preserve">LEIDY MIYET PEREZ OSORIO. CC </w:t>
      </w:r>
      <w:r w:rsidR="00B80807">
        <w:rPr>
          <w:rFonts w:ascii="Verdana" w:hAnsi="Verdana"/>
          <w:sz w:val="22"/>
          <w:szCs w:val="22"/>
        </w:rPr>
        <w:t>30.415.032</w:t>
      </w:r>
    </w:p>
    <w:p w14:paraId="08489F9E" w14:textId="0980D39D" w:rsidR="00B80807" w:rsidRDefault="00B80807" w:rsidP="00A068E7">
      <w:pPr>
        <w:pStyle w:val="Prrafodelista"/>
        <w:numPr>
          <w:ilvl w:val="0"/>
          <w:numId w:val="4"/>
        </w:numPr>
        <w:rPr>
          <w:rFonts w:ascii="Verdana" w:hAnsi="Verdana"/>
          <w:sz w:val="22"/>
          <w:szCs w:val="22"/>
        </w:rPr>
      </w:pPr>
      <w:r>
        <w:rPr>
          <w:rFonts w:ascii="Verdana" w:hAnsi="Verdana"/>
          <w:sz w:val="22"/>
          <w:szCs w:val="22"/>
        </w:rPr>
        <w:t>EDGAR PÁEZ DURAN. CC 79.042</w:t>
      </w:r>
      <w:r w:rsidR="0029170C">
        <w:rPr>
          <w:rFonts w:ascii="Verdana" w:hAnsi="Verdana"/>
          <w:sz w:val="22"/>
          <w:szCs w:val="22"/>
        </w:rPr>
        <w:t xml:space="preserve">.735 </w:t>
      </w:r>
    </w:p>
    <w:p w14:paraId="5878BD40" w14:textId="18F52428" w:rsidR="0029170C" w:rsidRDefault="0029170C" w:rsidP="00A068E7">
      <w:pPr>
        <w:pStyle w:val="Prrafodelista"/>
        <w:numPr>
          <w:ilvl w:val="0"/>
          <w:numId w:val="4"/>
        </w:numPr>
        <w:rPr>
          <w:rFonts w:ascii="Verdana" w:hAnsi="Verdana"/>
          <w:sz w:val="22"/>
          <w:szCs w:val="22"/>
        </w:rPr>
      </w:pPr>
      <w:r>
        <w:rPr>
          <w:rFonts w:ascii="Verdana" w:hAnsi="Verdana"/>
          <w:sz w:val="22"/>
          <w:szCs w:val="22"/>
        </w:rPr>
        <w:t>JOHN JAIRO BULLA COMBITA. CC 1.032.363.</w:t>
      </w:r>
      <w:r w:rsidR="003F394E">
        <w:rPr>
          <w:rFonts w:ascii="Verdana" w:hAnsi="Verdana"/>
          <w:sz w:val="22"/>
          <w:szCs w:val="22"/>
        </w:rPr>
        <w:t>693</w:t>
      </w:r>
    </w:p>
    <w:p w14:paraId="3F0CA25A" w14:textId="31DE57D6" w:rsidR="009C5CBA" w:rsidRPr="008647D7" w:rsidRDefault="009C5CBA" w:rsidP="009C5CBA">
      <w:pPr>
        <w:pStyle w:val="Prrafodelista"/>
        <w:numPr>
          <w:ilvl w:val="0"/>
          <w:numId w:val="3"/>
        </w:numPr>
        <w:rPr>
          <w:rFonts w:ascii="Verdana" w:hAnsi="Verdana"/>
          <w:sz w:val="22"/>
          <w:szCs w:val="22"/>
        </w:rPr>
      </w:pPr>
      <w:proofErr w:type="gramStart"/>
      <w:r w:rsidRPr="009C5CBA">
        <w:rPr>
          <w:rFonts w:ascii="Verdana" w:hAnsi="Verdana"/>
          <w:sz w:val="22"/>
          <w:szCs w:val="22"/>
        </w:rPr>
        <w:t>Que</w:t>
      </w:r>
      <w:proofErr w:type="gramEnd"/>
      <w:r w:rsidRPr="009C5CBA">
        <w:rPr>
          <w:rFonts w:ascii="Verdana" w:hAnsi="Verdana"/>
          <w:sz w:val="22"/>
          <w:szCs w:val="22"/>
        </w:rPr>
        <w:t xml:space="preserve"> atendiendo la fecha de la convocatoria para la conformación del Comité de Convivencia Laboral de la Sede de la Dirección General, el día 13 de octubre de los corrientes, se llevó a cabo la votación y elección virtual de los representantes de los servidores públicos de la Sede de la </w:t>
      </w:r>
      <w:r w:rsidRPr="008647D7">
        <w:rPr>
          <w:rFonts w:ascii="Verdana" w:hAnsi="Verdana"/>
          <w:sz w:val="22"/>
          <w:szCs w:val="22"/>
        </w:rPr>
        <w:t>Dirección General ante el Comité de Convivencia Laboral.</w:t>
      </w:r>
    </w:p>
    <w:p w14:paraId="7A2EDAB8" w14:textId="77777777" w:rsidR="008647D7" w:rsidRPr="008647D7" w:rsidRDefault="008647D7" w:rsidP="008647D7">
      <w:pPr>
        <w:pStyle w:val="Prrafodelista"/>
        <w:numPr>
          <w:ilvl w:val="0"/>
          <w:numId w:val="3"/>
        </w:numPr>
        <w:spacing w:after="0"/>
        <w:ind w:right="-150"/>
        <w:textAlignment w:val="baseline"/>
        <w:rPr>
          <w:rFonts w:ascii="Segoe UI" w:eastAsia="Times New Roman" w:hAnsi="Segoe UI" w:cs="Segoe UI"/>
          <w:kern w:val="0"/>
          <w:sz w:val="22"/>
          <w:szCs w:val="22"/>
          <w:lang w:eastAsia="es-CO"/>
          <w14:ligatures w14:val="none"/>
        </w:rPr>
      </w:pPr>
      <w:proofErr w:type="gramStart"/>
      <w:r w:rsidRPr="008647D7">
        <w:rPr>
          <w:rFonts w:ascii="Verdana" w:eastAsia="Times New Roman" w:hAnsi="Verdana" w:cs="Segoe UI"/>
          <w:kern w:val="0"/>
          <w:sz w:val="22"/>
          <w:szCs w:val="22"/>
          <w:lang w:val="es-ES" w:eastAsia="es-CO"/>
          <w14:ligatures w14:val="none"/>
        </w:rPr>
        <w:t>Que</w:t>
      </w:r>
      <w:proofErr w:type="gramEnd"/>
      <w:r w:rsidRPr="008647D7">
        <w:rPr>
          <w:rFonts w:ascii="Verdana" w:eastAsia="Times New Roman" w:hAnsi="Verdana" w:cs="Segoe UI"/>
          <w:kern w:val="0"/>
          <w:sz w:val="22"/>
          <w:szCs w:val="22"/>
          <w:lang w:val="es-ES" w:eastAsia="es-CO"/>
          <w14:ligatures w14:val="none"/>
        </w:rPr>
        <w:t> concluida la jornada de votación virtual, de acuerdo con el acta de conteo de votos suscrita por el jurado de votación, se obtuvieron los siguientes resultados:</w:t>
      </w:r>
      <w:r w:rsidRPr="008647D7">
        <w:rPr>
          <w:rFonts w:ascii="Verdana" w:eastAsia="Times New Roman" w:hAnsi="Verdana" w:cs="Segoe UI"/>
          <w:kern w:val="0"/>
          <w:sz w:val="22"/>
          <w:szCs w:val="22"/>
          <w:lang w:eastAsia="es-CO"/>
          <w14:ligatures w14:val="none"/>
        </w:rPr>
        <w:t> </w:t>
      </w:r>
    </w:p>
    <w:p w14:paraId="7289AFC3" w14:textId="6DF2D98F" w:rsidR="008647D7" w:rsidRPr="008647D7" w:rsidRDefault="008647D7" w:rsidP="008647D7">
      <w:pPr>
        <w:spacing w:after="0"/>
        <w:ind w:left="360" w:right="-150"/>
        <w:jc w:val="center"/>
        <w:textAlignment w:val="baseline"/>
        <w:rPr>
          <w:rFonts w:ascii="Segoe UI" w:eastAsia="Times New Roman" w:hAnsi="Segoe UI" w:cs="Segoe UI"/>
          <w:kern w:val="0"/>
          <w:sz w:val="22"/>
          <w:szCs w:val="22"/>
          <w:lang w:eastAsia="es-CO"/>
          <w14:ligatures w14:val="non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7"/>
        <w:gridCol w:w="4440"/>
        <w:gridCol w:w="1965"/>
      </w:tblGrid>
      <w:tr w:rsidR="008647D7" w:rsidRPr="008647D7" w14:paraId="6FB9CECA" w14:textId="77777777" w:rsidTr="008647D7">
        <w:trPr>
          <w:trHeight w:val="315"/>
          <w:jc w:val="center"/>
        </w:trPr>
        <w:tc>
          <w:tcPr>
            <w:tcW w:w="1035" w:type="dxa"/>
            <w:tcBorders>
              <w:top w:val="single" w:sz="6" w:space="0" w:color="000000"/>
              <w:left w:val="single" w:sz="6" w:space="0" w:color="000000"/>
              <w:bottom w:val="single" w:sz="6" w:space="0" w:color="000000"/>
              <w:right w:val="single" w:sz="6" w:space="0" w:color="000000"/>
            </w:tcBorders>
            <w:vAlign w:val="center"/>
            <w:hideMark/>
          </w:tcPr>
          <w:p w14:paraId="2728D3D6" w14:textId="6A3A5B2C"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b/>
                <w:bCs/>
                <w:kern w:val="0"/>
                <w:sz w:val="22"/>
                <w:szCs w:val="22"/>
                <w:lang w:val="es-ES" w:eastAsia="es-CO"/>
                <w14:ligatures w14:val="none"/>
              </w:rPr>
              <w:t>NO.</w:t>
            </w:r>
          </w:p>
        </w:tc>
        <w:tc>
          <w:tcPr>
            <w:tcW w:w="4440" w:type="dxa"/>
            <w:tcBorders>
              <w:top w:val="single" w:sz="6" w:space="0" w:color="000000"/>
              <w:left w:val="single" w:sz="6" w:space="0" w:color="000000"/>
              <w:bottom w:val="single" w:sz="6" w:space="0" w:color="000000"/>
              <w:right w:val="single" w:sz="6" w:space="0" w:color="000000"/>
            </w:tcBorders>
            <w:vAlign w:val="center"/>
            <w:hideMark/>
          </w:tcPr>
          <w:p w14:paraId="6453864B" w14:textId="5BC88565"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b/>
                <w:bCs/>
                <w:kern w:val="0"/>
                <w:sz w:val="22"/>
                <w:szCs w:val="22"/>
                <w:lang w:val="es-ES" w:eastAsia="es-CO"/>
                <w14:ligatures w14:val="none"/>
              </w:rPr>
              <w:t>NOMBRE</w:t>
            </w:r>
          </w:p>
        </w:tc>
        <w:tc>
          <w:tcPr>
            <w:tcW w:w="1965" w:type="dxa"/>
            <w:tcBorders>
              <w:top w:val="single" w:sz="6" w:space="0" w:color="000000"/>
              <w:left w:val="single" w:sz="6" w:space="0" w:color="000000"/>
              <w:bottom w:val="single" w:sz="6" w:space="0" w:color="000000"/>
              <w:right w:val="single" w:sz="6" w:space="0" w:color="000000"/>
            </w:tcBorders>
            <w:vAlign w:val="center"/>
            <w:hideMark/>
          </w:tcPr>
          <w:p w14:paraId="7353C502" w14:textId="36B24870"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b/>
                <w:bCs/>
                <w:kern w:val="0"/>
                <w:sz w:val="22"/>
                <w:szCs w:val="22"/>
                <w:lang w:val="es-ES" w:eastAsia="es-CO"/>
                <w14:ligatures w14:val="none"/>
              </w:rPr>
              <w:t>NÚMERO DE VOTOS</w:t>
            </w:r>
          </w:p>
        </w:tc>
      </w:tr>
      <w:tr w:rsidR="008647D7" w:rsidRPr="008647D7" w14:paraId="5AC6098F" w14:textId="77777777" w:rsidTr="008647D7">
        <w:trPr>
          <w:trHeight w:val="210"/>
          <w:jc w:val="center"/>
        </w:trPr>
        <w:tc>
          <w:tcPr>
            <w:tcW w:w="1035" w:type="dxa"/>
            <w:tcBorders>
              <w:top w:val="single" w:sz="6" w:space="0" w:color="000000"/>
              <w:left w:val="single" w:sz="6" w:space="0" w:color="000000"/>
              <w:bottom w:val="single" w:sz="6" w:space="0" w:color="000000"/>
              <w:right w:val="single" w:sz="6" w:space="0" w:color="000000"/>
            </w:tcBorders>
            <w:vAlign w:val="center"/>
            <w:hideMark/>
          </w:tcPr>
          <w:p w14:paraId="463F1F55" w14:textId="7091B4DF"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val="es-ES" w:eastAsia="es-CO"/>
                <w14:ligatures w14:val="none"/>
              </w:rPr>
              <w:t>1</w:t>
            </w:r>
          </w:p>
        </w:tc>
        <w:tc>
          <w:tcPr>
            <w:tcW w:w="4440" w:type="dxa"/>
            <w:tcBorders>
              <w:top w:val="single" w:sz="6" w:space="0" w:color="000000"/>
              <w:left w:val="single" w:sz="6" w:space="0" w:color="000000"/>
              <w:bottom w:val="single" w:sz="6" w:space="0" w:color="000000"/>
              <w:right w:val="single" w:sz="6" w:space="0" w:color="000000"/>
            </w:tcBorders>
            <w:vAlign w:val="center"/>
            <w:hideMark/>
          </w:tcPr>
          <w:p w14:paraId="7EA1D4C5" w14:textId="20D4B418"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val="es-ES" w:eastAsia="es-CO"/>
                <w14:ligatures w14:val="none"/>
              </w:rPr>
              <w:t>MARIO HERNANDO FLÓREZ VANEGAS</w:t>
            </w:r>
          </w:p>
        </w:tc>
        <w:tc>
          <w:tcPr>
            <w:tcW w:w="1965" w:type="dxa"/>
            <w:tcBorders>
              <w:top w:val="single" w:sz="6" w:space="0" w:color="000000"/>
              <w:left w:val="single" w:sz="6" w:space="0" w:color="000000"/>
              <w:bottom w:val="single" w:sz="6" w:space="0" w:color="000000"/>
              <w:right w:val="single" w:sz="6" w:space="0" w:color="000000"/>
            </w:tcBorders>
            <w:vAlign w:val="center"/>
            <w:hideMark/>
          </w:tcPr>
          <w:p w14:paraId="216C820E" w14:textId="1B0DB18C"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eastAsia="es-CO"/>
                <w14:ligatures w14:val="none"/>
              </w:rPr>
              <w:t>31</w:t>
            </w:r>
          </w:p>
        </w:tc>
      </w:tr>
      <w:tr w:rsidR="008647D7" w:rsidRPr="008647D7" w14:paraId="0BC820E5" w14:textId="77777777" w:rsidTr="008647D7">
        <w:trPr>
          <w:trHeight w:val="180"/>
          <w:jc w:val="center"/>
        </w:trPr>
        <w:tc>
          <w:tcPr>
            <w:tcW w:w="1035" w:type="dxa"/>
            <w:tcBorders>
              <w:top w:val="single" w:sz="6" w:space="0" w:color="000000"/>
              <w:left w:val="single" w:sz="6" w:space="0" w:color="000000"/>
              <w:bottom w:val="single" w:sz="6" w:space="0" w:color="000000"/>
              <w:right w:val="single" w:sz="6" w:space="0" w:color="000000"/>
            </w:tcBorders>
            <w:vAlign w:val="center"/>
            <w:hideMark/>
          </w:tcPr>
          <w:p w14:paraId="7A698ECF" w14:textId="7760FD81"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val="es-ES" w:eastAsia="es-CO"/>
                <w14:ligatures w14:val="none"/>
              </w:rPr>
              <w:lastRenderedPageBreak/>
              <w:t>2.</w:t>
            </w:r>
          </w:p>
        </w:tc>
        <w:tc>
          <w:tcPr>
            <w:tcW w:w="4440" w:type="dxa"/>
            <w:tcBorders>
              <w:top w:val="single" w:sz="6" w:space="0" w:color="000000"/>
              <w:left w:val="single" w:sz="6" w:space="0" w:color="000000"/>
              <w:bottom w:val="single" w:sz="6" w:space="0" w:color="000000"/>
              <w:right w:val="single" w:sz="6" w:space="0" w:color="000000"/>
            </w:tcBorders>
            <w:vAlign w:val="center"/>
            <w:hideMark/>
          </w:tcPr>
          <w:p w14:paraId="3E988F90" w14:textId="5EEA4029"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val="es-ES" w:eastAsia="es-CO"/>
                <w14:ligatures w14:val="none"/>
              </w:rPr>
              <w:t>GINA ZULETDY YEPES SKINER</w:t>
            </w:r>
          </w:p>
        </w:tc>
        <w:tc>
          <w:tcPr>
            <w:tcW w:w="1965" w:type="dxa"/>
            <w:tcBorders>
              <w:top w:val="single" w:sz="6" w:space="0" w:color="000000"/>
              <w:left w:val="single" w:sz="6" w:space="0" w:color="000000"/>
              <w:bottom w:val="single" w:sz="6" w:space="0" w:color="000000"/>
              <w:right w:val="single" w:sz="6" w:space="0" w:color="000000"/>
            </w:tcBorders>
            <w:vAlign w:val="center"/>
            <w:hideMark/>
          </w:tcPr>
          <w:p w14:paraId="7DC86498" w14:textId="5BAC604D"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eastAsia="es-CO"/>
                <w14:ligatures w14:val="none"/>
              </w:rPr>
              <w:t>29</w:t>
            </w:r>
          </w:p>
        </w:tc>
      </w:tr>
      <w:tr w:rsidR="008647D7" w:rsidRPr="008647D7" w14:paraId="69188FCE" w14:textId="77777777" w:rsidTr="008647D7">
        <w:trPr>
          <w:trHeight w:val="180"/>
          <w:jc w:val="center"/>
        </w:trPr>
        <w:tc>
          <w:tcPr>
            <w:tcW w:w="1035" w:type="dxa"/>
            <w:tcBorders>
              <w:top w:val="single" w:sz="6" w:space="0" w:color="000000"/>
              <w:left w:val="single" w:sz="6" w:space="0" w:color="000000"/>
              <w:bottom w:val="single" w:sz="6" w:space="0" w:color="000000"/>
              <w:right w:val="single" w:sz="6" w:space="0" w:color="000000"/>
            </w:tcBorders>
            <w:vAlign w:val="center"/>
            <w:hideMark/>
          </w:tcPr>
          <w:p w14:paraId="17A2A678" w14:textId="7EF74A07"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val="es-ES" w:eastAsia="es-CO"/>
                <w14:ligatures w14:val="none"/>
              </w:rPr>
              <w:t>3.</w:t>
            </w:r>
          </w:p>
        </w:tc>
        <w:tc>
          <w:tcPr>
            <w:tcW w:w="4440" w:type="dxa"/>
            <w:tcBorders>
              <w:top w:val="single" w:sz="6" w:space="0" w:color="000000"/>
              <w:left w:val="single" w:sz="6" w:space="0" w:color="000000"/>
              <w:bottom w:val="single" w:sz="6" w:space="0" w:color="000000"/>
              <w:right w:val="single" w:sz="6" w:space="0" w:color="000000"/>
            </w:tcBorders>
            <w:vAlign w:val="center"/>
            <w:hideMark/>
          </w:tcPr>
          <w:p w14:paraId="55D902B0" w14:textId="6FDFE97F"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val="es-ES" w:eastAsia="es-CO"/>
                <w14:ligatures w14:val="none"/>
              </w:rPr>
              <w:t>LEIDY MIYET PEREZ OSORIO</w:t>
            </w:r>
          </w:p>
        </w:tc>
        <w:tc>
          <w:tcPr>
            <w:tcW w:w="1965" w:type="dxa"/>
            <w:tcBorders>
              <w:top w:val="single" w:sz="6" w:space="0" w:color="000000"/>
              <w:left w:val="single" w:sz="6" w:space="0" w:color="000000"/>
              <w:bottom w:val="single" w:sz="6" w:space="0" w:color="000000"/>
              <w:right w:val="single" w:sz="6" w:space="0" w:color="000000"/>
            </w:tcBorders>
            <w:vAlign w:val="center"/>
            <w:hideMark/>
          </w:tcPr>
          <w:p w14:paraId="01490384" w14:textId="7C0DB02F"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eastAsia="es-CO"/>
                <w14:ligatures w14:val="none"/>
              </w:rPr>
              <w:t>22</w:t>
            </w:r>
          </w:p>
        </w:tc>
      </w:tr>
      <w:tr w:rsidR="008647D7" w:rsidRPr="008647D7" w14:paraId="2528D3BB" w14:textId="77777777" w:rsidTr="008647D7">
        <w:trPr>
          <w:trHeight w:val="255"/>
          <w:jc w:val="center"/>
        </w:trPr>
        <w:tc>
          <w:tcPr>
            <w:tcW w:w="1035" w:type="dxa"/>
            <w:tcBorders>
              <w:top w:val="single" w:sz="6" w:space="0" w:color="000000"/>
              <w:left w:val="single" w:sz="6" w:space="0" w:color="000000"/>
              <w:bottom w:val="single" w:sz="6" w:space="0" w:color="000000"/>
              <w:right w:val="single" w:sz="6" w:space="0" w:color="000000"/>
            </w:tcBorders>
            <w:vAlign w:val="center"/>
            <w:hideMark/>
          </w:tcPr>
          <w:p w14:paraId="6E51BC28" w14:textId="342CEF70"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val="es-ES" w:eastAsia="es-CO"/>
                <w14:ligatures w14:val="none"/>
              </w:rPr>
              <w:t>4.</w:t>
            </w:r>
          </w:p>
        </w:tc>
        <w:tc>
          <w:tcPr>
            <w:tcW w:w="4440" w:type="dxa"/>
            <w:tcBorders>
              <w:top w:val="single" w:sz="6" w:space="0" w:color="000000"/>
              <w:left w:val="single" w:sz="6" w:space="0" w:color="000000"/>
              <w:bottom w:val="single" w:sz="6" w:space="0" w:color="000000"/>
              <w:right w:val="single" w:sz="6" w:space="0" w:color="000000"/>
            </w:tcBorders>
            <w:vAlign w:val="center"/>
            <w:hideMark/>
          </w:tcPr>
          <w:p w14:paraId="50AC4C88" w14:textId="3AEA78F9"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val="es-ES" w:eastAsia="es-CO"/>
                <w14:ligatures w14:val="none"/>
              </w:rPr>
              <w:t>EDGAR PÁEZ DURAN</w:t>
            </w:r>
          </w:p>
        </w:tc>
        <w:tc>
          <w:tcPr>
            <w:tcW w:w="1965" w:type="dxa"/>
            <w:tcBorders>
              <w:top w:val="single" w:sz="6" w:space="0" w:color="000000"/>
              <w:left w:val="single" w:sz="6" w:space="0" w:color="000000"/>
              <w:bottom w:val="single" w:sz="6" w:space="0" w:color="000000"/>
              <w:right w:val="single" w:sz="6" w:space="0" w:color="000000"/>
            </w:tcBorders>
            <w:vAlign w:val="center"/>
            <w:hideMark/>
          </w:tcPr>
          <w:p w14:paraId="7D00DCF0" w14:textId="502FC7C4"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eastAsia="es-CO"/>
                <w14:ligatures w14:val="none"/>
              </w:rPr>
              <w:t>16</w:t>
            </w:r>
          </w:p>
        </w:tc>
      </w:tr>
      <w:tr w:rsidR="008647D7" w:rsidRPr="008647D7" w14:paraId="05FBFBA1" w14:textId="77777777" w:rsidTr="008647D7">
        <w:trPr>
          <w:trHeight w:val="225"/>
          <w:jc w:val="center"/>
        </w:trPr>
        <w:tc>
          <w:tcPr>
            <w:tcW w:w="1035" w:type="dxa"/>
            <w:tcBorders>
              <w:top w:val="single" w:sz="6" w:space="0" w:color="000000"/>
              <w:left w:val="single" w:sz="6" w:space="0" w:color="000000"/>
              <w:bottom w:val="single" w:sz="6" w:space="0" w:color="000000"/>
              <w:right w:val="single" w:sz="6" w:space="0" w:color="000000"/>
            </w:tcBorders>
            <w:vAlign w:val="center"/>
            <w:hideMark/>
          </w:tcPr>
          <w:p w14:paraId="2A4F802E" w14:textId="540F85D7"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val="es-ES" w:eastAsia="es-CO"/>
                <w14:ligatures w14:val="none"/>
              </w:rPr>
              <w:t>5.</w:t>
            </w:r>
          </w:p>
        </w:tc>
        <w:tc>
          <w:tcPr>
            <w:tcW w:w="4440" w:type="dxa"/>
            <w:tcBorders>
              <w:top w:val="single" w:sz="6" w:space="0" w:color="000000"/>
              <w:left w:val="single" w:sz="6" w:space="0" w:color="000000"/>
              <w:bottom w:val="single" w:sz="6" w:space="0" w:color="000000"/>
              <w:right w:val="single" w:sz="6" w:space="0" w:color="000000"/>
            </w:tcBorders>
            <w:vAlign w:val="center"/>
            <w:hideMark/>
          </w:tcPr>
          <w:p w14:paraId="46F536FB" w14:textId="728E6890"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val="es-ES" w:eastAsia="es-CO"/>
                <w14:ligatures w14:val="none"/>
              </w:rPr>
              <w:t>JOHN JAIRO BULLA COMBITA</w:t>
            </w:r>
          </w:p>
        </w:tc>
        <w:tc>
          <w:tcPr>
            <w:tcW w:w="1965" w:type="dxa"/>
            <w:tcBorders>
              <w:top w:val="single" w:sz="6" w:space="0" w:color="000000"/>
              <w:left w:val="single" w:sz="6" w:space="0" w:color="000000"/>
              <w:bottom w:val="single" w:sz="6" w:space="0" w:color="000000"/>
              <w:right w:val="single" w:sz="6" w:space="0" w:color="000000"/>
            </w:tcBorders>
            <w:vAlign w:val="center"/>
            <w:hideMark/>
          </w:tcPr>
          <w:p w14:paraId="484B25F5" w14:textId="5C4E45E3"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eastAsia="es-CO"/>
                <w14:ligatures w14:val="none"/>
              </w:rPr>
              <w:t>6</w:t>
            </w:r>
          </w:p>
        </w:tc>
      </w:tr>
      <w:tr w:rsidR="008647D7" w:rsidRPr="008647D7" w14:paraId="28A9E47E" w14:textId="77777777" w:rsidTr="008647D7">
        <w:trPr>
          <w:trHeight w:val="270"/>
          <w:jc w:val="center"/>
        </w:trPr>
        <w:tc>
          <w:tcPr>
            <w:tcW w:w="1035" w:type="dxa"/>
            <w:tcBorders>
              <w:top w:val="single" w:sz="6" w:space="0" w:color="000000"/>
              <w:left w:val="single" w:sz="6" w:space="0" w:color="000000"/>
              <w:bottom w:val="single" w:sz="6" w:space="0" w:color="000000"/>
              <w:right w:val="single" w:sz="6" w:space="0" w:color="000000"/>
            </w:tcBorders>
            <w:vAlign w:val="center"/>
            <w:hideMark/>
          </w:tcPr>
          <w:p w14:paraId="2EF0F7E0" w14:textId="41DBECC2"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val="es-ES" w:eastAsia="es-CO"/>
                <w14:ligatures w14:val="none"/>
              </w:rPr>
              <w:t>7.</w:t>
            </w:r>
          </w:p>
        </w:tc>
        <w:tc>
          <w:tcPr>
            <w:tcW w:w="4440" w:type="dxa"/>
            <w:tcBorders>
              <w:top w:val="single" w:sz="6" w:space="0" w:color="000000"/>
              <w:left w:val="single" w:sz="6" w:space="0" w:color="000000"/>
              <w:bottom w:val="single" w:sz="6" w:space="0" w:color="000000"/>
              <w:right w:val="single" w:sz="6" w:space="0" w:color="000000"/>
            </w:tcBorders>
            <w:vAlign w:val="center"/>
            <w:hideMark/>
          </w:tcPr>
          <w:p w14:paraId="6D62228A" w14:textId="2D169968"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val="es-ES" w:eastAsia="es-CO"/>
                <w14:ligatures w14:val="none"/>
              </w:rPr>
              <w:t>VOTOS EN BLANCO</w:t>
            </w:r>
          </w:p>
        </w:tc>
        <w:tc>
          <w:tcPr>
            <w:tcW w:w="1965" w:type="dxa"/>
            <w:tcBorders>
              <w:top w:val="single" w:sz="6" w:space="0" w:color="000000"/>
              <w:left w:val="single" w:sz="6" w:space="0" w:color="000000"/>
              <w:bottom w:val="single" w:sz="6" w:space="0" w:color="000000"/>
              <w:right w:val="single" w:sz="6" w:space="0" w:color="000000"/>
            </w:tcBorders>
            <w:vAlign w:val="center"/>
            <w:hideMark/>
          </w:tcPr>
          <w:p w14:paraId="68D403FD" w14:textId="5707F6D5"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val="es-ES" w:eastAsia="es-CO"/>
                <w14:ligatures w14:val="none"/>
              </w:rPr>
              <w:t>2</w:t>
            </w:r>
          </w:p>
        </w:tc>
      </w:tr>
      <w:tr w:rsidR="008647D7" w:rsidRPr="008647D7" w14:paraId="3FB0836B" w14:textId="77777777" w:rsidTr="008647D7">
        <w:trPr>
          <w:trHeight w:val="270"/>
          <w:jc w:val="center"/>
        </w:trPr>
        <w:tc>
          <w:tcPr>
            <w:tcW w:w="1035" w:type="dxa"/>
            <w:tcBorders>
              <w:top w:val="single" w:sz="6" w:space="0" w:color="000000"/>
              <w:left w:val="single" w:sz="6" w:space="0" w:color="000000"/>
              <w:bottom w:val="single" w:sz="6" w:space="0" w:color="000000"/>
              <w:right w:val="single" w:sz="6" w:space="0" w:color="000000"/>
            </w:tcBorders>
            <w:vAlign w:val="center"/>
            <w:hideMark/>
          </w:tcPr>
          <w:p w14:paraId="18AF789D" w14:textId="6795313A"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val="es-ES" w:eastAsia="es-CO"/>
                <w14:ligatures w14:val="none"/>
              </w:rPr>
              <w:t>8.</w:t>
            </w:r>
          </w:p>
        </w:tc>
        <w:tc>
          <w:tcPr>
            <w:tcW w:w="4440" w:type="dxa"/>
            <w:tcBorders>
              <w:top w:val="single" w:sz="6" w:space="0" w:color="000000"/>
              <w:left w:val="single" w:sz="6" w:space="0" w:color="000000"/>
              <w:bottom w:val="single" w:sz="6" w:space="0" w:color="000000"/>
              <w:right w:val="single" w:sz="6" w:space="0" w:color="000000"/>
            </w:tcBorders>
            <w:vAlign w:val="center"/>
            <w:hideMark/>
          </w:tcPr>
          <w:p w14:paraId="1EB2D36A" w14:textId="618E74D4"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val="es-ES" w:eastAsia="es-CO"/>
                <w14:ligatures w14:val="none"/>
              </w:rPr>
              <w:t>VOTOS NULOS</w:t>
            </w:r>
          </w:p>
        </w:tc>
        <w:tc>
          <w:tcPr>
            <w:tcW w:w="1965" w:type="dxa"/>
            <w:tcBorders>
              <w:top w:val="single" w:sz="6" w:space="0" w:color="000000"/>
              <w:left w:val="single" w:sz="6" w:space="0" w:color="000000"/>
              <w:bottom w:val="single" w:sz="6" w:space="0" w:color="000000"/>
              <w:right w:val="single" w:sz="6" w:space="0" w:color="000000"/>
            </w:tcBorders>
            <w:vAlign w:val="center"/>
            <w:hideMark/>
          </w:tcPr>
          <w:p w14:paraId="4D653BB6" w14:textId="3124E566"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kern w:val="0"/>
                <w:sz w:val="22"/>
                <w:szCs w:val="22"/>
                <w:lang w:val="es-ES" w:eastAsia="es-CO"/>
                <w14:ligatures w14:val="none"/>
              </w:rPr>
              <w:t>0</w:t>
            </w:r>
          </w:p>
        </w:tc>
      </w:tr>
      <w:tr w:rsidR="008647D7" w:rsidRPr="008647D7" w14:paraId="7D5EE8C2" w14:textId="77777777" w:rsidTr="008647D7">
        <w:trPr>
          <w:trHeight w:val="315"/>
          <w:jc w:val="center"/>
        </w:trPr>
        <w:tc>
          <w:tcPr>
            <w:tcW w:w="1035" w:type="dxa"/>
            <w:tcBorders>
              <w:top w:val="single" w:sz="6" w:space="0" w:color="000000"/>
              <w:left w:val="single" w:sz="6" w:space="0" w:color="000000"/>
              <w:bottom w:val="single" w:sz="6" w:space="0" w:color="000000"/>
              <w:right w:val="single" w:sz="6" w:space="0" w:color="000000"/>
            </w:tcBorders>
            <w:vAlign w:val="center"/>
            <w:hideMark/>
          </w:tcPr>
          <w:p w14:paraId="71AE7297" w14:textId="6F81419C"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proofErr w:type="gramStart"/>
            <w:r w:rsidRPr="008647D7">
              <w:rPr>
                <w:rFonts w:ascii="Verdana" w:eastAsia="Times New Roman" w:hAnsi="Verdana" w:cs="Times New Roman"/>
                <w:b/>
                <w:bCs/>
                <w:kern w:val="0"/>
                <w:sz w:val="22"/>
                <w:szCs w:val="22"/>
                <w:lang w:val="es-ES" w:eastAsia="es-CO"/>
                <w14:ligatures w14:val="none"/>
              </w:rPr>
              <w:t>TOTAL</w:t>
            </w:r>
            <w:proofErr w:type="gramEnd"/>
            <w:r w:rsidRPr="008647D7">
              <w:rPr>
                <w:rFonts w:ascii="Verdana" w:eastAsia="Times New Roman" w:hAnsi="Verdana" w:cs="Times New Roman"/>
                <w:b/>
                <w:bCs/>
                <w:kern w:val="0"/>
                <w:sz w:val="22"/>
                <w:szCs w:val="22"/>
                <w:lang w:val="es-ES" w:eastAsia="es-CO"/>
                <w14:ligatures w14:val="none"/>
              </w:rPr>
              <w:t> VOTOS</w:t>
            </w:r>
          </w:p>
        </w:tc>
        <w:tc>
          <w:tcPr>
            <w:tcW w:w="4440" w:type="dxa"/>
            <w:tcBorders>
              <w:top w:val="single" w:sz="6" w:space="0" w:color="000000"/>
              <w:left w:val="single" w:sz="6" w:space="0" w:color="000000"/>
              <w:bottom w:val="single" w:sz="6" w:space="0" w:color="000000"/>
              <w:right w:val="single" w:sz="6" w:space="0" w:color="000000"/>
            </w:tcBorders>
            <w:vAlign w:val="center"/>
            <w:hideMark/>
          </w:tcPr>
          <w:p w14:paraId="4C6EF913" w14:textId="4CBEE96B"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p>
        </w:tc>
        <w:tc>
          <w:tcPr>
            <w:tcW w:w="1965" w:type="dxa"/>
            <w:tcBorders>
              <w:top w:val="single" w:sz="6" w:space="0" w:color="000000"/>
              <w:left w:val="single" w:sz="6" w:space="0" w:color="000000"/>
              <w:bottom w:val="single" w:sz="6" w:space="0" w:color="000000"/>
              <w:right w:val="single" w:sz="6" w:space="0" w:color="000000"/>
            </w:tcBorders>
            <w:vAlign w:val="center"/>
            <w:hideMark/>
          </w:tcPr>
          <w:p w14:paraId="58562F3C" w14:textId="530D8F80" w:rsidR="008647D7" w:rsidRPr="008647D7" w:rsidRDefault="008647D7" w:rsidP="008647D7">
            <w:pPr>
              <w:spacing w:after="0"/>
              <w:ind w:right="-60"/>
              <w:jc w:val="center"/>
              <w:textAlignment w:val="baseline"/>
              <w:rPr>
                <w:rFonts w:ascii="Times New Roman" w:eastAsia="Times New Roman" w:hAnsi="Times New Roman" w:cs="Times New Roman"/>
                <w:kern w:val="0"/>
                <w:sz w:val="22"/>
                <w:szCs w:val="22"/>
                <w:lang w:eastAsia="es-CO"/>
                <w14:ligatures w14:val="none"/>
              </w:rPr>
            </w:pPr>
            <w:r w:rsidRPr="008647D7">
              <w:rPr>
                <w:rFonts w:ascii="Verdana" w:eastAsia="Times New Roman" w:hAnsi="Verdana" w:cs="Times New Roman"/>
                <w:b/>
                <w:bCs/>
                <w:kern w:val="0"/>
                <w:sz w:val="22"/>
                <w:szCs w:val="22"/>
                <w:lang w:val="es-ES" w:eastAsia="es-CO"/>
                <w14:ligatures w14:val="none"/>
              </w:rPr>
              <w:t>106</w:t>
            </w:r>
          </w:p>
        </w:tc>
      </w:tr>
    </w:tbl>
    <w:p w14:paraId="7E3B4F89" w14:textId="26744F37" w:rsidR="008647D7" w:rsidRDefault="00B84790" w:rsidP="008647D7">
      <w:pPr>
        <w:pStyle w:val="Prrafodelista"/>
        <w:numPr>
          <w:ilvl w:val="0"/>
          <w:numId w:val="3"/>
        </w:numPr>
        <w:rPr>
          <w:rFonts w:ascii="Verdana" w:hAnsi="Verdana"/>
          <w:sz w:val="22"/>
          <w:szCs w:val="22"/>
        </w:rPr>
      </w:pPr>
      <w:r>
        <w:rPr>
          <w:rFonts w:ascii="Verdana" w:hAnsi="Verdana"/>
          <w:sz w:val="22"/>
          <w:szCs w:val="22"/>
        </w:rPr>
        <w:t xml:space="preserve"> </w:t>
      </w:r>
      <w:r w:rsidRPr="00B84790">
        <w:rPr>
          <w:rFonts w:ascii="Verdana" w:hAnsi="Verdana"/>
          <w:sz w:val="22"/>
          <w:szCs w:val="22"/>
        </w:rPr>
        <w:t>Que conforme con los resultados del mencionado proceso de elección, fueron elegidos como representantes principales de los servidores públicos de la Sede de la Dirección General ante el Comité de Convivencia Laboral de la Sede de la Dirección General del ICBF, los candidatos que obtuvieron la primera y la segunda votación más alta y, como representantes suplentes, los dos candidatos que continúan en estricto orden de votación, dando cumplimiento así a lo previsto en el artículo 33 de la Resolución 13587 de 2017 del ICBF.</w:t>
      </w:r>
    </w:p>
    <w:p w14:paraId="7240E00C" w14:textId="2E065ACE" w:rsidR="00B84790" w:rsidRDefault="002319F9" w:rsidP="008647D7">
      <w:pPr>
        <w:pStyle w:val="Prrafodelista"/>
        <w:numPr>
          <w:ilvl w:val="0"/>
          <w:numId w:val="3"/>
        </w:numPr>
        <w:rPr>
          <w:rFonts w:ascii="Verdana" w:hAnsi="Verdana"/>
          <w:sz w:val="22"/>
          <w:szCs w:val="22"/>
        </w:rPr>
      </w:pPr>
      <w:r>
        <w:rPr>
          <w:rFonts w:ascii="Verdana" w:hAnsi="Verdana"/>
          <w:sz w:val="22"/>
          <w:szCs w:val="22"/>
        </w:rPr>
        <w:t xml:space="preserve"> </w:t>
      </w:r>
      <w:r w:rsidRPr="002319F9">
        <w:rPr>
          <w:rFonts w:ascii="Verdana" w:hAnsi="Verdana"/>
          <w:sz w:val="22"/>
          <w:szCs w:val="22"/>
        </w:rPr>
        <w:t>Que, por otra parte, a través de memorando No. 202312100000117953 del 27 de septiembre de 2023, la Directora General designó como representantes del empleador ante el Comité de Convivencia Laboral de la Sede de la Dirección General del ICBF a las servidoras públicas: LÍA DEL SOCORRO MANOTAS GONZÁLEZ identificada con c.c. 51.903.341 y MARTHA YOLANDA CIRO FLÓREZ identificada con c.c. 39.698.378, como principales y, como representantes suplentes a: MARÍA TERESA SALAMANCA ACOSTA identificada con c.c. 51.809.990 y MÓNICA ROA ROJAS identificada con c.c. 51.958.189.</w:t>
      </w:r>
    </w:p>
    <w:p w14:paraId="44DCDE11" w14:textId="2BB24CC8" w:rsidR="004733EB" w:rsidRDefault="004733EB" w:rsidP="008647D7">
      <w:pPr>
        <w:pStyle w:val="Prrafodelista"/>
        <w:numPr>
          <w:ilvl w:val="0"/>
          <w:numId w:val="3"/>
        </w:numPr>
        <w:rPr>
          <w:rFonts w:ascii="Verdana" w:hAnsi="Verdana"/>
          <w:sz w:val="22"/>
          <w:szCs w:val="22"/>
        </w:rPr>
      </w:pPr>
      <w:r>
        <w:rPr>
          <w:rFonts w:ascii="Verdana" w:hAnsi="Verdana"/>
          <w:sz w:val="22"/>
          <w:szCs w:val="22"/>
        </w:rPr>
        <w:t xml:space="preserve">En merito de lo expuesto, </w:t>
      </w:r>
    </w:p>
    <w:p w14:paraId="75258728" w14:textId="3A0A3B46" w:rsidR="004733EB" w:rsidRPr="004733EB" w:rsidRDefault="004733EB" w:rsidP="004733EB">
      <w:pPr>
        <w:jc w:val="center"/>
        <w:rPr>
          <w:rFonts w:ascii="Verdana" w:hAnsi="Verdana"/>
          <w:b/>
          <w:bCs/>
          <w:sz w:val="22"/>
          <w:szCs w:val="22"/>
        </w:rPr>
      </w:pPr>
      <w:r w:rsidRPr="004733EB">
        <w:rPr>
          <w:rFonts w:ascii="Verdana" w:hAnsi="Verdana"/>
          <w:b/>
          <w:bCs/>
          <w:sz w:val="22"/>
          <w:szCs w:val="22"/>
        </w:rPr>
        <w:t>RESUELVE:</w:t>
      </w:r>
    </w:p>
    <w:p w14:paraId="1FA5E335" w14:textId="23117882" w:rsidR="004733EB" w:rsidRDefault="004733EB" w:rsidP="004733EB">
      <w:pPr>
        <w:rPr>
          <w:rFonts w:ascii="Verdana" w:hAnsi="Verdana"/>
          <w:sz w:val="22"/>
          <w:szCs w:val="22"/>
        </w:rPr>
      </w:pPr>
      <w:r>
        <w:rPr>
          <w:rFonts w:ascii="Verdana" w:hAnsi="Verdana"/>
          <w:b/>
          <w:bCs/>
          <w:sz w:val="22"/>
          <w:szCs w:val="22"/>
        </w:rPr>
        <w:t>ARTICULO 1o.</w:t>
      </w:r>
      <w:r w:rsidR="004F550D">
        <w:rPr>
          <w:rFonts w:ascii="Verdana" w:hAnsi="Verdana"/>
          <w:sz w:val="22"/>
          <w:szCs w:val="22"/>
        </w:rPr>
        <w:t xml:space="preserve"> RECONOCER a los siguientes servidores públicos como representantes de los servidores públicos de la Sede de la Dirección General del ICBF ante el Comité de Convivencia Laboral de esta sede: MARIO HERNANDO FLÓREZ VANEGAS, GINA ZULETDY YEPES SKINER, LEIDY MIYET PÉREZ OSORIO</w:t>
      </w:r>
      <w:r w:rsidR="00906094">
        <w:rPr>
          <w:rFonts w:ascii="Verdana" w:hAnsi="Verdana"/>
          <w:sz w:val="22"/>
          <w:szCs w:val="22"/>
        </w:rPr>
        <w:t xml:space="preserve">, EDGAR PÁEZ DURAN, quienes fueron elegidos por votación virtual realizada el día 13 de octubre de </w:t>
      </w:r>
      <w:r w:rsidR="00401AB1">
        <w:rPr>
          <w:rFonts w:ascii="Verdana" w:hAnsi="Verdana"/>
          <w:sz w:val="22"/>
          <w:szCs w:val="22"/>
        </w:rPr>
        <w:t>&lt;Sic&gt;</w:t>
      </w:r>
      <w:r w:rsidR="00095A58">
        <w:rPr>
          <w:rFonts w:ascii="Verdana" w:hAnsi="Verdana"/>
          <w:sz w:val="22"/>
          <w:szCs w:val="22"/>
        </w:rPr>
        <w:t>023</w:t>
      </w:r>
      <w:r w:rsidR="00F35EBE">
        <w:rPr>
          <w:rFonts w:ascii="Verdana" w:hAnsi="Verdana"/>
          <w:sz w:val="22"/>
          <w:szCs w:val="22"/>
        </w:rPr>
        <w:t xml:space="preserve">, para el periodo 2023-2025, y que actuarán como miembros principales y miembros suplentes de este organismo. </w:t>
      </w:r>
    </w:p>
    <w:p w14:paraId="25297C9D" w14:textId="2E503F5C" w:rsidR="00F35EBE" w:rsidRDefault="00F35EBE" w:rsidP="004733EB">
      <w:pPr>
        <w:rPr>
          <w:rFonts w:ascii="Verdana" w:hAnsi="Verdana"/>
          <w:sz w:val="22"/>
          <w:szCs w:val="22"/>
        </w:rPr>
      </w:pPr>
      <w:r w:rsidRPr="00590D14">
        <w:rPr>
          <w:rFonts w:ascii="Verdana" w:hAnsi="Verdana"/>
          <w:b/>
          <w:bCs/>
          <w:sz w:val="22"/>
          <w:szCs w:val="22"/>
        </w:rPr>
        <w:t xml:space="preserve">ARTICULO 2o. </w:t>
      </w:r>
      <w:r w:rsidR="00590D14">
        <w:rPr>
          <w:rFonts w:ascii="Verdana" w:hAnsi="Verdana"/>
          <w:sz w:val="22"/>
          <w:szCs w:val="22"/>
        </w:rPr>
        <w:t xml:space="preserve">CONFORMAR el Comité de Convivencia Laboral de la Sede la Dirección General </w:t>
      </w:r>
      <w:r w:rsidR="00794D5B">
        <w:rPr>
          <w:rFonts w:ascii="Verdana" w:hAnsi="Verdana"/>
          <w:sz w:val="22"/>
          <w:szCs w:val="22"/>
        </w:rPr>
        <w:t xml:space="preserve">del ICBF para el periodo 2023-2025, el cual estará integrado por los representantes designados por la Dirección General del ICBF, en su calidad de empleador y por los servidores públicos </w:t>
      </w:r>
      <w:r w:rsidR="001F0247">
        <w:rPr>
          <w:rFonts w:ascii="Verdana" w:hAnsi="Verdana"/>
          <w:sz w:val="22"/>
          <w:szCs w:val="22"/>
        </w:rPr>
        <w:t xml:space="preserve">elegidos por votación virtual en dicha sede y así: </w:t>
      </w:r>
    </w:p>
    <w:tbl>
      <w:tblPr>
        <w:tblStyle w:val="Tablaconcuadrcula"/>
        <w:tblW w:w="0" w:type="auto"/>
        <w:tblLook w:val="04A0" w:firstRow="1" w:lastRow="0" w:firstColumn="1" w:lastColumn="0" w:noHBand="0" w:noVBand="1"/>
      </w:tblPr>
      <w:tblGrid>
        <w:gridCol w:w="2942"/>
        <w:gridCol w:w="2943"/>
        <w:gridCol w:w="2943"/>
      </w:tblGrid>
      <w:tr w:rsidR="009F2A12" w14:paraId="5FCEBBB3" w14:textId="77777777" w:rsidTr="009F2A12">
        <w:tc>
          <w:tcPr>
            <w:tcW w:w="2942" w:type="dxa"/>
          </w:tcPr>
          <w:p w14:paraId="5E8556F4" w14:textId="12520C07" w:rsidR="009F2A12" w:rsidRPr="009F2A12" w:rsidRDefault="009F2A12" w:rsidP="004733EB">
            <w:pPr>
              <w:rPr>
                <w:rFonts w:ascii="Verdana" w:hAnsi="Verdana"/>
                <w:b/>
                <w:bCs/>
                <w:sz w:val="22"/>
                <w:szCs w:val="22"/>
              </w:rPr>
            </w:pPr>
            <w:r w:rsidRPr="009F2A12">
              <w:rPr>
                <w:rFonts w:ascii="Verdana" w:hAnsi="Verdana"/>
                <w:b/>
                <w:bCs/>
                <w:sz w:val="22"/>
                <w:szCs w:val="22"/>
              </w:rPr>
              <w:t>NOMBRE REPRESENTANTES DE LA GENERAL</w:t>
            </w:r>
          </w:p>
        </w:tc>
        <w:tc>
          <w:tcPr>
            <w:tcW w:w="2943" w:type="dxa"/>
          </w:tcPr>
          <w:p w14:paraId="3C65AE79" w14:textId="5C62FB07" w:rsidR="009F2A12" w:rsidRPr="009F2A12" w:rsidRDefault="009F2A12" w:rsidP="004733EB">
            <w:pPr>
              <w:rPr>
                <w:rFonts w:ascii="Verdana" w:hAnsi="Verdana"/>
                <w:b/>
                <w:bCs/>
                <w:sz w:val="22"/>
                <w:szCs w:val="22"/>
              </w:rPr>
            </w:pPr>
            <w:r w:rsidRPr="009F2A12">
              <w:rPr>
                <w:rFonts w:ascii="Verdana" w:hAnsi="Verdana"/>
                <w:b/>
                <w:bCs/>
                <w:sz w:val="22"/>
                <w:szCs w:val="22"/>
              </w:rPr>
              <w:t>CÉDULA DE CIUDADANÍA</w:t>
            </w:r>
          </w:p>
        </w:tc>
        <w:tc>
          <w:tcPr>
            <w:tcW w:w="2943" w:type="dxa"/>
          </w:tcPr>
          <w:p w14:paraId="23E33E03" w14:textId="7D281489" w:rsidR="009F2A12" w:rsidRPr="009F2A12" w:rsidRDefault="009F2A12" w:rsidP="004733EB">
            <w:pPr>
              <w:rPr>
                <w:rFonts w:ascii="Verdana" w:hAnsi="Verdana"/>
                <w:b/>
                <w:bCs/>
                <w:sz w:val="22"/>
                <w:szCs w:val="22"/>
              </w:rPr>
            </w:pPr>
            <w:r w:rsidRPr="009F2A12">
              <w:rPr>
                <w:rFonts w:ascii="Verdana" w:hAnsi="Verdana"/>
                <w:b/>
                <w:bCs/>
                <w:sz w:val="22"/>
                <w:szCs w:val="22"/>
              </w:rPr>
              <w:t>CALIDAD QUE OSTENTAN ANTE EL COMITÉ</w:t>
            </w:r>
          </w:p>
        </w:tc>
      </w:tr>
      <w:tr w:rsidR="009F2A12" w14:paraId="2D07789E" w14:textId="77777777" w:rsidTr="009F2A12">
        <w:tc>
          <w:tcPr>
            <w:tcW w:w="2942" w:type="dxa"/>
          </w:tcPr>
          <w:p w14:paraId="1903AE3A" w14:textId="6C793AAA" w:rsidR="007868A4" w:rsidRDefault="009F2A12" w:rsidP="004733EB">
            <w:pPr>
              <w:rPr>
                <w:rFonts w:ascii="Verdana" w:hAnsi="Verdana"/>
                <w:sz w:val="22"/>
                <w:szCs w:val="22"/>
              </w:rPr>
            </w:pPr>
            <w:r>
              <w:rPr>
                <w:rFonts w:ascii="Verdana" w:hAnsi="Verdana"/>
                <w:sz w:val="22"/>
                <w:szCs w:val="22"/>
              </w:rPr>
              <w:t>LÍA DEL SOCORRO MANOTAS GONZÁLE</w:t>
            </w:r>
            <w:r w:rsidR="007868A4">
              <w:rPr>
                <w:rFonts w:ascii="Verdana" w:hAnsi="Verdana"/>
                <w:sz w:val="22"/>
                <w:szCs w:val="22"/>
              </w:rPr>
              <w:t xml:space="preserve">Z </w:t>
            </w:r>
          </w:p>
        </w:tc>
        <w:tc>
          <w:tcPr>
            <w:tcW w:w="2943" w:type="dxa"/>
          </w:tcPr>
          <w:p w14:paraId="3D3FA5A3" w14:textId="302C6C90" w:rsidR="009F2A12" w:rsidRDefault="00D86BA7" w:rsidP="004733EB">
            <w:pPr>
              <w:rPr>
                <w:rFonts w:ascii="Verdana" w:hAnsi="Verdana"/>
                <w:sz w:val="22"/>
                <w:szCs w:val="22"/>
              </w:rPr>
            </w:pPr>
            <w:r>
              <w:rPr>
                <w:rFonts w:ascii="Verdana" w:hAnsi="Verdana"/>
                <w:sz w:val="22"/>
                <w:szCs w:val="22"/>
              </w:rPr>
              <w:t>51.903.341</w:t>
            </w:r>
          </w:p>
        </w:tc>
        <w:tc>
          <w:tcPr>
            <w:tcW w:w="2943" w:type="dxa"/>
          </w:tcPr>
          <w:p w14:paraId="4DC22B64" w14:textId="34D5840C" w:rsidR="009F2A12" w:rsidRDefault="00DB1E52" w:rsidP="004733EB">
            <w:pPr>
              <w:rPr>
                <w:rFonts w:ascii="Verdana" w:hAnsi="Verdana"/>
                <w:sz w:val="22"/>
                <w:szCs w:val="22"/>
              </w:rPr>
            </w:pPr>
            <w:r>
              <w:rPr>
                <w:rFonts w:ascii="Verdana" w:hAnsi="Verdana"/>
                <w:sz w:val="22"/>
                <w:szCs w:val="22"/>
              </w:rPr>
              <w:t>PRINCIPAL</w:t>
            </w:r>
          </w:p>
        </w:tc>
      </w:tr>
      <w:tr w:rsidR="009F2A12" w14:paraId="5755F6C7" w14:textId="77777777" w:rsidTr="009F2A12">
        <w:tc>
          <w:tcPr>
            <w:tcW w:w="2942" w:type="dxa"/>
          </w:tcPr>
          <w:p w14:paraId="12AAFE59" w14:textId="30A87E05" w:rsidR="009F2A12" w:rsidRDefault="007868A4" w:rsidP="004733EB">
            <w:pPr>
              <w:rPr>
                <w:rFonts w:ascii="Verdana" w:hAnsi="Verdana"/>
                <w:sz w:val="22"/>
                <w:szCs w:val="22"/>
              </w:rPr>
            </w:pPr>
            <w:r>
              <w:rPr>
                <w:rFonts w:ascii="Verdana" w:hAnsi="Verdana"/>
                <w:sz w:val="22"/>
                <w:szCs w:val="22"/>
              </w:rPr>
              <w:t>MARTHA YOL</w:t>
            </w:r>
            <w:r w:rsidR="006822E7">
              <w:rPr>
                <w:rFonts w:ascii="Verdana" w:hAnsi="Verdana"/>
                <w:sz w:val="22"/>
                <w:szCs w:val="22"/>
              </w:rPr>
              <w:t>A</w:t>
            </w:r>
            <w:r>
              <w:rPr>
                <w:rFonts w:ascii="Verdana" w:hAnsi="Verdana"/>
                <w:sz w:val="22"/>
                <w:szCs w:val="22"/>
              </w:rPr>
              <w:t xml:space="preserve">NDA CIRO FLORÉZ </w:t>
            </w:r>
          </w:p>
        </w:tc>
        <w:tc>
          <w:tcPr>
            <w:tcW w:w="2943" w:type="dxa"/>
          </w:tcPr>
          <w:p w14:paraId="44EC519B" w14:textId="7434E1CB" w:rsidR="009F2A12" w:rsidRDefault="00D86BA7" w:rsidP="004733EB">
            <w:pPr>
              <w:rPr>
                <w:rFonts w:ascii="Verdana" w:hAnsi="Verdana"/>
                <w:sz w:val="22"/>
                <w:szCs w:val="22"/>
              </w:rPr>
            </w:pPr>
            <w:r>
              <w:rPr>
                <w:rFonts w:ascii="Verdana" w:hAnsi="Verdana"/>
                <w:sz w:val="22"/>
                <w:szCs w:val="22"/>
              </w:rPr>
              <w:t>39.698.378</w:t>
            </w:r>
          </w:p>
        </w:tc>
        <w:tc>
          <w:tcPr>
            <w:tcW w:w="2943" w:type="dxa"/>
          </w:tcPr>
          <w:p w14:paraId="390386C5" w14:textId="33DA869C" w:rsidR="009F2A12" w:rsidRDefault="00DB1E52" w:rsidP="004733EB">
            <w:pPr>
              <w:rPr>
                <w:rFonts w:ascii="Verdana" w:hAnsi="Verdana"/>
                <w:sz w:val="22"/>
                <w:szCs w:val="22"/>
              </w:rPr>
            </w:pPr>
            <w:r>
              <w:rPr>
                <w:rFonts w:ascii="Verdana" w:hAnsi="Verdana"/>
                <w:sz w:val="22"/>
                <w:szCs w:val="22"/>
              </w:rPr>
              <w:t>PRINCIPAL</w:t>
            </w:r>
          </w:p>
        </w:tc>
      </w:tr>
      <w:tr w:rsidR="009F2A12" w14:paraId="5C3C072A" w14:textId="77777777" w:rsidTr="009F2A12">
        <w:tc>
          <w:tcPr>
            <w:tcW w:w="2942" w:type="dxa"/>
          </w:tcPr>
          <w:p w14:paraId="17E90783" w14:textId="7C79E87C" w:rsidR="009F2A12" w:rsidRDefault="007868A4" w:rsidP="004733EB">
            <w:pPr>
              <w:rPr>
                <w:rFonts w:ascii="Verdana" w:hAnsi="Verdana"/>
                <w:sz w:val="22"/>
                <w:szCs w:val="22"/>
              </w:rPr>
            </w:pPr>
            <w:r>
              <w:rPr>
                <w:rFonts w:ascii="Verdana" w:hAnsi="Verdana"/>
                <w:sz w:val="22"/>
                <w:szCs w:val="22"/>
              </w:rPr>
              <w:lastRenderedPageBreak/>
              <w:t>MARÍA TERESA SALAMANCA ACOSTA</w:t>
            </w:r>
          </w:p>
        </w:tc>
        <w:tc>
          <w:tcPr>
            <w:tcW w:w="2943" w:type="dxa"/>
          </w:tcPr>
          <w:p w14:paraId="61D1F08C" w14:textId="79BB5EE5" w:rsidR="009F2A12" w:rsidRDefault="00D86BA7" w:rsidP="004733EB">
            <w:pPr>
              <w:rPr>
                <w:rFonts w:ascii="Verdana" w:hAnsi="Verdana"/>
                <w:sz w:val="22"/>
                <w:szCs w:val="22"/>
              </w:rPr>
            </w:pPr>
            <w:r>
              <w:rPr>
                <w:rFonts w:ascii="Verdana" w:hAnsi="Verdana"/>
                <w:sz w:val="22"/>
                <w:szCs w:val="22"/>
              </w:rPr>
              <w:t>51.</w:t>
            </w:r>
            <w:r w:rsidR="00DB1E52">
              <w:rPr>
                <w:rFonts w:ascii="Verdana" w:hAnsi="Verdana"/>
                <w:sz w:val="22"/>
                <w:szCs w:val="22"/>
              </w:rPr>
              <w:t>809.990</w:t>
            </w:r>
          </w:p>
        </w:tc>
        <w:tc>
          <w:tcPr>
            <w:tcW w:w="2943" w:type="dxa"/>
          </w:tcPr>
          <w:p w14:paraId="4E062165" w14:textId="27779525" w:rsidR="009F2A12" w:rsidRDefault="00DB1E52" w:rsidP="004733EB">
            <w:pPr>
              <w:rPr>
                <w:rFonts w:ascii="Verdana" w:hAnsi="Verdana"/>
                <w:sz w:val="22"/>
                <w:szCs w:val="22"/>
              </w:rPr>
            </w:pPr>
            <w:r>
              <w:rPr>
                <w:rFonts w:ascii="Verdana" w:hAnsi="Verdana"/>
                <w:sz w:val="22"/>
                <w:szCs w:val="22"/>
              </w:rPr>
              <w:t>SUPLENTE</w:t>
            </w:r>
          </w:p>
        </w:tc>
      </w:tr>
      <w:tr w:rsidR="009F2A12" w14:paraId="7A09DBE2" w14:textId="77777777" w:rsidTr="009F2A12">
        <w:tc>
          <w:tcPr>
            <w:tcW w:w="2942" w:type="dxa"/>
          </w:tcPr>
          <w:p w14:paraId="05EBD08B" w14:textId="3CD03ADD" w:rsidR="009F2A12" w:rsidRDefault="006822E7" w:rsidP="004733EB">
            <w:pPr>
              <w:rPr>
                <w:rFonts w:ascii="Verdana" w:hAnsi="Verdana"/>
                <w:sz w:val="22"/>
                <w:szCs w:val="22"/>
              </w:rPr>
            </w:pPr>
            <w:r>
              <w:rPr>
                <w:rFonts w:ascii="Verdana" w:hAnsi="Verdana"/>
                <w:sz w:val="22"/>
                <w:szCs w:val="22"/>
              </w:rPr>
              <w:t>MÓNICA ROA ROJAS</w:t>
            </w:r>
          </w:p>
        </w:tc>
        <w:tc>
          <w:tcPr>
            <w:tcW w:w="2943" w:type="dxa"/>
          </w:tcPr>
          <w:p w14:paraId="42AC28C2" w14:textId="07495F8F" w:rsidR="009F2A12" w:rsidRDefault="00DB1E52" w:rsidP="004733EB">
            <w:pPr>
              <w:rPr>
                <w:rFonts w:ascii="Verdana" w:hAnsi="Verdana"/>
                <w:sz w:val="22"/>
                <w:szCs w:val="22"/>
              </w:rPr>
            </w:pPr>
            <w:r>
              <w:rPr>
                <w:rFonts w:ascii="Verdana" w:hAnsi="Verdana"/>
                <w:sz w:val="22"/>
                <w:szCs w:val="22"/>
              </w:rPr>
              <w:t>51.958.189</w:t>
            </w:r>
          </w:p>
        </w:tc>
        <w:tc>
          <w:tcPr>
            <w:tcW w:w="2943" w:type="dxa"/>
          </w:tcPr>
          <w:p w14:paraId="61A46028" w14:textId="4F903E3A" w:rsidR="009F2A12" w:rsidRDefault="00DB1E52" w:rsidP="004733EB">
            <w:pPr>
              <w:rPr>
                <w:rFonts w:ascii="Verdana" w:hAnsi="Verdana"/>
                <w:sz w:val="22"/>
                <w:szCs w:val="22"/>
              </w:rPr>
            </w:pPr>
            <w:r>
              <w:rPr>
                <w:rFonts w:ascii="Verdana" w:hAnsi="Verdana"/>
                <w:sz w:val="22"/>
                <w:szCs w:val="22"/>
              </w:rPr>
              <w:t>SUPLENTE</w:t>
            </w:r>
          </w:p>
        </w:tc>
      </w:tr>
    </w:tbl>
    <w:p w14:paraId="2C30FA2A" w14:textId="77777777" w:rsidR="00480B66" w:rsidRDefault="00480B66" w:rsidP="004733EB">
      <w:pPr>
        <w:rPr>
          <w:rFonts w:ascii="Verdana" w:hAnsi="Verdana"/>
          <w:sz w:val="22"/>
          <w:szCs w:val="22"/>
        </w:rPr>
      </w:pPr>
    </w:p>
    <w:tbl>
      <w:tblPr>
        <w:tblStyle w:val="Tablaconcuadrcula"/>
        <w:tblW w:w="0" w:type="auto"/>
        <w:tblLook w:val="04A0" w:firstRow="1" w:lastRow="0" w:firstColumn="1" w:lastColumn="0" w:noHBand="0" w:noVBand="1"/>
      </w:tblPr>
      <w:tblGrid>
        <w:gridCol w:w="2942"/>
        <w:gridCol w:w="2943"/>
        <w:gridCol w:w="2943"/>
      </w:tblGrid>
      <w:tr w:rsidR="006822E7" w:rsidRPr="009F2A12" w14:paraId="254C4AF7" w14:textId="77777777" w:rsidTr="00AA7D23">
        <w:tc>
          <w:tcPr>
            <w:tcW w:w="2942" w:type="dxa"/>
          </w:tcPr>
          <w:p w14:paraId="3FAD1E06" w14:textId="77777777" w:rsidR="006822E7" w:rsidRPr="009F2A12" w:rsidRDefault="006822E7" w:rsidP="00AA7D23">
            <w:pPr>
              <w:rPr>
                <w:rFonts w:ascii="Verdana" w:hAnsi="Verdana"/>
                <w:b/>
                <w:bCs/>
                <w:sz w:val="22"/>
                <w:szCs w:val="22"/>
              </w:rPr>
            </w:pPr>
            <w:r w:rsidRPr="009F2A12">
              <w:rPr>
                <w:rFonts w:ascii="Verdana" w:hAnsi="Verdana"/>
                <w:b/>
                <w:bCs/>
                <w:sz w:val="22"/>
                <w:szCs w:val="22"/>
              </w:rPr>
              <w:t>NOMBRE REPRESENTANTES DE LA GENERAL</w:t>
            </w:r>
          </w:p>
        </w:tc>
        <w:tc>
          <w:tcPr>
            <w:tcW w:w="2943" w:type="dxa"/>
          </w:tcPr>
          <w:p w14:paraId="6F65B18E" w14:textId="77777777" w:rsidR="006822E7" w:rsidRPr="009F2A12" w:rsidRDefault="006822E7" w:rsidP="00AA7D23">
            <w:pPr>
              <w:rPr>
                <w:rFonts w:ascii="Verdana" w:hAnsi="Verdana"/>
                <w:b/>
                <w:bCs/>
                <w:sz w:val="22"/>
                <w:szCs w:val="22"/>
              </w:rPr>
            </w:pPr>
            <w:r w:rsidRPr="009F2A12">
              <w:rPr>
                <w:rFonts w:ascii="Verdana" w:hAnsi="Verdana"/>
                <w:b/>
                <w:bCs/>
                <w:sz w:val="22"/>
                <w:szCs w:val="22"/>
              </w:rPr>
              <w:t>CÉDULA DE CIUDADANÍA</w:t>
            </w:r>
          </w:p>
        </w:tc>
        <w:tc>
          <w:tcPr>
            <w:tcW w:w="2943" w:type="dxa"/>
          </w:tcPr>
          <w:p w14:paraId="2B598B93" w14:textId="77777777" w:rsidR="006822E7" w:rsidRPr="009F2A12" w:rsidRDefault="006822E7" w:rsidP="00AA7D23">
            <w:pPr>
              <w:rPr>
                <w:rFonts w:ascii="Verdana" w:hAnsi="Verdana"/>
                <w:b/>
                <w:bCs/>
                <w:sz w:val="22"/>
                <w:szCs w:val="22"/>
              </w:rPr>
            </w:pPr>
            <w:r w:rsidRPr="009F2A12">
              <w:rPr>
                <w:rFonts w:ascii="Verdana" w:hAnsi="Verdana"/>
                <w:b/>
                <w:bCs/>
                <w:sz w:val="22"/>
                <w:szCs w:val="22"/>
              </w:rPr>
              <w:t>CALIDAD QUE OSTENTAN ANTE EL COMITÉ</w:t>
            </w:r>
          </w:p>
        </w:tc>
      </w:tr>
      <w:tr w:rsidR="006822E7" w14:paraId="6ABBC663" w14:textId="77777777" w:rsidTr="00AA7D23">
        <w:tc>
          <w:tcPr>
            <w:tcW w:w="2942" w:type="dxa"/>
          </w:tcPr>
          <w:p w14:paraId="7AE4A0EC" w14:textId="3E0C850C" w:rsidR="006822E7" w:rsidRDefault="001E34DF" w:rsidP="00AA7D23">
            <w:pPr>
              <w:rPr>
                <w:rFonts w:ascii="Verdana" w:hAnsi="Verdana"/>
                <w:sz w:val="22"/>
                <w:szCs w:val="22"/>
              </w:rPr>
            </w:pPr>
            <w:r>
              <w:rPr>
                <w:rFonts w:ascii="Verdana" w:hAnsi="Verdana"/>
                <w:sz w:val="22"/>
                <w:szCs w:val="22"/>
              </w:rPr>
              <w:t>MARIO HERNANDO FLÓREZ VANEGAS</w:t>
            </w:r>
          </w:p>
        </w:tc>
        <w:tc>
          <w:tcPr>
            <w:tcW w:w="2943" w:type="dxa"/>
          </w:tcPr>
          <w:p w14:paraId="2FFE6A9B" w14:textId="1F2ACADD" w:rsidR="006822E7" w:rsidRDefault="00695FC9" w:rsidP="00AA7D23">
            <w:pPr>
              <w:rPr>
                <w:rFonts w:ascii="Verdana" w:hAnsi="Verdana"/>
                <w:sz w:val="22"/>
                <w:szCs w:val="22"/>
              </w:rPr>
            </w:pPr>
            <w:r>
              <w:rPr>
                <w:rFonts w:ascii="Verdana" w:hAnsi="Verdana"/>
                <w:sz w:val="22"/>
                <w:szCs w:val="22"/>
              </w:rPr>
              <w:t>79.277.140</w:t>
            </w:r>
          </w:p>
        </w:tc>
        <w:tc>
          <w:tcPr>
            <w:tcW w:w="2943" w:type="dxa"/>
          </w:tcPr>
          <w:p w14:paraId="4E4C934D" w14:textId="6178FF1A" w:rsidR="006822E7" w:rsidRDefault="00DB1E52" w:rsidP="00AA7D23">
            <w:pPr>
              <w:rPr>
                <w:rFonts w:ascii="Verdana" w:hAnsi="Verdana"/>
                <w:sz w:val="22"/>
                <w:szCs w:val="22"/>
              </w:rPr>
            </w:pPr>
            <w:r>
              <w:rPr>
                <w:rFonts w:ascii="Verdana" w:hAnsi="Verdana"/>
                <w:sz w:val="22"/>
                <w:szCs w:val="22"/>
              </w:rPr>
              <w:t>PRINCIPAL</w:t>
            </w:r>
          </w:p>
        </w:tc>
      </w:tr>
      <w:tr w:rsidR="006822E7" w14:paraId="0D2CEFBE" w14:textId="77777777" w:rsidTr="00AA7D23">
        <w:tc>
          <w:tcPr>
            <w:tcW w:w="2942" w:type="dxa"/>
          </w:tcPr>
          <w:p w14:paraId="40B6C6DD" w14:textId="57B19959" w:rsidR="006822E7" w:rsidRDefault="001E34DF" w:rsidP="00AA7D23">
            <w:pPr>
              <w:rPr>
                <w:rFonts w:ascii="Verdana" w:hAnsi="Verdana"/>
                <w:sz w:val="22"/>
                <w:szCs w:val="22"/>
              </w:rPr>
            </w:pPr>
            <w:r>
              <w:rPr>
                <w:rFonts w:ascii="Verdana" w:hAnsi="Verdana"/>
                <w:sz w:val="22"/>
                <w:szCs w:val="22"/>
              </w:rPr>
              <w:t>GINA ZULETDY YEPES SKINER</w:t>
            </w:r>
          </w:p>
        </w:tc>
        <w:tc>
          <w:tcPr>
            <w:tcW w:w="2943" w:type="dxa"/>
          </w:tcPr>
          <w:p w14:paraId="3EF7F2A3" w14:textId="7BB73A28" w:rsidR="006822E7" w:rsidRDefault="00695FC9" w:rsidP="00AA7D23">
            <w:pPr>
              <w:rPr>
                <w:rFonts w:ascii="Verdana" w:hAnsi="Verdana"/>
                <w:sz w:val="22"/>
                <w:szCs w:val="22"/>
              </w:rPr>
            </w:pPr>
            <w:r>
              <w:rPr>
                <w:rFonts w:ascii="Verdana" w:hAnsi="Verdana"/>
                <w:sz w:val="22"/>
                <w:szCs w:val="22"/>
              </w:rPr>
              <w:t>1.018.</w:t>
            </w:r>
            <w:r w:rsidR="00706649">
              <w:rPr>
                <w:rFonts w:ascii="Verdana" w:hAnsi="Verdana"/>
                <w:sz w:val="22"/>
                <w:szCs w:val="22"/>
              </w:rPr>
              <w:t>407.859</w:t>
            </w:r>
          </w:p>
        </w:tc>
        <w:tc>
          <w:tcPr>
            <w:tcW w:w="2943" w:type="dxa"/>
          </w:tcPr>
          <w:p w14:paraId="492435B3" w14:textId="0D8F846D" w:rsidR="006822E7" w:rsidRDefault="00DB1E52" w:rsidP="00AA7D23">
            <w:pPr>
              <w:rPr>
                <w:rFonts w:ascii="Verdana" w:hAnsi="Verdana"/>
                <w:sz w:val="22"/>
                <w:szCs w:val="22"/>
              </w:rPr>
            </w:pPr>
            <w:r>
              <w:rPr>
                <w:rFonts w:ascii="Verdana" w:hAnsi="Verdana"/>
                <w:sz w:val="22"/>
                <w:szCs w:val="22"/>
              </w:rPr>
              <w:t>PRINCIPAL</w:t>
            </w:r>
          </w:p>
        </w:tc>
      </w:tr>
      <w:tr w:rsidR="006822E7" w14:paraId="162BDB3E" w14:textId="77777777" w:rsidTr="00AA7D23">
        <w:tc>
          <w:tcPr>
            <w:tcW w:w="2942" w:type="dxa"/>
          </w:tcPr>
          <w:p w14:paraId="0FF60C17" w14:textId="4EFDB907" w:rsidR="006822E7" w:rsidRDefault="001E34DF" w:rsidP="00AA7D23">
            <w:pPr>
              <w:rPr>
                <w:rFonts w:ascii="Verdana" w:hAnsi="Verdana"/>
                <w:sz w:val="22"/>
                <w:szCs w:val="22"/>
              </w:rPr>
            </w:pPr>
            <w:r>
              <w:rPr>
                <w:rFonts w:ascii="Verdana" w:hAnsi="Verdana"/>
                <w:sz w:val="22"/>
                <w:szCs w:val="22"/>
              </w:rPr>
              <w:t>LEIDY M</w:t>
            </w:r>
            <w:r w:rsidR="00BF52AA">
              <w:rPr>
                <w:rFonts w:ascii="Verdana" w:hAnsi="Verdana"/>
                <w:sz w:val="22"/>
                <w:szCs w:val="22"/>
              </w:rPr>
              <w:t>IYET PEREZ OSORIO</w:t>
            </w:r>
          </w:p>
        </w:tc>
        <w:tc>
          <w:tcPr>
            <w:tcW w:w="2943" w:type="dxa"/>
          </w:tcPr>
          <w:p w14:paraId="6D3A8D71" w14:textId="0DCAE402" w:rsidR="006822E7" w:rsidRDefault="00706649" w:rsidP="00AA7D23">
            <w:pPr>
              <w:rPr>
                <w:rFonts w:ascii="Verdana" w:hAnsi="Verdana"/>
                <w:sz w:val="22"/>
                <w:szCs w:val="22"/>
              </w:rPr>
            </w:pPr>
            <w:r>
              <w:rPr>
                <w:rFonts w:ascii="Verdana" w:hAnsi="Verdana"/>
                <w:sz w:val="22"/>
                <w:szCs w:val="22"/>
              </w:rPr>
              <w:t>30.415.032</w:t>
            </w:r>
          </w:p>
        </w:tc>
        <w:tc>
          <w:tcPr>
            <w:tcW w:w="2943" w:type="dxa"/>
          </w:tcPr>
          <w:p w14:paraId="7A512601" w14:textId="0CAA50CE" w:rsidR="006822E7" w:rsidRDefault="00DB1E52" w:rsidP="00AA7D23">
            <w:pPr>
              <w:rPr>
                <w:rFonts w:ascii="Verdana" w:hAnsi="Verdana"/>
                <w:sz w:val="22"/>
                <w:szCs w:val="22"/>
              </w:rPr>
            </w:pPr>
            <w:r>
              <w:rPr>
                <w:rFonts w:ascii="Verdana" w:hAnsi="Verdana"/>
                <w:sz w:val="22"/>
                <w:szCs w:val="22"/>
              </w:rPr>
              <w:t>SU</w:t>
            </w:r>
            <w:r w:rsidR="001E34DF">
              <w:rPr>
                <w:rFonts w:ascii="Verdana" w:hAnsi="Verdana"/>
                <w:sz w:val="22"/>
                <w:szCs w:val="22"/>
              </w:rPr>
              <w:t>PLENTE</w:t>
            </w:r>
          </w:p>
        </w:tc>
      </w:tr>
      <w:tr w:rsidR="006822E7" w14:paraId="1F2D4590" w14:textId="77777777" w:rsidTr="00AA7D23">
        <w:tc>
          <w:tcPr>
            <w:tcW w:w="2942" w:type="dxa"/>
          </w:tcPr>
          <w:p w14:paraId="2B869C23" w14:textId="5F40EF64" w:rsidR="006822E7" w:rsidRDefault="008D592A" w:rsidP="00AA7D23">
            <w:pPr>
              <w:rPr>
                <w:rFonts w:ascii="Verdana" w:hAnsi="Verdana"/>
                <w:sz w:val="22"/>
                <w:szCs w:val="22"/>
              </w:rPr>
            </w:pPr>
            <w:r>
              <w:rPr>
                <w:rFonts w:ascii="Verdana" w:hAnsi="Verdana"/>
                <w:sz w:val="22"/>
                <w:szCs w:val="22"/>
              </w:rPr>
              <w:t>EDGAR P</w:t>
            </w:r>
            <w:r w:rsidR="00695FC9">
              <w:rPr>
                <w:rFonts w:ascii="Verdana" w:hAnsi="Verdana"/>
                <w:sz w:val="22"/>
                <w:szCs w:val="22"/>
              </w:rPr>
              <w:t>ÁEZ DURAN</w:t>
            </w:r>
          </w:p>
        </w:tc>
        <w:tc>
          <w:tcPr>
            <w:tcW w:w="2943" w:type="dxa"/>
          </w:tcPr>
          <w:p w14:paraId="6620B08C" w14:textId="2AE00E83" w:rsidR="006822E7" w:rsidRDefault="00706649" w:rsidP="00AA7D23">
            <w:pPr>
              <w:rPr>
                <w:rFonts w:ascii="Verdana" w:hAnsi="Verdana"/>
                <w:sz w:val="22"/>
                <w:szCs w:val="22"/>
              </w:rPr>
            </w:pPr>
            <w:r>
              <w:rPr>
                <w:rFonts w:ascii="Verdana" w:hAnsi="Verdana"/>
                <w:sz w:val="22"/>
                <w:szCs w:val="22"/>
              </w:rPr>
              <w:t>79.042.735</w:t>
            </w:r>
          </w:p>
        </w:tc>
        <w:tc>
          <w:tcPr>
            <w:tcW w:w="2943" w:type="dxa"/>
          </w:tcPr>
          <w:p w14:paraId="0F21CFCB" w14:textId="04D11530" w:rsidR="006822E7" w:rsidRDefault="001E34DF" w:rsidP="00AA7D23">
            <w:pPr>
              <w:rPr>
                <w:rFonts w:ascii="Verdana" w:hAnsi="Verdana"/>
                <w:sz w:val="22"/>
                <w:szCs w:val="22"/>
              </w:rPr>
            </w:pPr>
            <w:r>
              <w:rPr>
                <w:rFonts w:ascii="Verdana" w:hAnsi="Verdana"/>
                <w:sz w:val="22"/>
                <w:szCs w:val="22"/>
              </w:rPr>
              <w:t>SUPLENTE</w:t>
            </w:r>
          </w:p>
        </w:tc>
      </w:tr>
    </w:tbl>
    <w:p w14:paraId="4AC104EC" w14:textId="77777777" w:rsidR="00706649" w:rsidRDefault="00706649" w:rsidP="004733EB">
      <w:pPr>
        <w:rPr>
          <w:rFonts w:ascii="Verdana" w:hAnsi="Verdana"/>
          <w:sz w:val="22"/>
          <w:szCs w:val="22"/>
        </w:rPr>
      </w:pPr>
    </w:p>
    <w:p w14:paraId="31C539A3" w14:textId="0E2D9003" w:rsidR="00706649" w:rsidRDefault="00706649" w:rsidP="004733EB">
      <w:pPr>
        <w:rPr>
          <w:rFonts w:ascii="Verdana" w:hAnsi="Verdana"/>
          <w:sz w:val="22"/>
          <w:szCs w:val="22"/>
        </w:rPr>
      </w:pPr>
      <w:r w:rsidRPr="00AD22FC">
        <w:rPr>
          <w:rFonts w:ascii="Verdana" w:hAnsi="Verdana"/>
          <w:b/>
          <w:bCs/>
          <w:sz w:val="22"/>
          <w:szCs w:val="22"/>
        </w:rPr>
        <w:t>PARÁ</w:t>
      </w:r>
      <w:r w:rsidR="008F6396" w:rsidRPr="00AD22FC">
        <w:rPr>
          <w:rFonts w:ascii="Verdana" w:hAnsi="Verdana"/>
          <w:b/>
          <w:bCs/>
          <w:sz w:val="22"/>
          <w:szCs w:val="22"/>
        </w:rPr>
        <w:t>GRAFO.</w:t>
      </w:r>
      <w:r w:rsidR="008F6396">
        <w:rPr>
          <w:rFonts w:ascii="Verdana" w:hAnsi="Verdana"/>
          <w:sz w:val="22"/>
          <w:szCs w:val="22"/>
        </w:rPr>
        <w:t xml:space="preserve"> El periodo de dos (2) años previsto para los representantes elegidos por los servidores públicos de la Sede de la Dirección General del ICBF y para los representantes del empleador para el Comité de que trata este acto administrativo, se contará a partir de la fecha</w:t>
      </w:r>
      <w:r w:rsidR="007946FB">
        <w:rPr>
          <w:rFonts w:ascii="Verdana" w:hAnsi="Verdana"/>
          <w:sz w:val="22"/>
          <w:szCs w:val="22"/>
        </w:rPr>
        <w:t xml:space="preserve"> de expedición de la presente resolución. </w:t>
      </w:r>
    </w:p>
    <w:p w14:paraId="6260C035" w14:textId="3B960C72" w:rsidR="00AD22FC" w:rsidRDefault="001B0CC7" w:rsidP="004733EB">
      <w:pPr>
        <w:rPr>
          <w:rFonts w:ascii="Verdana" w:hAnsi="Verdana"/>
          <w:sz w:val="22"/>
          <w:szCs w:val="22"/>
        </w:rPr>
      </w:pPr>
      <w:r w:rsidRPr="00B46F50">
        <w:rPr>
          <w:rFonts w:ascii="Verdana" w:hAnsi="Verdana"/>
          <w:b/>
          <w:bCs/>
          <w:sz w:val="22"/>
          <w:szCs w:val="22"/>
        </w:rPr>
        <w:t>ARTÍCULO 3o.</w:t>
      </w:r>
      <w:r>
        <w:rPr>
          <w:rFonts w:ascii="Verdana" w:hAnsi="Verdana"/>
          <w:sz w:val="22"/>
          <w:szCs w:val="22"/>
        </w:rPr>
        <w:t xml:space="preserve"> ORDENAR al </w:t>
      </w:r>
      <w:proofErr w:type="gramStart"/>
      <w:r w:rsidR="00B46F50">
        <w:rPr>
          <w:rFonts w:ascii="Verdana" w:hAnsi="Verdana"/>
          <w:sz w:val="22"/>
          <w:szCs w:val="22"/>
        </w:rPr>
        <w:t>Director</w:t>
      </w:r>
      <w:proofErr w:type="gramEnd"/>
      <w:r>
        <w:rPr>
          <w:rFonts w:ascii="Verdana" w:hAnsi="Verdana"/>
          <w:sz w:val="22"/>
          <w:szCs w:val="22"/>
        </w:rPr>
        <w:t xml:space="preserve"> de Gestión Humana del ICBF </w:t>
      </w:r>
      <w:r w:rsidR="00B46F50">
        <w:rPr>
          <w:rFonts w:ascii="Verdana" w:hAnsi="Verdana"/>
          <w:sz w:val="22"/>
          <w:szCs w:val="22"/>
        </w:rPr>
        <w:t xml:space="preserve">comunicar el contenido del presente acto administrativo, a los servidores públicos de la Sede de la Dirección General. </w:t>
      </w:r>
    </w:p>
    <w:p w14:paraId="68BD1E10" w14:textId="03636FB9" w:rsidR="00B46F50" w:rsidRDefault="00CF7A85" w:rsidP="004733EB">
      <w:pPr>
        <w:rPr>
          <w:rFonts w:ascii="Verdana" w:hAnsi="Verdana"/>
          <w:sz w:val="22"/>
          <w:szCs w:val="22"/>
        </w:rPr>
      </w:pPr>
      <w:r w:rsidRPr="006D467D">
        <w:rPr>
          <w:rFonts w:ascii="Verdana" w:hAnsi="Verdana"/>
          <w:b/>
          <w:bCs/>
          <w:sz w:val="22"/>
          <w:szCs w:val="22"/>
        </w:rPr>
        <w:t>ARTÍCULO 4o.</w:t>
      </w:r>
      <w:r>
        <w:rPr>
          <w:rFonts w:ascii="Verdana" w:hAnsi="Verdana"/>
          <w:sz w:val="22"/>
          <w:szCs w:val="22"/>
        </w:rPr>
        <w:t xml:space="preserve"> La presente resolución rige a partir de la fecha de su expedición.</w:t>
      </w:r>
    </w:p>
    <w:p w14:paraId="59CCC64D" w14:textId="4398B6F7" w:rsidR="00CF7A85" w:rsidRPr="006D467D" w:rsidRDefault="006D467D" w:rsidP="006D467D">
      <w:pPr>
        <w:jc w:val="center"/>
        <w:rPr>
          <w:rFonts w:ascii="Verdana" w:hAnsi="Verdana"/>
          <w:b/>
          <w:bCs/>
          <w:sz w:val="22"/>
          <w:szCs w:val="22"/>
        </w:rPr>
      </w:pPr>
      <w:r w:rsidRPr="006D467D">
        <w:rPr>
          <w:rFonts w:ascii="Verdana" w:hAnsi="Verdana"/>
          <w:b/>
          <w:bCs/>
          <w:sz w:val="22"/>
          <w:szCs w:val="22"/>
        </w:rPr>
        <w:t>COMUNIQUESE Y CÚMPLASE</w:t>
      </w:r>
    </w:p>
    <w:p w14:paraId="7C4A991E" w14:textId="6A5CA82E" w:rsidR="006D467D" w:rsidRDefault="006D467D" w:rsidP="006D467D">
      <w:pPr>
        <w:jc w:val="center"/>
        <w:rPr>
          <w:rFonts w:ascii="Verdana" w:hAnsi="Verdana"/>
          <w:sz w:val="22"/>
          <w:szCs w:val="22"/>
        </w:rPr>
      </w:pPr>
      <w:r>
        <w:rPr>
          <w:rFonts w:ascii="Verdana" w:hAnsi="Verdana"/>
          <w:sz w:val="22"/>
          <w:szCs w:val="22"/>
        </w:rPr>
        <w:t>Dada en Bogotá D.C., a los 24 días del mes de noviembre de 2023</w:t>
      </w:r>
    </w:p>
    <w:p w14:paraId="303798F4" w14:textId="7FACE1AC" w:rsidR="006D467D" w:rsidRPr="006D467D" w:rsidRDefault="006D467D" w:rsidP="006D467D">
      <w:pPr>
        <w:jc w:val="center"/>
        <w:rPr>
          <w:rFonts w:ascii="Verdana" w:hAnsi="Verdana"/>
          <w:b/>
          <w:bCs/>
          <w:sz w:val="22"/>
          <w:szCs w:val="22"/>
        </w:rPr>
      </w:pPr>
      <w:r w:rsidRPr="006D467D">
        <w:rPr>
          <w:rFonts w:ascii="Verdana" w:hAnsi="Verdana"/>
          <w:b/>
          <w:bCs/>
          <w:sz w:val="22"/>
          <w:szCs w:val="22"/>
        </w:rPr>
        <w:t>ASTRID ELIANA CÁCERES CÁRDENAS</w:t>
      </w:r>
    </w:p>
    <w:p w14:paraId="4B95E79B" w14:textId="265A7215" w:rsidR="006D467D" w:rsidRDefault="006D467D" w:rsidP="006D467D">
      <w:pPr>
        <w:jc w:val="center"/>
        <w:rPr>
          <w:rFonts w:ascii="Verdana" w:hAnsi="Verdana"/>
          <w:sz w:val="22"/>
          <w:szCs w:val="22"/>
        </w:rPr>
      </w:pPr>
      <w:r>
        <w:rPr>
          <w:rFonts w:ascii="Verdana" w:hAnsi="Verdana"/>
          <w:sz w:val="22"/>
          <w:szCs w:val="22"/>
        </w:rPr>
        <w:t>Directora General</w:t>
      </w:r>
    </w:p>
    <w:p w14:paraId="1852C276" w14:textId="77777777" w:rsidR="007946FB" w:rsidRPr="004F550D" w:rsidRDefault="007946FB" w:rsidP="004733EB">
      <w:pPr>
        <w:rPr>
          <w:rFonts w:ascii="Verdana" w:hAnsi="Verdana"/>
          <w:sz w:val="22"/>
          <w:szCs w:val="22"/>
        </w:rPr>
      </w:pPr>
    </w:p>
    <w:p w14:paraId="2A33CB2A" w14:textId="77777777" w:rsidR="003F394E" w:rsidRPr="003F394E" w:rsidRDefault="003F394E" w:rsidP="003F394E">
      <w:pPr>
        <w:rPr>
          <w:rFonts w:ascii="Verdana" w:hAnsi="Verdana"/>
          <w:sz w:val="22"/>
          <w:szCs w:val="22"/>
        </w:rPr>
      </w:pPr>
    </w:p>
    <w:p w14:paraId="5B884970" w14:textId="77777777" w:rsidR="00A068E7" w:rsidRPr="00A068E7" w:rsidRDefault="00A068E7" w:rsidP="00A068E7">
      <w:pPr>
        <w:ind w:left="360"/>
        <w:rPr>
          <w:rFonts w:ascii="Verdana" w:hAnsi="Verdana"/>
          <w:sz w:val="22"/>
          <w:szCs w:val="22"/>
        </w:rPr>
      </w:pPr>
    </w:p>
    <w:sectPr w:rsidR="00A068E7" w:rsidRPr="00A068E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985B" w14:textId="77777777" w:rsidR="00C32A2A" w:rsidRDefault="00C32A2A" w:rsidP="00251F6B">
      <w:pPr>
        <w:spacing w:after="0"/>
      </w:pPr>
      <w:r>
        <w:separator/>
      </w:r>
    </w:p>
  </w:endnote>
  <w:endnote w:type="continuationSeparator" w:id="0">
    <w:p w14:paraId="61613E5A" w14:textId="77777777" w:rsidR="00C32A2A" w:rsidRDefault="00C32A2A"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132BB" w14:textId="77777777" w:rsidR="00C32A2A" w:rsidRDefault="00C32A2A" w:rsidP="00251F6B">
      <w:pPr>
        <w:spacing w:after="0"/>
      </w:pPr>
      <w:r>
        <w:separator/>
      </w:r>
    </w:p>
  </w:footnote>
  <w:footnote w:type="continuationSeparator" w:id="0">
    <w:p w14:paraId="294503D7" w14:textId="77777777" w:rsidR="00C32A2A" w:rsidRDefault="00C32A2A"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5C64"/>
    <w:multiLevelType w:val="hybridMultilevel"/>
    <w:tmpl w:val="C3644DEA"/>
    <w:lvl w:ilvl="0" w:tplc="698A2E20">
      <w:start w:val="1"/>
      <w:numFmt w:val="decimal"/>
      <w:lvlText w:val="%1."/>
      <w:lvlJc w:val="left"/>
      <w:pPr>
        <w:ind w:left="720" w:hanging="360"/>
      </w:pPr>
      <w:rPr>
        <w:rFonts w:ascii="Verdana" w:hAnsi="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DA0267"/>
    <w:multiLevelType w:val="hybridMultilevel"/>
    <w:tmpl w:val="C364607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3"/>
  </w:num>
  <w:num w:numId="2" w16cid:durableId="707920155">
    <w:abstractNumId w:val="1"/>
  </w:num>
  <w:num w:numId="3" w16cid:durableId="1187789403">
    <w:abstractNumId w:val="0"/>
  </w:num>
  <w:num w:numId="4" w16cid:durableId="1065761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60C4"/>
    <w:rsid w:val="00043942"/>
    <w:rsid w:val="00095A58"/>
    <w:rsid w:val="001429B0"/>
    <w:rsid w:val="00144810"/>
    <w:rsid w:val="00192855"/>
    <w:rsid w:val="001B0CC7"/>
    <w:rsid w:val="001E34DF"/>
    <w:rsid w:val="001F0247"/>
    <w:rsid w:val="002319F9"/>
    <w:rsid w:val="00243CB4"/>
    <w:rsid w:val="00251F6B"/>
    <w:rsid w:val="002806F2"/>
    <w:rsid w:val="0029170C"/>
    <w:rsid w:val="00395945"/>
    <w:rsid w:val="003F394E"/>
    <w:rsid w:val="00401AB1"/>
    <w:rsid w:val="00424C46"/>
    <w:rsid w:val="00433EC5"/>
    <w:rsid w:val="004733EB"/>
    <w:rsid w:val="00480B66"/>
    <w:rsid w:val="00495793"/>
    <w:rsid w:val="004B0F97"/>
    <w:rsid w:val="004F550D"/>
    <w:rsid w:val="005041B1"/>
    <w:rsid w:val="0052799D"/>
    <w:rsid w:val="00590D14"/>
    <w:rsid w:val="005E540F"/>
    <w:rsid w:val="00657673"/>
    <w:rsid w:val="006822E7"/>
    <w:rsid w:val="00692A8A"/>
    <w:rsid w:val="00695FC9"/>
    <w:rsid w:val="006C543E"/>
    <w:rsid w:val="006D1939"/>
    <w:rsid w:val="006D467D"/>
    <w:rsid w:val="006D5ECF"/>
    <w:rsid w:val="00706649"/>
    <w:rsid w:val="007504D1"/>
    <w:rsid w:val="007724E8"/>
    <w:rsid w:val="007868A4"/>
    <w:rsid w:val="007946FB"/>
    <w:rsid w:val="00794D5B"/>
    <w:rsid w:val="00863A26"/>
    <w:rsid w:val="008647D7"/>
    <w:rsid w:val="008D592A"/>
    <w:rsid w:val="008F6396"/>
    <w:rsid w:val="00906094"/>
    <w:rsid w:val="00933C0C"/>
    <w:rsid w:val="009C5CBA"/>
    <w:rsid w:val="009F2A12"/>
    <w:rsid w:val="00A068E7"/>
    <w:rsid w:val="00A259F3"/>
    <w:rsid w:val="00A724C4"/>
    <w:rsid w:val="00AD22FC"/>
    <w:rsid w:val="00B46F50"/>
    <w:rsid w:val="00B80807"/>
    <w:rsid w:val="00B84790"/>
    <w:rsid w:val="00BF52AA"/>
    <w:rsid w:val="00C07F46"/>
    <w:rsid w:val="00C32A2A"/>
    <w:rsid w:val="00CF7A85"/>
    <w:rsid w:val="00D5214B"/>
    <w:rsid w:val="00D86BA7"/>
    <w:rsid w:val="00DA43DE"/>
    <w:rsid w:val="00DB1E52"/>
    <w:rsid w:val="00DB24B1"/>
    <w:rsid w:val="00DB3505"/>
    <w:rsid w:val="00DE103B"/>
    <w:rsid w:val="00E338DD"/>
    <w:rsid w:val="00F04223"/>
    <w:rsid w:val="00F35EBE"/>
    <w:rsid w:val="00F83E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customStyle="1" w:styleId="paragraph">
    <w:name w:val="paragraph"/>
    <w:basedOn w:val="Normal"/>
    <w:rsid w:val="008647D7"/>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normaltextrun">
    <w:name w:val="normaltextrun"/>
    <w:basedOn w:val="Fuentedeprrafopredeter"/>
    <w:rsid w:val="008647D7"/>
  </w:style>
  <w:style w:type="character" w:customStyle="1" w:styleId="eop">
    <w:name w:val="eop"/>
    <w:basedOn w:val="Fuentedeprrafopredeter"/>
    <w:rsid w:val="008647D7"/>
  </w:style>
  <w:style w:type="table" w:styleId="Tablaconcuadrcula">
    <w:name w:val="Table Grid"/>
    <w:basedOn w:val="Tablanormal"/>
    <w:uiPriority w:val="39"/>
    <w:rsid w:val="009F2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A292E849-6763-4617-BBB7-2DA0CA158D00}"/>
</file>

<file path=customXml/itemProps3.xml><?xml version="1.0" encoding="utf-8"?>
<ds:datastoreItem xmlns:ds="http://schemas.openxmlformats.org/officeDocument/2006/customXml" ds:itemID="{62A3A0E3-F31D-4ED8-A455-D9C1D174A3D0}"/>
</file>

<file path=customXml/itemProps4.xml><?xml version="1.0" encoding="utf-8"?>
<ds:datastoreItem xmlns:ds="http://schemas.openxmlformats.org/officeDocument/2006/customXml" ds:itemID="{EFF1AF00-CEFB-4C83-902B-F07CBE9F3DD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68</TotalTime>
  <Pages>4</Pages>
  <Words>1292</Words>
  <Characters>7112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60</cp:revision>
  <dcterms:created xsi:type="dcterms:W3CDTF">2026-03-03T16:25:00Z</dcterms:created>
  <dcterms:modified xsi:type="dcterms:W3CDTF">2026-03-18T19:40:00Z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