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68A6" w14:textId="308E182C" w:rsidR="00B02B2A" w:rsidRPr="00B02B2A" w:rsidRDefault="00B02B2A" w:rsidP="00B02B2A">
      <w:pPr>
        <w:jc w:val="center"/>
        <w:rPr>
          <w:rFonts w:ascii="Verdana" w:hAnsi="Verdana"/>
          <w:b/>
          <w:bCs/>
          <w:sz w:val="22"/>
          <w:szCs w:val="22"/>
        </w:rPr>
      </w:pPr>
      <w:r w:rsidRPr="001D6BA1">
        <w:rPr>
          <w:rFonts w:ascii="Verdana" w:hAnsi="Verdana"/>
          <w:b/>
          <w:bCs/>
          <w:sz w:val="22"/>
          <w:szCs w:val="22"/>
        </w:rPr>
        <w:t>RESOLUCIÓN 7460 DE 2014</w:t>
      </w:r>
    </w:p>
    <w:p w14:paraId="587013B2" w14:textId="781A13A4" w:rsidR="00B533B6" w:rsidRPr="00B02B2A" w:rsidRDefault="00B533B6" w:rsidP="00B533B6">
      <w:pPr>
        <w:rPr>
          <w:rFonts w:ascii="Verdana" w:hAnsi="Verdana"/>
          <w:sz w:val="20"/>
          <w:szCs w:val="20"/>
        </w:rPr>
      </w:pPr>
      <w:r w:rsidRPr="00B02B2A">
        <w:rPr>
          <w:rFonts w:ascii="Verdana" w:hAnsi="Verdana"/>
          <w:sz w:val="20"/>
          <w:szCs w:val="20"/>
        </w:rPr>
        <w:t xml:space="preserve">Fecha de Expedición: </w:t>
      </w:r>
      <w:r w:rsidR="00B02B2A" w:rsidRPr="00B02B2A">
        <w:rPr>
          <w:rFonts w:ascii="Verdana" w:hAnsi="Verdana"/>
          <w:sz w:val="20"/>
          <w:szCs w:val="20"/>
        </w:rPr>
        <w:t>12 de diciembre</w:t>
      </w:r>
      <w:r w:rsidRPr="00B02B2A">
        <w:rPr>
          <w:rFonts w:ascii="Verdana" w:hAnsi="Verdana"/>
          <w:sz w:val="20"/>
          <w:szCs w:val="20"/>
        </w:rPr>
        <w:t xml:space="preserve"> de 2014</w:t>
      </w:r>
    </w:p>
    <w:p w14:paraId="670DB61A" w14:textId="77777777" w:rsidR="001D6BA1" w:rsidRPr="00B02B2A" w:rsidRDefault="00B533B6" w:rsidP="00B533B6">
      <w:pPr>
        <w:rPr>
          <w:rFonts w:ascii="Verdana" w:hAnsi="Verdana"/>
          <w:sz w:val="20"/>
          <w:szCs w:val="20"/>
        </w:rPr>
      </w:pPr>
      <w:r w:rsidRPr="00B02B2A">
        <w:rPr>
          <w:rFonts w:ascii="Verdana" w:hAnsi="Verdana"/>
          <w:sz w:val="20"/>
          <w:szCs w:val="20"/>
        </w:rPr>
        <w:t xml:space="preserve">Fecha de </w:t>
      </w:r>
      <w:proofErr w:type="gramStart"/>
      <w:r w:rsidRPr="00B02B2A">
        <w:rPr>
          <w:rFonts w:ascii="Verdana" w:hAnsi="Verdana"/>
          <w:sz w:val="20"/>
          <w:szCs w:val="20"/>
        </w:rPr>
        <w:t>entrada en vigencia</w:t>
      </w:r>
      <w:proofErr w:type="gramEnd"/>
      <w:r w:rsidRPr="00B02B2A">
        <w:rPr>
          <w:rFonts w:ascii="Verdana" w:hAnsi="Verdana"/>
          <w:sz w:val="20"/>
          <w:szCs w:val="20"/>
        </w:rPr>
        <w:t xml:space="preserve">: </w:t>
      </w:r>
      <w:r w:rsidR="001D6BA1" w:rsidRPr="00B02B2A">
        <w:rPr>
          <w:rFonts w:ascii="Verdana" w:hAnsi="Verdana"/>
          <w:sz w:val="20"/>
          <w:szCs w:val="20"/>
        </w:rPr>
        <w:t>29 de diciembre de 2014</w:t>
      </w:r>
    </w:p>
    <w:p w14:paraId="3539F370" w14:textId="773185B7" w:rsidR="00B533B6" w:rsidRPr="00B02B2A" w:rsidRDefault="00B533B6" w:rsidP="00B533B6">
      <w:pPr>
        <w:rPr>
          <w:rFonts w:ascii="Verdana" w:hAnsi="Verdana"/>
          <w:sz w:val="20"/>
          <w:szCs w:val="20"/>
        </w:rPr>
      </w:pPr>
      <w:r w:rsidRPr="00B02B2A">
        <w:rPr>
          <w:rFonts w:ascii="Verdana" w:hAnsi="Verdana"/>
          <w:sz w:val="20"/>
          <w:szCs w:val="20"/>
          <w:shd w:val="clear" w:color="auto" w:fill="FFFFFF" w:themeFill="background1"/>
        </w:rPr>
        <w:t xml:space="preserve">Estado de la vigencia: </w:t>
      </w:r>
      <w:r w:rsidR="001D6BA1" w:rsidRPr="00B02B2A">
        <w:rPr>
          <w:rFonts w:ascii="Verdana" w:hAnsi="Verdana"/>
          <w:sz w:val="20"/>
          <w:szCs w:val="20"/>
          <w:shd w:val="clear" w:color="auto" w:fill="FFFFFF" w:themeFill="background1"/>
        </w:rPr>
        <w:t>vigente</w:t>
      </w:r>
    </w:p>
    <w:p w14:paraId="0B3CD0E1" w14:textId="77777777" w:rsidR="00B533B6" w:rsidRPr="00B02B2A" w:rsidRDefault="00B533B6" w:rsidP="00B533B6">
      <w:pPr>
        <w:rPr>
          <w:rFonts w:ascii="Verdana" w:hAnsi="Verdana"/>
          <w:sz w:val="20"/>
          <w:szCs w:val="20"/>
        </w:rPr>
      </w:pPr>
      <w:r w:rsidRPr="00B02B2A">
        <w:rPr>
          <w:rFonts w:ascii="Verdana" w:hAnsi="Verdana"/>
          <w:sz w:val="20"/>
          <w:szCs w:val="20"/>
        </w:rPr>
        <w:t xml:space="preserve">                   </w:t>
      </w:r>
    </w:p>
    <w:p w14:paraId="3725FC44" w14:textId="5C9CDE04" w:rsidR="00B533B6" w:rsidRPr="00B02B2A" w:rsidRDefault="00B533B6" w:rsidP="00B533B6">
      <w:pPr>
        <w:rPr>
          <w:rFonts w:ascii="Verdana" w:hAnsi="Verdana"/>
          <w:sz w:val="20"/>
          <w:szCs w:val="20"/>
        </w:rPr>
      </w:pPr>
      <w:r w:rsidRPr="00B02B2A">
        <w:rPr>
          <w:rFonts w:ascii="Verdana" w:hAnsi="Verdana"/>
          <w:sz w:val="20"/>
          <w:szCs w:val="20"/>
        </w:rPr>
        <w:t xml:space="preserve">Fecha de publicación en Diario Oficial: </w:t>
      </w:r>
      <w:r w:rsidR="001D6BA1" w:rsidRPr="00B02B2A">
        <w:rPr>
          <w:rFonts w:ascii="Verdana" w:hAnsi="Verdana"/>
          <w:sz w:val="20"/>
          <w:szCs w:val="20"/>
        </w:rPr>
        <w:t>29 de diciembre de 2014</w:t>
      </w:r>
    </w:p>
    <w:p w14:paraId="474B7CD7" w14:textId="38D555B7" w:rsidR="00B533B6" w:rsidRPr="00B02B2A" w:rsidRDefault="00B533B6" w:rsidP="00B533B6">
      <w:pPr>
        <w:rPr>
          <w:rFonts w:ascii="Verdana" w:hAnsi="Verdana"/>
          <w:sz w:val="20"/>
          <w:szCs w:val="20"/>
        </w:rPr>
      </w:pPr>
      <w:r w:rsidRPr="00B02B2A">
        <w:rPr>
          <w:rFonts w:ascii="Verdana" w:hAnsi="Verdana"/>
          <w:sz w:val="20"/>
          <w:szCs w:val="20"/>
        </w:rPr>
        <w:t xml:space="preserve">Número del Diario Oficial: </w:t>
      </w:r>
      <w:r w:rsidR="001D6BA1" w:rsidRPr="00B02B2A">
        <w:rPr>
          <w:rFonts w:ascii="Verdana" w:hAnsi="Verdana"/>
          <w:sz w:val="20"/>
          <w:szCs w:val="20"/>
        </w:rPr>
        <w:t>No. 49.379</w:t>
      </w:r>
    </w:p>
    <w:p w14:paraId="7829745D" w14:textId="6BD6B7C5" w:rsidR="00B533B6" w:rsidRPr="001D6BA1" w:rsidRDefault="00B533B6" w:rsidP="001D6BA1">
      <w:pPr>
        <w:jc w:val="center"/>
        <w:rPr>
          <w:rFonts w:ascii="Verdana" w:hAnsi="Verdana"/>
          <w:b/>
          <w:bCs/>
          <w:sz w:val="22"/>
          <w:szCs w:val="22"/>
        </w:rPr>
      </w:pPr>
      <w:r w:rsidRPr="001D6BA1">
        <w:rPr>
          <w:rFonts w:ascii="Verdana" w:hAnsi="Verdana"/>
          <w:b/>
          <w:bCs/>
          <w:sz w:val="22"/>
          <w:szCs w:val="22"/>
        </w:rPr>
        <w:t>RESOLUCIÓN 7460 DE 2014</w:t>
      </w:r>
    </w:p>
    <w:p w14:paraId="50B23321" w14:textId="459D7471" w:rsidR="00B533B6" w:rsidRPr="001D6BA1" w:rsidRDefault="00B533B6" w:rsidP="001D6BA1">
      <w:pPr>
        <w:jc w:val="center"/>
        <w:rPr>
          <w:rFonts w:ascii="Verdana" w:hAnsi="Verdana"/>
          <w:b/>
          <w:bCs/>
          <w:sz w:val="22"/>
          <w:szCs w:val="22"/>
        </w:rPr>
      </w:pPr>
      <w:r w:rsidRPr="001D6BA1">
        <w:rPr>
          <w:rFonts w:ascii="Verdana" w:hAnsi="Verdana"/>
          <w:b/>
          <w:bCs/>
          <w:sz w:val="22"/>
          <w:szCs w:val="22"/>
        </w:rPr>
        <w:t>(</w:t>
      </w:r>
      <w:r w:rsidR="001D6BA1" w:rsidRPr="001D6BA1">
        <w:rPr>
          <w:rFonts w:ascii="Verdana" w:hAnsi="Verdana"/>
          <w:b/>
          <w:bCs/>
          <w:sz w:val="22"/>
          <w:szCs w:val="22"/>
        </w:rPr>
        <w:t xml:space="preserve">12 de </w:t>
      </w:r>
      <w:r w:rsidRPr="001D6BA1">
        <w:rPr>
          <w:rFonts w:ascii="Verdana" w:hAnsi="Verdana"/>
          <w:b/>
          <w:bCs/>
          <w:sz w:val="22"/>
          <w:szCs w:val="22"/>
        </w:rPr>
        <w:t>diciembre)</w:t>
      </w:r>
    </w:p>
    <w:p w14:paraId="0EF16E32" w14:textId="7A9A0405" w:rsidR="00B533B6" w:rsidRPr="001D6BA1" w:rsidRDefault="00B533B6" w:rsidP="001D6BA1">
      <w:pPr>
        <w:jc w:val="center"/>
        <w:rPr>
          <w:rFonts w:ascii="Verdana" w:hAnsi="Verdana"/>
          <w:b/>
          <w:bCs/>
          <w:sz w:val="22"/>
          <w:szCs w:val="22"/>
        </w:rPr>
      </w:pPr>
      <w:r w:rsidRPr="001D6BA1">
        <w:rPr>
          <w:rFonts w:ascii="Verdana" w:hAnsi="Verdana"/>
          <w:b/>
          <w:bCs/>
          <w:sz w:val="22"/>
          <w:szCs w:val="22"/>
        </w:rPr>
        <w:t>INSTITUTO COLOMBIANO DE BIENESTAR FAMILIAR</w:t>
      </w:r>
    </w:p>
    <w:p w14:paraId="002146BE" w14:textId="2D991D51" w:rsidR="00B533B6" w:rsidRPr="001D6BA1" w:rsidRDefault="00B533B6" w:rsidP="001D6BA1">
      <w:pPr>
        <w:jc w:val="center"/>
        <w:rPr>
          <w:rFonts w:ascii="Verdana" w:hAnsi="Verdana"/>
          <w:b/>
          <w:bCs/>
          <w:sz w:val="22"/>
          <w:szCs w:val="22"/>
        </w:rPr>
      </w:pPr>
      <w:r w:rsidRPr="001D6BA1">
        <w:rPr>
          <w:rFonts w:ascii="Verdana" w:hAnsi="Verdana"/>
          <w:b/>
          <w:bCs/>
          <w:sz w:val="22"/>
          <w:szCs w:val="22"/>
        </w:rPr>
        <w:t>CECILIA DE LA FUENTE DE LLERAS</w:t>
      </w:r>
    </w:p>
    <w:p w14:paraId="7793B2E4" w14:textId="3747B6C6" w:rsidR="00B533B6" w:rsidRPr="001D6BA1" w:rsidRDefault="00B533B6" w:rsidP="001D6BA1">
      <w:pPr>
        <w:jc w:val="center"/>
        <w:rPr>
          <w:rFonts w:ascii="Verdana" w:hAnsi="Verdana"/>
          <w:b/>
          <w:bCs/>
          <w:sz w:val="22"/>
          <w:szCs w:val="22"/>
        </w:rPr>
      </w:pPr>
      <w:r w:rsidRPr="001D6BA1">
        <w:rPr>
          <w:rFonts w:ascii="Verdana" w:hAnsi="Verdana"/>
          <w:b/>
          <w:bCs/>
          <w:sz w:val="22"/>
          <w:szCs w:val="22"/>
        </w:rPr>
        <w:t>DIRECCIÓN GENERAL</w:t>
      </w:r>
    </w:p>
    <w:p w14:paraId="344F2C19" w14:textId="2A2A3E54" w:rsidR="00B533B6" w:rsidRPr="00B533B6" w:rsidRDefault="001D6BA1" w:rsidP="001D6BA1">
      <w:pPr>
        <w:jc w:val="center"/>
        <w:rPr>
          <w:rFonts w:ascii="Verdana" w:hAnsi="Verdana"/>
          <w:sz w:val="22"/>
          <w:szCs w:val="22"/>
        </w:rPr>
      </w:pPr>
      <w:r>
        <w:rPr>
          <w:rFonts w:ascii="Verdana" w:hAnsi="Verdana"/>
          <w:sz w:val="22"/>
          <w:szCs w:val="22"/>
        </w:rPr>
        <w:t>“</w:t>
      </w:r>
      <w:r w:rsidR="00B533B6" w:rsidRPr="00B533B6">
        <w:rPr>
          <w:rFonts w:ascii="Verdana" w:hAnsi="Verdana"/>
          <w:sz w:val="22"/>
          <w:szCs w:val="22"/>
        </w:rPr>
        <w:t>Por la cual se autoriza la enajenación de bienes muebles que no se requieren para el normal funcionamiento de la entidad por inservibles o por no ser de utilidad para el ICBF, ubicados en la sede de la Dirección General, a través de los mecanismos establecidos en el Decreto 1510 de 2013.</w:t>
      </w:r>
      <w:r>
        <w:rPr>
          <w:rFonts w:ascii="Verdana" w:hAnsi="Verdana"/>
          <w:sz w:val="22"/>
          <w:szCs w:val="22"/>
        </w:rPr>
        <w:t>”</w:t>
      </w:r>
    </w:p>
    <w:p w14:paraId="3D7BD54A" w14:textId="2FE29C87" w:rsidR="00B533B6" w:rsidRPr="001D6BA1" w:rsidRDefault="00B533B6" w:rsidP="001D6BA1">
      <w:pPr>
        <w:jc w:val="center"/>
        <w:rPr>
          <w:rFonts w:ascii="Verdana" w:hAnsi="Verdana"/>
          <w:b/>
          <w:bCs/>
          <w:sz w:val="22"/>
          <w:szCs w:val="22"/>
        </w:rPr>
      </w:pPr>
      <w:r w:rsidRPr="001D6BA1">
        <w:rPr>
          <w:rFonts w:ascii="Verdana" w:hAnsi="Verdana"/>
          <w:b/>
          <w:bCs/>
          <w:sz w:val="22"/>
          <w:szCs w:val="22"/>
        </w:rPr>
        <w:t>LA DIRECTORA GENERAL DEL INSTITUTO COLOMBIANO DE BIENESTAR FAMILIAR CECILIA DE LA FUENTE DE LLERAS (ICBF),</w:t>
      </w:r>
    </w:p>
    <w:p w14:paraId="1EB96F16" w14:textId="7411C2DF" w:rsidR="00B533B6" w:rsidRPr="00B533B6" w:rsidRDefault="00B533B6" w:rsidP="001D6BA1">
      <w:pPr>
        <w:jc w:val="center"/>
        <w:rPr>
          <w:rFonts w:ascii="Verdana" w:hAnsi="Verdana"/>
          <w:sz w:val="22"/>
          <w:szCs w:val="22"/>
        </w:rPr>
      </w:pPr>
      <w:r w:rsidRPr="00B533B6">
        <w:rPr>
          <w:rFonts w:ascii="Verdana" w:hAnsi="Verdana"/>
          <w:sz w:val="22"/>
          <w:szCs w:val="22"/>
        </w:rPr>
        <w:t>en uso de las facultades legales, especialmente las conferidas en la Ley 1150 de 2007, el Decreto Reglamentario 1510 de 2013, la Resolución número 3146 de 2014 y la Guía para la Gestión de los Bienes en el ICBF, y</w:t>
      </w:r>
    </w:p>
    <w:p w14:paraId="2B41AA01" w14:textId="716701FD" w:rsidR="00B533B6" w:rsidRPr="001D6BA1" w:rsidRDefault="00B533B6" w:rsidP="001D6BA1">
      <w:pPr>
        <w:jc w:val="center"/>
        <w:rPr>
          <w:rFonts w:ascii="Verdana" w:hAnsi="Verdana"/>
          <w:b/>
          <w:bCs/>
          <w:sz w:val="22"/>
          <w:szCs w:val="22"/>
        </w:rPr>
      </w:pPr>
      <w:r w:rsidRPr="001D6BA1">
        <w:rPr>
          <w:rFonts w:ascii="Verdana" w:hAnsi="Verdana"/>
          <w:b/>
          <w:bCs/>
          <w:sz w:val="22"/>
          <w:szCs w:val="22"/>
        </w:rPr>
        <w:t>CONSIDERANDO:</w:t>
      </w:r>
    </w:p>
    <w:p w14:paraId="205D3EEA" w14:textId="2C8DF5FE"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de conformidad con el artículo 269 de la Constitución Política, las Entidades Públicas y las autoridades correspondientes están obligadas a diseñar y aplicar, según la naturaleza de sus funciones, métodos y procedimientos de control interno, y que con fundamento en los principios de eficacia y economía establecidos en el artículo 209 de la Constitución Política, se hace necesario, fortalecer el Control Interno sobre las propiedades, planta y equipo del Instituto.</w:t>
      </w:r>
    </w:p>
    <w:p w14:paraId="1772E75B" w14:textId="718259C1"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 xml:space="preserve">Que el artículo 60 de la Ley 780 de 2002 establece, que cuando los órganos que conforman el Presupuesto General de la </w:t>
      </w:r>
      <w:proofErr w:type="gramStart"/>
      <w:r w:rsidRPr="001D6BA1">
        <w:rPr>
          <w:rFonts w:ascii="Verdana" w:hAnsi="Verdana"/>
          <w:sz w:val="22"/>
          <w:szCs w:val="22"/>
        </w:rPr>
        <w:t>Nación,</w:t>
      </w:r>
      <w:proofErr w:type="gramEnd"/>
      <w:r w:rsidRPr="001D6BA1">
        <w:rPr>
          <w:rFonts w:ascii="Verdana" w:hAnsi="Verdana"/>
          <w:sz w:val="22"/>
          <w:szCs w:val="22"/>
        </w:rPr>
        <w:t xml:space="preserve"> posean bienes muebles que en la actualidad no se estén utilizando o que no sean necesarios para el desarrollo normal de sus funciones, deberán adelantar todas las actividades tendientes a enajenarlos o arrendarlos.</w:t>
      </w:r>
    </w:p>
    <w:p w14:paraId="74CB6455" w14:textId="1541D2BE"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mediante el Decreto 1510 de 2013, por el cual se reglamenta el sistema de compras y contratación pública, se establecen los mecanismos para la enajenación de bienes del Estado.</w:t>
      </w:r>
    </w:p>
    <w:p w14:paraId="3DB267BD" w14:textId="22B3DC66"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lastRenderedPageBreak/>
        <w:t>Que de conformidad con el artículo 88 del Decreto 1510 de 2013, la selección abreviada es la modalidad para la enajenación de bienes del Estado, la cual se rige por las disposiciones contenidas en el presente capítulo, salvo por las normas aplicables a la enajenación de los bienes a cargo del Fondo para la Rehabilitación, Inversión Social y Lucha contra el Crimen Organizado y la enajenación de que tratan la Ley 226 de 1995, el Decreto-ley 254 de 2000 y la Ley 1105 de 2006.</w:t>
      </w:r>
    </w:p>
    <w:p w14:paraId="15843DA2" w14:textId="03EA0F24"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el artículo 91 del Decreto 1510 de 2013 señala que las entidades estatales que no están obligadas a la enajenación de sus bienes a la Central de Inversiones (CISA) S.A., de acuerdo con lo dispuesto en el artículo 90 del mismo decreto, pueden realizar directamente la enajenación, o contratar para ello promotores, bancas de inversión, martillos, comisionistas de bolsas de bienes y productos, o cualquier otro intermediario idóneo, según corresponda al tipo de bien a enajenar.</w:t>
      </w:r>
    </w:p>
    <w:p w14:paraId="7DAC4B9D" w14:textId="37F51B59"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mediante Resolución número 3042 de 2012, se aprobó el Manual del Sistema integrado de Gestión versión 7.0 y se adoptaron los Macroprocesos y Procesos del ICBF.</w:t>
      </w:r>
    </w:p>
    <w:p w14:paraId="34EB0FD6" w14:textId="66C994A9"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teniendo en cuenta lo anterior, el ICBF adoptó la Guía para la Gestión de los Bienes V5 del Instituto G2 MPA1 P5, con la finalidad de desarrollar labores inherentes a la administración de los bienes muebles e inmuebles de su propiedad y de aquellos que reciba a cualquier otro título.</w:t>
      </w:r>
    </w:p>
    <w:p w14:paraId="6C8830D8" w14:textId="0CA70857" w:rsidR="00B533B6" w:rsidRPr="001D6BA1" w:rsidRDefault="00B533B6" w:rsidP="001D6BA1">
      <w:pPr>
        <w:pStyle w:val="Prrafodelista"/>
        <w:numPr>
          <w:ilvl w:val="0"/>
          <w:numId w:val="1"/>
        </w:numPr>
        <w:jc w:val="both"/>
        <w:rPr>
          <w:rFonts w:ascii="Verdana" w:hAnsi="Verdana"/>
          <w:sz w:val="22"/>
          <w:szCs w:val="22"/>
        </w:rPr>
      </w:pPr>
      <w:proofErr w:type="gramStart"/>
      <w:r w:rsidRPr="001D6BA1">
        <w:rPr>
          <w:rFonts w:ascii="Verdana" w:hAnsi="Verdana"/>
          <w:sz w:val="22"/>
          <w:szCs w:val="22"/>
        </w:rPr>
        <w:t>Que</w:t>
      </w:r>
      <w:proofErr w:type="gramEnd"/>
      <w:r w:rsidRPr="001D6BA1">
        <w:rPr>
          <w:rFonts w:ascii="Verdana" w:hAnsi="Verdana"/>
          <w:sz w:val="22"/>
          <w:szCs w:val="22"/>
        </w:rPr>
        <w:t xml:space="preserve"> de conformidad a lo establecido con los estándares de calidad exigidos por la Dirección de Planeación y Control de Gestión del ICBF, la Dirección Administrativa en sus macroprocesos cuenta con procedimientos internos y con la Guía de Gestión de Bienes V5, en los cuales se señala el trámite a seguir para definir la destinación y enajenación bienes muebles de su propiedad que no se requieran para su servicio.</w:t>
      </w:r>
    </w:p>
    <w:p w14:paraId="443944C1" w14:textId="6E68D418"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dando cumplimiento al procedimiento número PR4 MPA1 P5 que define la destinación de bienes muebles y el trámite de baja definitiva de bienes muebles que no son requeridos para el desarrollo del servicio, establecido en el procedimiento. número PR6 MPA1 P5, los bienes objeto de venta en la presente resolución han sido clasificados por grupos, de acuerdo con sus características con costo histórico, depreciación acumulada, valor registrado en gasto y saldo en libros como consta en el acta de inspección ocular en la cual se encuentran relacionados los bienes inservibles, obsoletos y/o no necesarios en trece (13) folios con corte a 31 de julio de 2014, suscrita por el almacenista y el encargado de bodega de la Sede de la Dirección General, la cual hace parte integral de la presente resolución.</w:t>
      </w:r>
    </w:p>
    <w:p w14:paraId="3E569360" w14:textId="156763BF"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 xml:space="preserve">Que a 31 de julio de 2014 se encuentran contabilizados bienes muebles inservibles de la Sede de la Dirección General cuyo costo histórico es de </w:t>
      </w:r>
      <w:r w:rsidRPr="001D6BA1">
        <w:rPr>
          <w:rFonts w:ascii="Verdana" w:hAnsi="Verdana"/>
          <w:sz w:val="22"/>
          <w:szCs w:val="22"/>
        </w:rPr>
        <w:lastRenderedPageBreak/>
        <w:t>$1.490.900.585,01, con una depreciación acumulada de $1.054.984.133.88 , un valor registrado en gastos de $435.916.451,13 y un saldo en libros de $0.00, y bienes muebles no explotados cuyo costo histórico es de $103.080.00, con una depreciación acumulada de $0.00, un valor registrado en gastos de $0.00 y un saldo en libros de $103.080.00, los cuales son considerados como elementos no necesarios, elementos que no son objeto de depreciación por corresponder a la agrupación de joyas y piedras preciosas.</w:t>
      </w:r>
    </w:p>
    <w:p w14:paraId="0A2D415E" w14:textId="62B162C2"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 xml:space="preserve">Que la </w:t>
      </w:r>
      <w:proofErr w:type="gramStart"/>
      <w:r w:rsidRPr="001D6BA1">
        <w:rPr>
          <w:rFonts w:ascii="Verdana" w:hAnsi="Verdana"/>
          <w:sz w:val="22"/>
          <w:szCs w:val="22"/>
        </w:rPr>
        <w:t>Directora</w:t>
      </w:r>
      <w:proofErr w:type="gramEnd"/>
      <w:r w:rsidRPr="001D6BA1">
        <w:rPr>
          <w:rFonts w:ascii="Verdana" w:hAnsi="Verdana"/>
          <w:sz w:val="22"/>
          <w:szCs w:val="22"/>
        </w:rPr>
        <w:t xml:space="preserve"> Administrativa, mediante certificación de fecha del 17 de septiembre de 2014, hace constar que estos bienes no son necesarios para el normal funcionamiento de la entidad, certificación soportada en el concepto contenido en la Acta de Inspección Ocular del 31 de julio de 2014, suscrita por los servidores públicos, Roberto Osorio Vargas y María del Rosario Viana Delgado, en su condición de almacenista y encargado de Bodega de la Sede de la Dirección General, respectivamente.</w:t>
      </w:r>
    </w:p>
    <w:p w14:paraId="56685532" w14:textId="3A60C0E2"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en virtud de lo dispuesto en el Decreto 1510 de 2013, el ICBF podrá enajenar sus bienes a través de los mecanismos de oferta en sobre cerrado, subasta pública o contratar un intermediario idóneo para que realice la Intermediación Comercial tendiente al logro y perfeccionamiento de la enajenación mediante procedimientos de subasta pública de los bienes muebles e inmuebles, de propiedad del Instituto Colombiano de Bienestar Familiar – ICBF, en todo el territorio nacional, y así mismo brinde asesoría en la creación de los lotes y determinación del precio mínimo de venta con base en las condiciones del mercado, el estado de los bienes muebles y el registro en libros.</w:t>
      </w:r>
    </w:p>
    <w:p w14:paraId="438DE61C" w14:textId="3C8E55F7"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Que de conformidad con lo dispuesto en el artículo 100 del Decreto 1510 de 2013, la enajenación de bienes mediante intermediarios debe realizarse a través de subasta pública, o mediante el mecanismo de derecho privado que se convenga con el intermediario.</w:t>
      </w:r>
    </w:p>
    <w:p w14:paraId="5D444D86" w14:textId="2229A53A" w:rsidR="00B533B6" w:rsidRPr="001D6BA1" w:rsidRDefault="00B533B6" w:rsidP="001D6BA1">
      <w:pPr>
        <w:pStyle w:val="Prrafodelista"/>
        <w:numPr>
          <w:ilvl w:val="0"/>
          <w:numId w:val="1"/>
        </w:numPr>
        <w:jc w:val="both"/>
        <w:rPr>
          <w:rFonts w:ascii="Verdana" w:hAnsi="Verdana"/>
          <w:sz w:val="22"/>
          <w:szCs w:val="22"/>
        </w:rPr>
      </w:pPr>
      <w:r w:rsidRPr="001D6BA1">
        <w:rPr>
          <w:rFonts w:ascii="Verdana" w:hAnsi="Verdana"/>
          <w:sz w:val="22"/>
          <w:szCs w:val="22"/>
        </w:rPr>
        <w:t>Por lo anteriormente expuesto,</w:t>
      </w:r>
    </w:p>
    <w:p w14:paraId="734971F8" w14:textId="75FE50BB" w:rsidR="00B533B6" w:rsidRPr="001D6BA1" w:rsidRDefault="00B533B6" w:rsidP="001D6BA1">
      <w:pPr>
        <w:jc w:val="center"/>
        <w:rPr>
          <w:rFonts w:ascii="Verdana" w:hAnsi="Verdana"/>
          <w:b/>
          <w:bCs/>
          <w:sz w:val="22"/>
          <w:szCs w:val="22"/>
        </w:rPr>
      </w:pPr>
      <w:r w:rsidRPr="001D6BA1">
        <w:rPr>
          <w:rFonts w:ascii="Verdana" w:hAnsi="Verdana"/>
          <w:b/>
          <w:bCs/>
          <w:sz w:val="22"/>
          <w:szCs w:val="22"/>
        </w:rPr>
        <w:t>RESUELVE:</w:t>
      </w:r>
    </w:p>
    <w:p w14:paraId="63A62F34" w14:textId="77777777" w:rsidR="00B533B6" w:rsidRPr="00B533B6" w:rsidRDefault="00B533B6" w:rsidP="00B533B6">
      <w:pPr>
        <w:rPr>
          <w:rFonts w:ascii="Verdana" w:hAnsi="Verdana"/>
          <w:sz w:val="22"/>
          <w:szCs w:val="22"/>
        </w:rPr>
      </w:pPr>
      <w:r w:rsidRPr="001D6BA1">
        <w:rPr>
          <w:rFonts w:ascii="Verdana" w:hAnsi="Verdana"/>
          <w:b/>
          <w:bCs/>
          <w:sz w:val="22"/>
          <w:szCs w:val="22"/>
        </w:rPr>
        <w:t>ARTÍCULO 1o.</w:t>
      </w:r>
      <w:r w:rsidRPr="00B533B6">
        <w:rPr>
          <w:rFonts w:ascii="Verdana" w:hAnsi="Verdana"/>
          <w:sz w:val="22"/>
          <w:szCs w:val="22"/>
        </w:rPr>
        <w:t xml:space="preserve"> Autorizar la enajenación de los bienes muebles que no se requieren para el normal funcionamiento de la entidad por inservibles o por no ser de utilidad para el ICBF, ubicados en la Av. Carrera 68 # 64c-75 de la ciudad de Bogotá, y descritos en la Relación de bienes inservibles y/</w:t>
      </w:r>
      <w:proofErr w:type="spellStart"/>
      <w:r w:rsidRPr="00B533B6">
        <w:rPr>
          <w:rFonts w:ascii="Verdana" w:hAnsi="Verdana"/>
          <w:sz w:val="22"/>
          <w:szCs w:val="22"/>
        </w:rPr>
        <w:t>o</w:t>
      </w:r>
      <w:proofErr w:type="spellEnd"/>
      <w:r w:rsidRPr="00B533B6">
        <w:rPr>
          <w:rFonts w:ascii="Verdana" w:hAnsi="Verdana"/>
          <w:sz w:val="22"/>
          <w:szCs w:val="22"/>
        </w:rPr>
        <w:t xml:space="preserve"> obsoletos y no explotados con corte a 31 de julio de 2014, Bodega de Inservibles – número 1003, Bodega de No explotados – número 1010 a través de los mecanismos dispuestos en el Decreto 1510 de 2013.</w:t>
      </w:r>
    </w:p>
    <w:p w14:paraId="5158443A" w14:textId="77777777" w:rsidR="00B533B6" w:rsidRPr="00B533B6" w:rsidRDefault="00B533B6" w:rsidP="00B533B6">
      <w:pPr>
        <w:rPr>
          <w:rFonts w:ascii="Verdana" w:hAnsi="Verdana"/>
          <w:sz w:val="22"/>
          <w:szCs w:val="22"/>
        </w:rPr>
      </w:pPr>
      <w:r w:rsidRPr="001D6BA1">
        <w:rPr>
          <w:rFonts w:ascii="Verdana" w:hAnsi="Verdana"/>
          <w:b/>
          <w:bCs/>
          <w:sz w:val="22"/>
          <w:szCs w:val="22"/>
        </w:rPr>
        <w:t>ARTÍCULO 2o.</w:t>
      </w:r>
      <w:r w:rsidRPr="00B533B6">
        <w:rPr>
          <w:rFonts w:ascii="Verdana" w:hAnsi="Verdana"/>
          <w:sz w:val="22"/>
          <w:szCs w:val="22"/>
        </w:rPr>
        <w:t xml:space="preserve"> El precio mínimo de venta se establecerá de acuerdo con lo señalado en el artículo 106 del citado decreto.</w:t>
      </w:r>
    </w:p>
    <w:p w14:paraId="24287999" w14:textId="77777777" w:rsidR="00B533B6" w:rsidRPr="00B533B6" w:rsidRDefault="00B533B6" w:rsidP="00B533B6">
      <w:pPr>
        <w:rPr>
          <w:rFonts w:ascii="Verdana" w:hAnsi="Verdana"/>
          <w:sz w:val="22"/>
          <w:szCs w:val="22"/>
        </w:rPr>
      </w:pPr>
      <w:r w:rsidRPr="001D6BA1">
        <w:rPr>
          <w:rFonts w:ascii="Verdana" w:hAnsi="Verdana"/>
          <w:b/>
          <w:bCs/>
          <w:sz w:val="22"/>
          <w:szCs w:val="22"/>
        </w:rPr>
        <w:lastRenderedPageBreak/>
        <w:t>ARTÍCULO 3o.</w:t>
      </w:r>
      <w:r w:rsidRPr="00B533B6">
        <w:rPr>
          <w:rFonts w:ascii="Verdana" w:hAnsi="Verdana"/>
          <w:sz w:val="22"/>
          <w:szCs w:val="22"/>
        </w:rPr>
        <w:t xml:space="preserve"> Una vez se perfeccione la enajenación serán dados de baja definitiva los bienes muebles en el sistema de información SEVEN/ERP, elementos que previamente fueron identificados en el acta de inspección ocular con la relación de bienes inservibles y/</w:t>
      </w:r>
      <w:proofErr w:type="spellStart"/>
      <w:r w:rsidRPr="00B533B6">
        <w:rPr>
          <w:rFonts w:ascii="Verdana" w:hAnsi="Verdana"/>
          <w:sz w:val="22"/>
          <w:szCs w:val="22"/>
        </w:rPr>
        <w:t>o</w:t>
      </w:r>
      <w:proofErr w:type="spellEnd"/>
      <w:r w:rsidRPr="00B533B6">
        <w:rPr>
          <w:rFonts w:ascii="Verdana" w:hAnsi="Verdana"/>
          <w:sz w:val="22"/>
          <w:szCs w:val="22"/>
        </w:rPr>
        <w:t xml:space="preserve"> obsoletos y no explotados con corte a 31 de julio de 2014 en trece (13) folios, Bodega de Inservibles -1003 y Bodega No explotados (1010), la cual forma parte integral de la presente resolución y que se encuentran físicamente en las bodegas de la Sede de la Dirección General, determinados por Grupo, Placa, Elemento, Serial, Marca, Modelo, Costo Histórico, Depreciación Acumulada, Valor Registrado en Gasto y Saldo en libros, elementos que se relacionan por agrupación así:</w:t>
      </w:r>
    </w:p>
    <w:p w14:paraId="018995BA" w14:textId="77777777" w:rsidR="001D6BA1" w:rsidRPr="001D6BA1" w:rsidRDefault="001D6BA1" w:rsidP="001D6BA1">
      <w:pPr>
        <w:rPr>
          <w:rFonts w:ascii="Verdana" w:hAnsi="Verdana"/>
          <w:sz w:val="22"/>
          <w:szCs w:val="22"/>
        </w:rPr>
      </w:pPr>
      <w:r w:rsidRPr="001D6BA1">
        <w:rPr>
          <w:rFonts w:ascii="Verdana" w:hAnsi="Verdana"/>
          <w:b/>
          <w:bCs/>
          <w:sz w:val="22"/>
          <w:szCs w:val="22"/>
        </w:rPr>
        <w:t>Bienes Inservibles</w:t>
      </w:r>
    </w:p>
    <w:tbl>
      <w:tblPr>
        <w:tblStyle w:val="Tablaconcuadrcula"/>
        <w:tblW w:w="5050" w:type="pct"/>
        <w:tblLook w:val="04A0" w:firstRow="1" w:lastRow="0" w:firstColumn="1" w:lastColumn="0" w:noHBand="0" w:noVBand="1"/>
      </w:tblPr>
      <w:tblGrid>
        <w:gridCol w:w="885"/>
        <w:gridCol w:w="1813"/>
        <w:gridCol w:w="1813"/>
        <w:gridCol w:w="1641"/>
        <w:gridCol w:w="1510"/>
        <w:gridCol w:w="1510"/>
        <w:gridCol w:w="769"/>
      </w:tblGrid>
      <w:tr w:rsidR="001D6BA1" w:rsidRPr="001D6BA1" w14:paraId="49EB0328" w14:textId="77777777" w:rsidTr="001D6BA1">
        <w:tc>
          <w:tcPr>
            <w:tcW w:w="400" w:type="pct"/>
            <w:hideMark/>
          </w:tcPr>
          <w:p w14:paraId="1641A849"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Bodega</w:t>
            </w:r>
          </w:p>
        </w:tc>
        <w:tc>
          <w:tcPr>
            <w:tcW w:w="650" w:type="pct"/>
            <w:hideMark/>
          </w:tcPr>
          <w:p w14:paraId="6FE1B655"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Agrupación</w:t>
            </w:r>
          </w:p>
        </w:tc>
        <w:tc>
          <w:tcPr>
            <w:tcW w:w="1100" w:type="pct"/>
            <w:hideMark/>
          </w:tcPr>
          <w:p w14:paraId="411CE0F7"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Nombre de Agrupación</w:t>
            </w:r>
          </w:p>
        </w:tc>
        <w:tc>
          <w:tcPr>
            <w:tcW w:w="800" w:type="pct"/>
            <w:hideMark/>
          </w:tcPr>
          <w:p w14:paraId="0BEF2C31"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Costo Histórico</w:t>
            </w:r>
          </w:p>
        </w:tc>
        <w:tc>
          <w:tcPr>
            <w:tcW w:w="800" w:type="pct"/>
            <w:hideMark/>
          </w:tcPr>
          <w:p w14:paraId="717EF9B6"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Depreciación Acumulada</w:t>
            </w:r>
          </w:p>
        </w:tc>
        <w:tc>
          <w:tcPr>
            <w:tcW w:w="800" w:type="pct"/>
            <w:hideMark/>
          </w:tcPr>
          <w:p w14:paraId="2F3EB7E0"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Valor registrado en Gasto*</w:t>
            </w:r>
          </w:p>
        </w:tc>
        <w:tc>
          <w:tcPr>
            <w:tcW w:w="450" w:type="pct"/>
            <w:hideMark/>
          </w:tcPr>
          <w:p w14:paraId="1420D07D"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Saldo en Libros</w:t>
            </w:r>
          </w:p>
        </w:tc>
      </w:tr>
      <w:tr w:rsidR="001D6BA1" w:rsidRPr="001D6BA1" w14:paraId="387EC3AA" w14:textId="77777777" w:rsidTr="001D6BA1">
        <w:tc>
          <w:tcPr>
            <w:tcW w:w="400" w:type="pct"/>
            <w:hideMark/>
          </w:tcPr>
          <w:p w14:paraId="57E4F4C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058ED7E0"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202</w:t>
            </w:r>
          </w:p>
        </w:tc>
        <w:tc>
          <w:tcPr>
            <w:tcW w:w="1100" w:type="pct"/>
            <w:hideMark/>
          </w:tcPr>
          <w:p w14:paraId="53FC699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Obras de Arte y condecoraciones Institucionales</w:t>
            </w:r>
          </w:p>
        </w:tc>
        <w:tc>
          <w:tcPr>
            <w:tcW w:w="800" w:type="pct"/>
            <w:hideMark/>
          </w:tcPr>
          <w:p w14:paraId="156BAF0F"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533.612,00</w:t>
            </w:r>
          </w:p>
        </w:tc>
        <w:tc>
          <w:tcPr>
            <w:tcW w:w="800" w:type="pct"/>
            <w:hideMark/>
          </w:tcPr>
          <w:p w14:paraId="5F2786D3"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w:t>
            </w:r>
          </w:p>
        </w:tc>
        <w:tc>
          <w:tcPr>
            <w:tcW w:w="800" w:type="pct"/>
            <w:hideMark/>
          </w:tcPr>
          <w:p w14:paraId="0A6C253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533.612,00</w:t>
            </w:r>
          </w:p>
        </w:tc>
        <w:tc>
          <w:tcPr>
            <w:tcW w:w="450" w:type="pct"/>
            <w:hideMark/>
          </w:tcPr>
          <w:p w14:paraId="71DCA3A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2EBC4B3A" w14:textId="77777777" w:rsidTr="001D6BA1">
        <w:tc>
          <w:tcPr>
            <w:tcW w:w="400" w:type="pct"/>
            <w:hideMark/>
          </w:tcPr>
          <w:p w14:paraId="7225189C"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142E204C"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203</w:t>
            </w:r>
          </w:p>
        </w:tc>
        <w:tc>
          <w:tcPr>
            <w:tcW w:w="1100" w:type="pct"/>
            <w:hideMark/>
          </w:tcPr>
          <w:p w14:paraId="4899AE65"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de Procesamiento de Datos</w:t>
            </w:r>
          </w:p>
        </w:tc>
        <w:tc>
          <w:tcPr>
            <w:tcW w:w="800" w:type="pct"/>
            <w:hideMark/>
          </w:tcPr>
          <w:p w14:paraId="4AC427AA" w14:textId="77777777" w:rsidR="001D6BA1" w:rsidRPr="001D6BA1" w:rsidRDefault="001D6BA1" w:rsidP="001D6BA1">
            <w:pPr>
              <w:spacing w:after="160"/>
              <w:rPr>
                <w:rFonts w:ascii="Verdana" w:hAnsi="Verdana"/>
                <w:sz w:val="16"/>
                <w:szCs w:val="16"/>
              </w:rPr>
            </w:pPr>
            <w:r w:rsidRPr="001D6BA1">
              <w:rPr>
                <w:rFonts w:ascii="Verdana" w:hAnsi="Verdana"/>
                <w:sz w:val="16"/>
                <w:szCs w:val="16"/>
              </w:rPr>
              <w:t>769.044.349,66</w:t>
            </w:r>
          </w:p>
        </w:tc>
        <w:tc>
          <w:tcPr>
            <w:tcW w:w="800" w:type="pct"/>
            <w:hideMark/>
          </w:tcPr>
          <w:p w14:paraId="62328FD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580.807.742,94</w:t>
            </w:r>
          </w:p>
        </w:tc>
        <w:tc>
          <w:tcPr>
            <w:tcW w:w="800" w:type="pct"/>
            <w:hideMark/>
          </w:tcPr>
          <w:p w14:paraId="48C4A78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188.236.606,72</w:t>
            </w:r>
          </w:p>
        </w:tc>
        <w:tc>
          <w:tcPr>
            <w:tcW w:w="450" w:type="pct"/>
            <w:hideMark/>
          </w:tcPr>
          <w:p w14:paraId="3B5B0AD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33B57970" w14:textId="77777777" w:rsidTr="001D6BA1">
        <w:tc>
          <w:tcPr>
            <w:tcW w:w="400" w:type="pct"/>
            <w:hideMark/>
          </w:tcPr>
          <w:p w14:paraId="089EB77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4BF1A121"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206</w:t>
            </w:r>
          </w:p>
        </w:tc>
        <w:tc>
          <w:tcPr>
            <w:tcW w:w="1100" w:type="pct"/>
            <w:hideMark/>
          </w:tcPr>
          <w:p w14:paraId="0FBF58B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y Máquinas para Comedor Cocina y Despensa</w:t>
            </w:r>
          </w:p>
        </w:tc>
        <w:tc>
          <w:tcPr>
            <w:tcW w:w="800" w:type="pct"/>
            <w:hideMark/>
          </w:tcPr>
          <w:p w14:paraId="3ABB2345"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12.676.897,00</w:t>
            </w:r>
          </w:p>
        </w:tc>
        <w:tc>
          <w:tcPr>
            <w:tcW w:w="800" w:type="pct"/>
            <w:hideMark/>
          </w:tcPr>
          <w:p w14:paraId="3844F02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11.380.060,00</w:t>
            </w:r>
          </w:p>
        </w:tc>
        <w:tc>
          <w:tcPr>
            <w:tcW w:w="800" w:type="pct"/>
            <w:hideMark/>
          </w:tcPr>
          <w:p w14:paraId="47BDB2BA"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1.296.837,00</w:t>
            </w:r>
          </w:p>
        </w:tc>
        <w:tc>
          <w:tcPr>
            <w:tcW w:w="450" w:type="pct"/>
            <w:hideMark/>
          </w:tcPr>
          <w:p w14:paraId="537E6A01"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06AC80C9" w14:textId="77777777" w:rsidTr="001D6BA1">
        <w:tc>
          <w:tcPr>
            <w:tcW w:w="400" w:type="pct"/>
            <w:hideMark/>
          </w:tcPr>
          <w:p w14:paraId="540085B1"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3315C67F"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207</w:t>
            </w:r>
          </w:p>
        </w:tc>
        <w:tc>
          <w:tcPr>
            <w:tcW w:w="1100" w:type="pct"/>
            <w:hideMark/>
          </w:tcPr>
          <w:p w14:paraId="656CBEE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Máquinas y elementos para Comunicación</w:t>
            </w:r>
          </w:p>
        </w:tc>
        <w:tc>
          <w:tcPr>
            <w:tcW w:w="800" w:type="pct"/>
            <w:hideMark/>
          </w:tcPr>
          <w:p w14:paraId="17E418F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587.813.923,35</w:t>
            </w:r>
          </w:p>
        </w:tc>
        <w:tc>
          <w:tcPr>
            <w:tcW w:w="800" w:type="pct"/>
            <w:hideMark/>
          </w:tcPr>
          <w:p w14:paraId="249F1B18" w14:textId="77777777" w:rsidR="001D6BA1" w:rsidRPr="001D6BA1" w:rsidRDefault="001D6BA1" w:rsidP="001D6BA1">
            <w:pPr>
              <w:spacing w:after="160"/>
              <w:rPr>
                <w:rFonts w:ascii="Verdana" w:hAnsi="Verdana"/>
                <w:sz w:val="16"/>
                <w:szCs w:val="16"/>
              </w:rPr>
            </w:pPr>
            <w:r w:rsidRPr="001D6BA1">
              <w:rPr>
                <w:rFonts w:ascii="Verdana" w:hAnsi="Verdana"/>
                <w:sz w:val="16"/>
                <w:szCs w:val="16"/>
              </w:rPr>
              <w:t>385.936.961,69</w:t>
            </w:r>
          </w:p>
        </w:tc>
        <w:tc>
          <w:tcPr>
            <w:tcW w:w="800" w:type="pct"/>
            <w:hideMark/>
          </w:tcPr>
          <w:p w14:paraId="06DF2D4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201.876.961,66</w:t>
            </w:r>
          </w:p>
        </w:tc>
        <w:tc>
          <w:tcPr>
            <w:tcW w:w="450" w:type="pct"/>
            <w:hideMark/>
          </w:tcPr>
          <w:p w14:paraId="3AD7DFA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232A5DFA" w14:textId="77777777" w:rsidTr="001D6BA1">
        <w:tc>
          <w:tcPr>
            <w:tcW w:w="400" w:type="pct"/>
            <w:hideMark/>
          </w:tcPr>
          <w:p w14:paraId="22D5547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6D15607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208</w:t>
            </w:r>
          </w:p>
        </w:tc>
        <w:tc>
          <w:tcPr>
            <w:tcW w:w="1100" w:type="pct"/>
            <w:hideMark/>
          </w:tcPr>
          <w:p w14:paraId="6821D6BE"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y Máquinas para Producción y Mantenimiento</w:t>
            </w:r>
          </w:p>
        </w:tc>
        <w:tc>
          <w:tcPr>
            <w:tcW w:w="800" w:type="pct"/>
            <w:hideMark/>
          </w:tcPr>
          <w:p w14:paraId="7538356D"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2.070.046,00</w:t>
            </w:r>
          </w:p>
        </w:tc>
        <w:tc>
          <w:tcPr>
            <w:tcW w:w="800" w:type="pct"/>
            <w:hideMark/>
          </w:tcPr>
          <w:p w14:paraId="086680DA" w14:textId="77777777" w:rsidR="001D6BA1" w:rsidRPr="001D6BA1" w:rsidRDefault="001D6BA1" w:rsidP="001D6BA1">
            <w:pPr>
              <w:spacing w:after="160"/>
              <w:rPr>
                <w:rFonts w:ascii="Verdana" w:hAnsi="Verdana"/>
                <w:sz w:val="16"/>
                <w:szCs w:val="16"/>
              </w:rPr>
            </w:pPr>
            <w:r w:rsidRPr="001D6BA1">
              <w:rPr>
                <w:rFonts w:ascii="Verdana" w:hAnsi="Verdana"/>
                <w:sz w:val="16"/>
                <w:szCs w:val="16"/>
              </w:rPr>
              <w:t>953.359,94</w:t>
            </w:r>
          </w:p>
        </w:tc>
        <w:tc>
          <w:tcPr>
            <w:tcW w:w="800" w:type="pct"/>
            <w:hideMark/>
          </w:tcPr>
          <w:p w14:paraId="5F69CE2F"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1.116.686,06</w:t>
            </w:r>
          </w:p>
        </w:tc>
        <w:tc>
          <w:tcPr>
            <w:tcW w:w="450" w:type="pct"/>
            <w:hideMark/>
          </w:tcPr>
          <w:p w14:paraId="7917DA9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30C27CD9" w14:textId="77777777" w:rsidTr="001D6BA1">
        <w:tc>
          <w:tcPr>
            <w:tcW w:w="400" w:type="pct"/>
            <w:hideMark/>
          </w:tcPr>
          <w:p w14:paraId="2B64086D"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37A417D0"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210</w:t>
            </w:r>
          </w:p>
        </w:tc>
        <w:tc>
          <w:tcPr>
            <w:tcW w:w="1100" w:type="pct"/>
            <w:hideMark/>
          </w:tcPr>
          <w:p w14:paraId="2D3254B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y Máquinas para Deporte y sus Accesorios</w:t>
            </w:r>
          </w:p>
        </w:tc>
        <w:tc>
          <w:tcPr>
            <w:tcW w:w="800" w:type="pct"/>
            <w:hideMark/>
          </w:tcPr>
          <w:p w14:paraId="7EE8B543"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29.709.617,00</w:t>
            </w:r>
          </w:p>
        </w:tc>
        <w:tc>
          <w:tcPr>
            <w:tcW w:w="800" w:type="pct"/>
            <w:hideMark/>
          </w:tcPr>
          <w:p w14:paraId="407EC1CD" w14:textId="77777777" w:rsidR="001D6BA1" w:rsidRPr="001D6BA1" w:rsidRDefault="001D6BA1" w:rsidP="001D6BA1">
            <w:pPr>
              <w:spacing w:after="160"/>
              <w:rPr>
                <w:rFonts w:ascii="Verdana" w:hAnsi="Verdana"/>
                <w:sz w:val="16"/>
                <w:szCs w:val="16"/>
              </w:rPr>
            </w:pPr>
            <w:r w:rsidRPr="001D6BA1">
              <w:rPr>
                <w:rFonts w:ascii="Verdana" w:hAnsi="Verdana"/>
                <w:sz w:val="16"/>
                <w:szCs w:val="16"/>
              </w:rPr>
              <w:t>4.862.302,00</w:t>
            </w:r>
          </w:p>
        </w:tc>
        <w:tc>
          <w:tcPr>
            <w:tcW w:w="800" w:type="pct"/>
            <w:hideMark/>
          </w:tcPr>
          <w:p w14:paraId="59DDB60E"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24.847.315,00</w:t>
            </w:r>
          </w:p>
        </w:tc>
        <w:tc>
          <w:tcPr>
            <w:tcW w:w="450" w:type="pct"/>
            <w:hideMark/>
          </w:tcPr>
          <w:p w14:paraId="299E161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35894D13" w14:textId="77777777" w:rsidTr="001D6BA1">
        <w:tc>
          <w:tcPr>
            <w:tcW w:w="400" w:type="pct"/>
            <w:hideMark/>
          </w:tcPr>
          <w:p w14:paraId="303C5A6A"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1665563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211</w:t>
            </w:r>
          </w:p>
        </w:tc>
        <w:tc>
          <w:tcPr>
            <w:tcW w:w="1100" w:type="pct"/>
            <w:hideMark/>
          </w:tcPr>
          <w:p w14:paraId="48A987A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y Maquinas para Microfilmación</w:t>
            </w:r>
          </w:p>
        </w:tc>
        <w:tc>
          <w:tcPr>
            <w:tcW w:w="800" w:type="pct"/>
            <w:hideMark/>
          </w:tcPr>
          <w:p w14:paraId="2AC5B4F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10.319.600,00</w:t>
            </w:r>
          </w:p>
        </w:tc>
        <w:tc>
          <w:tcPr>
            <w:tcW w:w="800" w:type="pct"/>
            <w:hideMark/>
          </w:tcPr>
          <w:p w14:paraId="7DBC0A0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4.566.874,37</w:t>
            </w:r>
          </w:p>
        </w:tc>
        <w:tc>
          <w:tcPr>
            <w:tcW w:w="800" w:type="pct"/>
            <w:hideMark/>
          </w:tcPr>
          <w:p w14:paraId="31DA4F8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5.752.725,63</w:t>
            </w:r>
          </w:p>
        </w:tc>
        <w:tc>
          <w:tcPr>
            <w:tcW w:w="450" w:type="pct"/>
            <w:hideMark/>
          </w:tcPr>
          <w:p w14:paraId="1F2A519A"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79921F88" w14:textId="77777777" w:rsidTr="001D6BA1">
        <w:tc>
          <w:tcPr>
            <w:tcW w:w="400" w:type="pct"/>
            <w:hideMark/>
          </w:tcPr>
          <w:p w14:paraId="6F5E9A5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1B5487B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212</w:t>
            </w:r>
          </w:p>
        </w:tc>
        <w:tc>
          <w:tcPr>
            <w:tcW w:w="1100" w:type="pct"/>
            <w:hideMark/>
          </w:tcPr>
          <w:p w14:paraId="14E6B493" w14:textId="77777777" w:rsidR="001D6BA1" w:rsidRPr="001D6BA1" w:rsidRDefault="001D6BA1" w:rsidP="001D6BA1">
            <w:pPr>
              <w:spacing w:after="160"/>
              <w:rPr>
                <w:rFonts w:ascii="Verdana" w:hAnsi="Verdana"/>
                <w:sz w:val="16"/>
                <w:szCs w:val="16"/>
              </w:rPr>
            </w:pPr>
            <w:r w:rsidRPr="001D6BA1">
              <w:rPr>
                <w:rFonts w:ascii="Verdana" w:hAnsi="Verdana"/>
                <w:sz w:val="16"/>
                <w:szCs w:val="16"/>
              </w:rPr>
              <w:t>Equipos y Máquinas Manuales y Eléctricas para Oficina</w:t>
            </w:r>
          </w:p>
        </w:tc>
        <w:tc>
          <w:tcPr>
            <w:tcW w:w="800" w:type="pct"/>
            <w:hideMark/>
          </w:tcPr>
          <w:p w14:paraId="71AA170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8.718.135,00</w:t>
            </w:r>
          </w:p>
        </w:tc>
        <w:tc>
          <w:tcPr>
            <w:tcW w:w="800" w:type="pct"/>
            <w:hideMark/>
          </w:tcPr>
          <w:p w14:paraId="25419CFE" w14:textId="77777777" w:rsidR="001D6BA1" w:rsidRPr="001D6BA1" w:rsidRDefault="001D6BA1" w:rsidP="001D6BA1">
            <w:pPr>
              <w:spacing w:after="160"/>
              <w:rPr>
                <w:rFonts w:ascii="Verdana" w:hAnsi="Verdana"/>
                <w:sz w:val="16"/>
                <w:szCs w:val="16"/>
              </w:rPr>
            </w:pPr>
            <w:r w:rsidRPr="001D6BA1">
              <w:rPr>
                <w:rFonts w:ascii="Verdana" w:hAnsi="Verdana"/>
                <w:sz w:val="16"/>
                <w:szCs w:val="16"/>
              </w:rPr>
              <w:t>8.133.914,34</w:t>
            </w:r>
          </w:p>
        </w:tc>
        <w:tc>
          <w:tcPr>
            <w:tcW w:w="800" w:type="pct"/>
            <w:hideMark/>
          </w:tcPr>
          <w:p w14:paraId="61307A1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584.220,66</w:t>
            </w:r>
          </w:p>
        </w:tc>
        <w:tc>
          <w:tcPr>
            <w:tcW w:w="450" w:type="pct"/>
            <w:hideMark/>
          </w:tcPr>
          <w:p w14:paraId="1BC8989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2DD21EA7" w14:textId="77777777" w:rsidTr="001D6BA1">
        <w:tc>
          <w:tcPr>
            <w:tcW w:w="400" w:type="pct"/>
            <w:hideMark/>
          </w:tcPr>
          <w:p w14:paraId="75D0A65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6089E38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214</w:t>
            </w:r>
          </w:p>
        </w:tc>
        <w:tc>
          <w:tcPr>
            <w:tcW w:w="1100" w:type="pct"/>
            <w:hideMark/>
          </w:tcPr>
          <w:p w14:paraId="24EA3AA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Herramientas y sus Accesorios</w:t>
            </w:r>
          </w:p>
        </w:tc>
        <w:tc>
          <w:tcPr>
            <w:tcW w:w="800" w:type="pct"/>
            <w:hideMark/>
          </w:tcPr>
          <w:p w14:paraId="48D93AF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3.133.226,00</w:t>
            </w:r>
          </w:p>
        </w:tc>
        <w:tc>
          <w:tcPr>
            <w:tcW w:w="800" w:type="pct"/>
            <w:hideMark/>
          </w:tcPr>
          <w:p w14:paraId="50B7D9D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1.720.887,94</w:t>
            </w:r>
          </w:p>
        </w:tc>
        <w:tc>
          <w:tcPr>
            <w:tcW w:w="800" w:type="pct"/>
            <w:hideMark/>
          </w:tcPr>
          <w:p w14:paraId="382CEB3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1.412.338,06</w:t>
            </w:r>
          </w:p>
        </w:tc>
        <w:tc>
          <w:tcPr>
            <w:tcW w:w="450" w:type="pct"/>
            <w:hideMark/>
          </w:tcPr>
          <w:p w14:paraId="2E487C37"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5E648B71" w14:textId="77777777" w:rsidTr="001D6BA1">
        <w:tc>
          <w:tcPr>
            <w:tcW w:w="400" w:type="pct"/>
            <w:hideMark/>
          </w:tcPr>
          <w:p w14:paraId="70EEA9E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0EF82C4E"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216</w:t>
            </w:r>
          </w:p>
        </w:tc>
        <w:tc>
          <w:tcPr>
            <w:tcW w:w="1100" w:type="pct"/>
            <w:hideMark/>
          </w:tcPr>
          <w:p w14:paraId="61C860B6" w14:textId="77777777" w:rsidR="001D6BA1" w:rsidRPr="001D6BA1" w:rsidRDefault="001D6BA1" w:rsidP="001D6BA1">
            <w:pPr>
              <w:spacing w:after="160"/>
              <w:rPr>
                <w:rFonts w:ascii="Verdana" w:hAnsi="Verdana"/>
                <w:sz w:val="16"/>
                <w:szCs w:val="16"/>
              </w:rPr>
            </w:pPr>
            <w:r w:rsidRPr="001D6BA1">
              <w:rPr>
                <w:rFonts w:ascii="Verdana" w:hAnsi="Verdana"/>
                <w:sz w:val="16"/>
                <w:szCs w:val="16"/>
              </w:rPr>
              <w:t>Libros de Biblioteca</w:t>
            </w:r>
          </w:p>
        </w:tc>
        <w:tc>
          <w:tcPr>
            <w:tcW w:w="800" w:type="pct"/>
            <w:hideMark/>
          </w:tcPr>
          <w:p w14:paraId="5F32FEAE"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26.320.748,00</w:t>
            </w:r>
          </w:p>
        </w:tc>
        <w:tc>
          <w:tcPr>
            <w:tcW w:w="800" w:type="pct"/>
            <w:hideMark/>
          </w:tcPr>
          <w:p w14:paraId="42614DE0"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26.264.498,00</w:t>
            </w:r>
          </w:p>
        </w:tc>
        <w:tc>
          <w:tcPr>
            <w:tcW w:w="800" w:type="pct"/>
            <w:hideMark/>
          </w:tcPr>
          <w:p w14:paraId="29F55D1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56.250,00</w:t>
            </w:r>
          </w:p>
        </w:tc>
        <w:tc>
          <w:tcPr>
            <w:tcW w:w="450" w:type="pct"/>
            <w:hideMark/>
          </w:tcPr>
          <w:p w14:paraId="45014FF0"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4CA46A2E" w14:textId="77777777" w:rsidTr="001D6BA1">
        <w:tc>
          <w:tcPr>
            <w:tcW w:w="400" w:type="pct"/>
            <w:hideMark/>
          </w:tcPr>
          <w:p w14:paraId="5246656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1003</w:t>
            </w:r>
          </w:p>
        </w:tc>
        <w:tc>
          <w:tcPr>
            <w:tcW w:w="650" w:type="pct"/>
            <w:hideMark/>
          </w:tcPr>
          <w:p w14:paraId="71AD548B" w14:textId="77777777" w:rsidR="001D6BA1" w:rsidRPr="001D6BA1" w:rsidRDefault="001D6BA1" w:rsidP="001D6BA1">
            <w:pPr>
              <w:spacing w:after="160"/>
              <w:rPr>
                <w:rFonts w:ascii="Verdana" w:hAnsi="Verdana"/>
                <w:sz w:val="16"/>
                <w:szCs w:val="16"/>
              </w:rPr>
            </w:pPr>
            <w:r w:rsidRPr="001D6BA1">
              <w:rPr>
                <w:rFonts w:ascii="Verdana" w:hAnsi="Verdana"/>
                <w:sz w:val="16"/>
                <w:szCs w:val="16"/>
              </w:rPr>
              <w:t>218</w:t>
            </w:r>
          </w:p>
        </w:tc>
        <w:tc>
          <w:tcPr>
            <w:tcW w:w="1100" w:type="pct"/>
            <w:hideMark/>
          </w:tcPr>
          <w:p w14:paraId="21914BD0" w14:textId="77777777" w:rsidR="001D6BA1" w:rsidRPr="001D6BA1" w:rsidRDefault="001D6BA1" w:rsidP="001D6BA1">
            <w:pPr>
              <w:spacing w:after="160"/>
              <w:rPr>
                <w:rFonts w:ascii="Verdana" w:hAnsi="Verdana"/>
                <w:sz w:val="16"/>
                <w:szCs w:val="16"/>
              </w:rPr>
            </w:pPr>
            <w:r w:rsidRPr="001D6BA1">
              <w:rPr>
                <w:rFonts w:ascii="Verdana" w:hAnsi="Verdana"/>
                <w:sz w:val="16"/>
                <w:szCs w:val="16"/>
              </w:rPr>
              <w:t>Mobiliario y Enseres</w:t>
            </w:r>
          </w:p>
        </w:tc>
        <w:tc>
          <w:tcPr>
            <w:tcW w:w="800" w:type="pct"/>
            <w:hideMark/>
          </w:tcPr>
          <w:p w14:paraId="5E163304" w14:textId="77777777" w:rsidR="001D6BA1" w:rsidRPr="001D6BA1" w:rsidRDefault="001D6BA1" w:rsidP="001D6BA1">
            <w:pPr>
              <w:spacing w:after="160"/>
              <w:rPr>
                <w:rFonts w:ascii="Verdana" w:hAnsi="Verdana"/>
                <w:sz w:val="16"/>
                <w:szCs w:val="16"/>
              </w:rPr>
            </w:pPr>
            <w:r w:rsidRPr="001D6BA1">
              <w:rPr>
                <w:rFonts w:ascii="Verdana" w:hAnsi="Verdana"/>
                <w:sz w:val="16"/>
                <w:szCs w:val="16"/>
              </w:rPr>
              <w:t>40.560.431,00</w:t>
            </w:r>
          </w:p>
        </w:tc>
        <w:tc>
          <w:tcPr>
            <w:tcW w:w="800" w:type="pct"/>
            <w:hideMark/>
          </w:tcPr>
          <w:p w14:paraId="14B01319" w14:textId="77777777" w:rsidR="001D6BA1" w:rsidRPr="001D6BA1" w:rsidRDefault="001D6BA1" w:rsidP="001D6BA1">
            <w:pPr>
              <w:spacing w:after="160"/>
              <w:rPr>
                <w:rFonts w:ascii="Verdana" w:hAnsi="Verdana"/>
                <w:sz w:val="16"/>
                <w:szCs w:val="16"/>
              </w:rPr>
            </w:pPr>
            <w:r w:rsidRPr="001D6BA1">
              <w:rPr>
                <w:rFonts w:ascii="Verdana" w:hAnsi="Verdana"/>
                <w:sz w:val="16"/>
                <w:szCs w:val="16"/>
              </w:rPr>
              <w:t>30.357.532,66</w:t>
            </w:r>
          </w:p>
        </w:tc>
        <w:tc>
          <w:tcPr>
            <w:tcW w:w="800" w:type="pct"/>
            <w:hideMark/>
          </w:tcPr>
          <w:p w14:paraId="41D9561C" w14:textId="77777777" w:rsidR="001D6BA1" w:rsidRPr="001D6BA1" w:rsidRDefault="001D6BA1" w:rsidP="001D6BA1">
            <w:pPr>
              <w:spacing w:after="160"/>
              <w:rPr>
                <w:rFonts w:ascii="Verdana" w:hAnsi="Verdana"/>
                <w:sz w:val="16"/>
                <w:szCs w:val="16"/>
              </w:rPr>
            </w:pPr>
            <w:r w:rsidRPr="001D6BA1">
              <w:rPr>
                <w:rFonts w:ascii="Verdana" w:hAnsi="Verdana"/>
                <w:sz w:val="16"/>
                <w:szCs w:val="16"/>
              </w:rPr>
              <w:t>10.202.898,34</w:t>
            </w:r>
          </w:p>
        </w:tc>
        <w:tc>
          <w:tcPr>
            <w:tcW w:w="450" w:type="pct"/>
            <w:hideMark/>
          </w:tcPr>
          <w:p w14:paraId="49C95A92" w14:textId="77777777" w:rsidR="001D6BA1" w:rsidRPr="001D6BA1" w:rsidRDefault="001D6BA1" w:rsidP="001D6BA1">
            <w:pPr>
              <w:spacing w:after="160"/>
              <w:rPr>
                <w:rFonts w:ascii="Verdana" w:hAnsi="Verdana"/>
                <w:sz w:val="16"/>
                <w:szCs w:val="16"/>
              </w:rPr>
            </w:pPr>
            <w:r w:rsidRPr="001D6BA1">
              <w:rPr>
                <w:rFonts w:ascii="Verdana" w:hAnsi="Verdana"/>
                <w:sz w:val="16"/>
                <w:szCs w:val="16"/>
              </w:rPr>
              <w:t>0,00</w:t>
            </w:r>
          </w:p>
        </w:tc>
      </w:tr>
      <w:tr w:rsidR="001D6BA1" w:rsidRPr="001D6BA1" w14:paraId="4E5274A8" w14:textId="77777777" w:rsidTr="001D6BA1">
        <w:tc>
          <w:tcPr>
            <w:tcW w:w="750" w:type="pct"/>
            <w:hideMark/>
          </w:tcPr>
          <w:p w14:paraId="5A8A4A11"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TOTAL</w:t>
            </w:r>
          </w:p>
        </w:tc>
        <w:tc>
          <w:tcPr>
            <w:tcW w:w="900" w:type="pct"/>
            <w:hideMark/>
          </w:tcPr>
          <w:p w14:paraId="06484279"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1.490.900.585,01</w:t>
            </w:r>
          </w:p>
        </w:tc>
        <w:tc>
          <w:tcPr>
            <w:tcW w:w="1650" w:type="pct"/>
            <w:hideMark/>
          </w:tcPr>
          <w:p w14:paraId="1D2ADCB3"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1.054.984.133,88</w:t>
            </w:r>
          </w:p>
        </w:tc>
        <w:tc>
          <w:tcPr>
            <w:tcW w:w="850" w:type="pct"/>
            <w:hideMark/>
          </w:tcPr>
          <w:p w14:paraId="1061701C"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435.916.451,13</w:t>
            </w:r>
          </w:p>
        </w:tc>
        <w:tc>
          <w:tcPr>
            <w:tcW w:w="850" w:type="pct"/>
            <w:gridSpan w:val="3"/>
            <w:hideMark/>
          </w:tcPr>
          <w:p w14:paraId="051694AD" w14:textId="77777777" w:rsidR="001D6BA1" w:rsidRPr="001D6BA1" w:rsidRDefault="001D6BA1" w:rsidP="001D6BA1">
            <w:pPr>
              <w:spacing w:after="160"/>
              <w:rPr>
                <w:rFonts w:ascii="Verdana" w:hAnsi="Verdana"/>
                <w:sz w:val="16"/>
                <w:szCs w:val="16"/>
              </w:rPr>
            </w:pPr>
            <w:r w:rsidRPr="001D6BA1">
              <w:rPr>
                <w:rFonts w:ascii="Verdana" w:hAnsi="Verdana"/>
                <w:b/>
                <w:bCs/>
                <w:sz w:val="16"/>
                <w:szCs w:val="16"/>
              </w:rPr>
              <w:t>0,00</w:t>
            </w:r>
          </w:p>
        </w:tc>
      </w:tr>
    </w:tbl>
    <w:p w14:paraId="4C5239A1" w14:textId="77777777" w:rsidR="001D6BA1" w:rsidRPr="001D6BA1" w:rsidRDefault="001D6BA1" w:rsidP="001D6BA1">
      <w:pPr>
        <w:rPr>
          <w:rFonts w:ascii="Verdana" w:hAnsi="Verdana"/>
          <w:sz w:val="22"/>
          <w:szCs w:val="22"/>
        </w:rPr>
      </w:pPr>
      <w:r w:rsidRPr="001D6BA1">
        <w:rPr>
          <w:rFonts w:ascii="Verdana" w:hAnsi="Verdana"/>
          <w:b/>
          <w:bCs/>
          <w:sz w:val="22"/>
          <w:szCs w:val="22"/>
        </w:rPr>
        <w:t>Bienes No Explotados</w:t>
      </w:r>
    </w:p>
    <w:tbl>
      <w:tblPr>
        <w:tblStyle w:val="Tablaconcuadrcula"/>
        <w:tblW w:w="5050" w:type="pct"/>
        <w:tblLook w:val="04A0" w:firstRow="1" w:lastRow="0" w:firstColumn="1" w:lastColumn="0" w:noHBand="0" w:noVBand="1"/>
      </w:tblPr>
      <w:tblGrid>
        <w:gridCol w:w="969"/>
        <w:gridCol w:w="1370"/>
        <w:gridCol w:w="1365"/>
        <w:gridCol w:w="1263"/>
        <w:gridCol w:w="1527"/>
        <w:gridCol w:w="1261"/>
        <w:gridCol w:w="1263"/>
      </w:tblGrid>
      <w:tr w:rsidR="001D6BA1" w:rsidRPr="001D6BA1" w14:paraId="69E7B8D7" w14:textId="77777777" w:rsidTr="001D6BA1">
        <w:tc>
          <w:tcPr>
            <w:tcW w:w="400" w:type="pct"/>
            <w:hideMark/>
          </w:tcPr>
          <w:p w14:paraId="0979C536"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Bodega</w:t>
            </w:r>
          </w:p>
        </w:tc>
        <w:tc>
          <w:tcPr>
            <w:tcW w:w="650" w:type="pct"/>
            <w:hideMark/>
          </w:tcPr>
          <w:p w14:paraId="1F8F556D"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Agrupación</w:t>
            </w:r>
          </w:p>
        </w:tc>
        <w:tc>
          <w:tcPr>
            <w:tcW w:w="850" w:type="pct"/>
            <w:hideMark/>
          </w:tcPr>
          <w:p w14:paraId="58CD01E6"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Nombre de Agrupación</w:t>
            </w:r>
          </w:p>
        </w:tc>
        <w:tc>
          <w:tcPr>
            <w:tcW w:w="650" w:type="pct"/>
            <w:hideMark/>
          </w:tcPr>
          <w:p w14:paraId="4BCEC373"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Costo Histórico</w:t>
            </w:r>
          </w:p>
        </w:tc>
        <w:tc>
          <w:tcPr>
            <w:tcW w:w="900" w:type="pct"/>
            <w:hideMark/>
          </w:tcPr>
          <w:p w14:paraId="562CE606"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Depreciación Acumulada</w:t>
            </w:r>
          </w:p>
        </w:tc>
        <w:tc>
          <w:tcPr>
            <w:tcW w:w="850" w:type="pct"/>
            <w:hideMark/>
          </w:tcPr>
          <w:p w14:paraId="13814674"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Valor registrado en Gasto*</w:t>
            </w:r>
          </w:p>
        </w:tc>
        <w:tc>
          <w:tcPr>
            <w:tcW w:w="650" w:type="pct"/>
            <w:hideMark/>
          </w:tcPr>
          <w:p w14:paraId="6178948C"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Saldo en Libros</w:t>
            </w:r>
          </w:p>
        </w:tc>
      </w:tr>
      <w:tr w:rsidR="001D6BA1" w:rsidRPr="001D6BA1" w14:paraId="193D7228" w14:textId="77777777" w:rsidTr="001D6BA1">
        <w:tc>
          <w:tcPr>
            <w:tcW w:w="400" w:type="pct"/>
            <w:hideMark/>
          </w:tcPr>
          <w:p w14:paraId="79AB0537" w14:textId="77777777" w:rsidR="001D6BA1" w:rsidRPr="001D6BA1" w:rsidRDefault="001D6BA1" w:rsidP="001D6BA1">
            <w:pPr>
              <w:spacing w:after="160"/>
              <w:rPr>
                <w:rFonts w:ascii="Verdana" w:hAnsi="Verdana"/>
                <w:sz w:val="18"/>
                <w:szCs w:val="18"/>
              </w:rPr>
            </w:pPr>
            <w:r w:rsidRPr="001D6BA1">
              <w:rPr>
                <w:rFonts w:ascii="Verdana" w:hAnsi="Verdana"/>
                <w:sz w:val="18"/>
                <w:szCs w:val="18"/>
              </w:rPr>
              <w:lastRenderedPageBreak/>
              <w:t>1010</w:t>
            </w:r>
          </w:p>
        </w:tc>
        <w:tc>
          <w:tcPr>
            <w:tcW w:w="650" w:type="pct"/>
            <w:hideMark/>
          </w:tcPr>
          <w:p w14:paraId="30F40B83" w14:textId="77777777" w:rsidR="001D6BA1" w:rsidRPr="001D6BA1" w:rsidRDefault="001D6BA1" w:rsidP="001D6BA1">
            <w:pPr>
              <w:spacing w:after="160"/>
              <w:rPr>
                <w:rFonts w:ascii="Verdana" w:hAnsi="Verdana"/>
                <w:sz w:val="18"/>
                <w:szCs w:val="18"/>
              </w:rPr>
            </w:pPr>
            <w:r w:rsidRPr="001D6BA1">
              <w:rPr>
                <w:rFonts w:ascii="Verdana" w:hAnsi="Verdana"/>
                <w:sz w:val="18"/>
                <w:szCs w:val="18"/>
              </w:rPr>
              <w:t>217</w:t>
            </w:r>
          </w:p>
        </w:tc>
        <w:tc>
          <w:tcPr>
            <w:tcW w:w="850" w:type="pct"/>
            <w:hideMark/>
          </w:tcPr>
          <w:p w14:paraId="1D6A763C" w14:textId="77777777" w:rsidR="001D6BA1" w:rsidRPr="001D6BA1" w:rsidRDefault="001D6BA1" w:rsidP="001D6BA1">
            <w:pPr>
              <w:spacing w:after="160"/>
              <w:rPr>
                <w:rFonts w:ascii="Verdana" w:hAnsi="Verdana"/>
                <w:sz w:val="18"/>
                <w:szCs w:val="18"/>
              </w:rPr>
            </w:pPr>
            <w:r w:rsidRPr="001D6BA1">
              <w:rPr>
                <w:rFonts w:ascii="Verdana" w:hAnsi="Verdana"/>
                <w:sz w:val="18"/>
                <w:szCs w:val="18"/>
              </w:rPr>
              <w:t>Joyas y Piedras Preciosas</w:t>
            </w:r>
          </w:p>
        </w:tc>
        <w:tc>
          <w:tcPr>
            <w:tcW w:w="650" w:type="pct"/>
            <w:hideMark/>
          </w:tcPr>
          <w:p w14:paraId="1846A6E1" w14:textId="77777777" w:rsidR="001D6BA1" w:rsidRPr="001D6BA1" w:rsidRDefault="001D6BA1" w:rsidP="001D6BA1">
            <w:pPr>
              <w:spacing w:after="160"/>
              <w:rPr>
                <w:rFonts w:ascii="Verdana" w:hAnsi="Verdana"/>
                <w:sz w:val="18"/>
                <w:szCs w:val="18"/>
              </w:rPr>
            </w:pPr>
            <w:r w:rsidRPr="001D6BA1">
              <w:rPr>
                <w:rFonts w:ascii="Verdana" w:hAnsi="Verdana"/>
                <w:sz w:val="18"/>
                <w:szCs w:val="18"/>
              </w:rPr>
              <w:t>103.080,00</w:t>
            </w:r>
          </w:p>
        </w:tc>
        <w:tc>
          <w:tcPr>
            <w:tcW w:w="900" w:type="pct"/>
            <w:hideMark/>
          </w:tcPr>
          <w:p w14:paraId="697CB95D" w14:textId="77777777" w:rsidR="001D6BA1" w:rsidRPr="001D6BA1" w:rsidRDefault="001D6BA1" w:rsidP="001D6BA1">
            <w:pPr>
              <w:spacing w:after="160"/>
              <w:rPr>
                <w:rFonts w:ascii="Verdana" w:hAnsi="Verdana"/>
                <w:sz w:val="18"/>
                <w:szCs w:val="18"/>
              </w:rPr>
            </w:pPr>
            <w:r w:rsidRPr="001D6BA1">
              <w:rPr>
                <w:rFonts w:ascii="Verdana" w:hAnsi="Verdana"/>
                <w:sz w:val="18"/>
                <w:szCs w:val="18"/>
              </w:rPr>
              <w:t>0,00</w:t>
            </w:r>
          </w:p>
        </w:tc>
        <w:tc>
          <w:tcPr>
            <w:tcW w:w="850" w:type="pct"/>
            <w:hideMark/>
          </w:tcPr>
          <w:p w14:paraId="70E00464" w14:textId="77777777" w:rsidR="001D6BA1" w:rsidRPr="001D6BA1" w:rsidRDefault="001D6BA1" w:rsidP="001D6BA1">
            <w:pPr>
              <w:spacing w:after="160"/>
              <w:rPr>
                <w:rFonts w:ascii="Verdana" w:hAnsi="Verdana"/>
                <w:sz w:val="18"/>
                <w:szCs w:val="18"/>
              </w:rPr>
            </w:pPr>
            <w:r w:rsidRPr="001D6BA1">
              <w:rPr>
                <w:rFonts w:ascii="Verdana" w:hAnsi="Verdana"/>
                <w:sz w:val="18"/>
                <w:szCs w:val="18"/>
              </w:rPr>
              <w:t>0,00</w:t>
            </w:r>
          </w:p>
        </w:tc>
        <w:tc>
          <w:tcPr>
            <w:tcW w:w="650" w:type="pct"/>
            <w:hideMark/>
          </w:tcPr>
          <w:p w14:paraId="5D1567D6" w14:textId="77777777" w:rsidR="001D6BA1" w:rsidRPr="001D6BA1" w:rsidRDefault="001D6BA1" w:rsidP="001D6BA1">
            <w:pPr>
              <w:spacing w:after="160"/>
              <w:rPr>
                <w:rFonts w:ascii="Verdana" w:hAnsi="Verdana"/>
                <w:sz w:val="18"/>
                <w:szCs w:val="18"/>
              </w:rPr>
            </w:pPr>
            <w:r w:rsidRPr="001D6BA1">
              <w:rPr>
                <w:rFonts w:ascii="Verdana" w:hAnsi="Verdana"/>
                <w:sz w:val="18"/>
                <w:szCs w:val="18"/>
              </w:rPr>
              <w:t>103.080,00</w:t>
            </w:r>
          </w:p>
        </w:tc>
      </w:tr>
      <w:tr w:rsidR="001D6BA1" w:rsidRPr="001D6BA1" w14:paraId="1E66C5A4" w14:textId="77777777" w:rsidTr="001D6BA1">
        <w:tc>
          <w:tcPr>
            <w:tcW w:w="750" w:type="pct"/>
            <w:hideMark/>
          </w:tcPr>
          <w:p w14:paraId="65513435"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TOTAL</w:t>
            </w:r>
          </w:p>
        </w:tc>
        <w:tc>
          <w:tcPr>
            <w:tcW w:w="750" w:type="pct"/>
            <w:hideMark/>
          </w:tcPr>
          <w:p w14:paraId="774CC0A0"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103.080.00</w:t>
            </w:r>
          </w:p>
        </w:tc>
        <w:tc>
          <w:tcPr>
            <w:tcW w:w="1550" w:type="pct"/>
            <w:hideMark/>
          </w:tcPr>
          <w:p w14:paraId="56869F21" w14:textId="77777777" w:rsidR="001D6BA1" w:rsidRPr="001D6BA1" w:rsidRDefault="001D6BA1" w:rsidP="001D6BA1">
            <w:pPr>
              <w:spacing w:after="160"/>
              <w:rPr>
                <w:rFonts w:ascii="Verdana" w:hAnsi="Verdana"/>
                <w:sz w:val="18"/>
                <w:szCs w:val="18"/>
              </w:rPr>
            </w:pPr>
            <w:r w:rsidRPr="001D6BA1">
              <w:rPr>
                <w:rFonts w:ascii="Verdana" w:hAnsi="Verdana"/>
                <w:sz w:val="18"/>
                <w:szCs w:val="18"/>
              </w:rPr>
              <w:t>0,00</w:t>
            </w:r>
          </w:p>
        </w:tc>
        <w:tc>
          <w:tcPr>
            <w:tcW w:w="900" w:type="pct"/>
            <w:hideMark/>
          </w:tcPr>
          <w:p w14:paraId="05938923" w14:textId="77777777" w:rsidR="001D6BA1" w:rsidRPr="001D6BA1" w:rsidRDefault="001D6BA1" w:rsidP="001D6BA1">
            <w:pPr>
              <w:spacing w:after="160"/>
              <w:rPr>
                <w:rFonts w:ascii="Verdana" w:hAnsi="Verdana"/>
                <w:sz w:val="18"/>
                <w:szCs w:val="18"/>
              </w:rPr>
            </w:pPr>
            <w:r w:rsidRPr="001D6BA1">
              <w:rPr>
                <w:rFonts w:ascii="Verdana" w:hAnsi="Verdana"/>
                <w:sz w:val="18"/>
                <w:szCs w:val="18"/>
              </w:rPr>
              <w:t>0,00</w:t>
            </w:r>
          </w:p>
        </w:tc>
        <w:tc>
          <w:tcPr>
            <w:tcW w:w="1100" w:type="pct"/>
            <w:gridSpan w:val="3"/>
            <w:hideMark/>
          </w:tcPr>
          <w:p w14:paraId="0800B685" w14:textId="77777777" w:rsidR="001D6BA1" w:rsidRPr="001D6BA1" w:rsidRDefault="001D6BA1" w:rsidP="001D6BA1">
            <w:pPr>
              <w:spacing w:after="160"/>
              <w:rPr>
                <w:rFonts w:ascii="Verdana" w:hAnsi="Verdana"/>
                <w:sz w:val="18"/>
                <w:szCs w:val="18"/>
              </w:rPr>
            </w:pPr>
            <w:r w:rsidRPr="001D6BA1">
              <w:rPr>
                <w:rFonts w:ascii="Verdana" w:hAnsi="Verdana"/>
                <w:b/>
                <w:bCs/>
                <w:sz w:val="18"/>
                <w:szCs w:val="18"/>
              </w:rPr>
              <w:t>103.080,00</w:t>
            </w:r>
          </w:p>
        </w:tc>
      </w:tr>
    </w:tbl>
    <w:p w14:paraId="3FCDA245" w14:textId="77777777" w:rsidR="00B533B6" w:rsidRPr="00B533B6" w:rsidRDefault="00B533B6" w:rsidP="00B533B6">
      <w:pPr>
        <w:rPr>
          <w:rFonts w:ascii="Verdana" w:hAnsi="Verdana"/>
          <w:sz w:val="22"/>
          <w:szCs w:val="22"/>
        </w:rPr>
      </w:pPr>
    </w:p>
    <w:p w14:paraId="70F9E7E7" w14:textId="77777777" w:rsidR="00B533B6" w:rsidRPr="00B533B6" w:rsidRDefault="00B533B6" w:rsidP="00B533B6">
      <w:pPr>
        <w:rPr>
          <w:rFonts w:ascii="Verdana" w:hAnsi="Verdana"/>
          <w:sz w:val="22"/>
          <w:szCs w:val="22"/>
        </w:rPr>
      </w:pPr>
      <w:r w:rsidRPr="00B533B6">
        <w:rPr>
          <w:rFonts w:ascii="Verdana" w:hAnsi="Verdana"/>
          <w:b/>
          <w:bCs/>
          <w:sz w:val="22"/>
          <w:szCs w:val="22"/>
        </w:rPr>
        <w:t>ARTÍCULO 4o.</w:t>
      </w:r>
      <w:r w:rsidRPr="00B533B6">
        <w:rPr>
          <w:rFonts w:ascii="Verdana" w:hAnsi="Verdana"/>
          <w:sz w:val="22"/>
          <w:szCs w:val="22"/>
        </w:rPr>
        <w:t xml:space="preserve"> Designar y autorizar al Almacenista de la Sede de la Dirección General para realizar la entrega de los bienes enajenados a los adjudicatarios, previa elaboración de las correspondientes órdenes de salida de Almacén soportadas en el acta de adjudicación y del documento que confirme el pago de los bienes vendidos a los adjudicatarios.</w:t>
      </w:r>
    </w:p>
    <w:p w14:paraId="486800CA" w14:textId="77777777" w:rsidR="00B533B6" w:rsidRPr="00B533B6" w:rsidRDefault="00B533B6" w:rsidP="00B533B6">
      <w:pPr>
        <w:rPr>
          <w:rFonts w:ascii="Verdana" w:hAnsi="Verdana"/>
          <w:sz w:val="22"/>
          <w:szCs w:val="22"/>
        </w:rPr>
      </w:pPr>
      <w:r w:rsidRPr="00B533B6">
        <w:rPr>
          <w:rFonts w:ascii="Verdana" w:hAnsi="Verdana"/>
          <w:b/>
          <w:bCs/>
          <w:sz w:val="22"/>
          <w:szCs w:val="22"/>
        </w:rPr>
        <w:t>ARTÍCULO 5o.</w:t>
      </w:r>
      <w:r w:rsidRPr="00B533B6">
        <w:rPr>
          <w:rFonts w:ascii="Verdana" w:hAnsi="Verdana"/>
          <w:sz w:val="22"/>
          <w:szCs w:val="22"/>
        </w:rPr>
        <w:t xml:space="preserve"> Los bienes que no sean enajenados volverán a surtir el mismo procedimiento hasta que se logre la baja definitiva por dicho concepto.</w:t>
      </w:r>
    </w:p>
    <w:p w14:paraId="3BB45466" w14:textId="1854ADC0" w:rsidR="00B533B6" w:rsidRPr="00B533B6" w:rsidRDefault="00B533B6" w:rsidP="00B533B6">
      <w:pPr>
        <w:rPr>
          <w:rFonts w:ascii="Verdana" w:hAnsi="Verdana"/>
          <w:sz w:val="22"/>
          <w:szCs w:val="22"/>
        </w:rPr>
      </w:pPr>
      <w:r w:rsidRPr="00B533B6">
        <w:rPr>
          <w:rFonts w:ascii="Verdana" w:hAnsi="Verdana"/>
          <w:b/>
          <w:bCs/>
          <w:sz w:val="22"/>
          <w:szCs w:val="22"/>
        </w:rPr>
        <w:t>ARTÍCULO 6o.</w:t>
      </w:r>
      <w:r w:rsidRPr="00B533B6">
        <w:rPr>
          <w:rFonts w:ascii="Verdana" w:hAnsi="Verdana"/>
          <w:sz w:val="22"/>
          <w:szCs w:val="22"/>
        </w:rPr>
        <w:t xml:space="preserve"> La presente resolución rige a partir de la fecha de su expedición y deroga en todas sus partes la Resolución 10374 del 13 de noviembre de 2013.</w:t>
      </w:r>
    </w:p>
    <w:p w14:paraId="1016A1DE" w14:textId="01ABFE39" w:rsidR="00B533B6" w:rsidRPr="00B533B6" w:rsidRDefault="00B533B6" w:rsidP="00B533B6">
      <w:pPr>
        <w:jc w:val="center"/>
        <w:rPr>
          <w:rFonts w:ascii="Verdana" w:hAnsi="Verdana"/>
          <w:b/>
          <w:bCs/>
          <w:sz w:val="22"/>
          <w:szCs w:val="22"/>
        </w:rPr>
      </w:pPr>
      <w:r w:rsidRPr="00B533B6">
        <w:rPr>
          <w:rFonts w:ascii="Verdana" w:hAnsi="Verdana"/>
          <w:b/>
          <w:bCs/>
          <w:sz w:val="22"/>
          <w:szCs w:val="22"/>
        </w:rPr>
        <w:t>PUBLÍQUESE Y CÚMPLASE,</w:t>
      </w:r>
    </w:p>
    <w:p w14:paraId="44780FD0" w14:textId="40267612" w:rsidR="00B533B6" w:rsidRPr="00B533B6" w:rsidRDefault="00B533B6" w:rsidP="00B533B6">
      <w:pPr>
        <w:jc w:val="center"/>
        <w:rPr>
          <w:rFonts w:ascii="Verdana" w:hAnsi="Verdana"/>
          <w:sz w:val="22"/>
          <w:szCs w:val="22"/>
        </w:rPr>
      </w:pPr>
      <w:r w:rsidRPr="00B533B6">
        <w:rPr>
          <w:rFonts w:ascii="Verdana" w:hAnsi="Verdana"/>
          <w:sz w:val="22"/>
          <w:szCs w:val="22"/>
        </w:rPr>
        <w:t xml:space="preserve">Dada en Bogotá, D. C., a </w:t>
      </w:r>
      <w:r>
        <w:rPr>
          <w:rFonts w:ascii="Verdana" w:hAnsi="Verdana"/>
          <w:sz w:val="22"/>
          <w:szCs w:val="22"/>
        </w:rPr>
        <w:t xml:space="preserve">los </w:t>
      </w:r>
      <w:r w:rsidRPr="00B533B6">
        <w:rPr>
          <w:rFonts w:ascii="Verdana" w:hAnsi="Verdana"/>
          <w:sz w:val="22"/>
          <w:szCs w:val="22"/>
        </w:rPr>
        <w:t>12</w:t>
      </w:r>
      <w:r>
        <w:rPr>
          <w:rFonts w:ascii="Verdana" w:hAnsi="Verdana"/>
          <w:sz w:val="22"/>
          <w:szCs w:val="22"/>
        </w:rPr>
        <w:t xml:space="preserve"> días del mes</w:t>
      </w:r>
      <w:r w:rsidRPr="00B533B6">
        <w:rPr>
          <w:rFonts w:ascii="Verdana" w:hAnsi="Verdana"/>
          <w:sz w:val="22"/>
          <w:szCs w:val="22"/>
        </w:rPr>
        <w:t xml:space="preserve"> de diciembre de 2014.</w:t>
      </w:r>
    </w:p>
    <w:p w14:paraId="4D0376C1" w14:textId="1046095A" w:rsidR="00B533B6" w:rsidRPr="00B533B6" w:rsidRDefault="00B533B6" w:rsidP="00B533B6">
      <w:pPr>
        <w:jc w:val="center"/>
        <w:rPr>
          <w:rFonts w:ascii="Verdana" w:hAnsi="Verdana"/>
          <w:b/>
          <w:bCs/>
          <w:sz w:val="22"/>
          <w:szCs w:val="22"/>
        </w:rPr>
      </w:pPr>
      <w:r w:rsidRPr="00B533B6">
        <w:rPr>
          <w:rFonts w:ascii="Verdana" w:hAnsi="Verdana"/>
          <w:b/>
          <w:bCs/>
          <w:sz w:val="22"/>
          <w:szCs w:val="22"/>
        </w:rPr>
        <w:t>CRISTINA PLAZAS MICHELSEN</w:t>
      </w:r>
    </w:p>
    <w:p w14:paraId="3B3E0727" w14:textId="543782B7" w:rsidR="00B533B6" w:rsidRPr="00B533B6" w:rsidRDefault="00B533B6" w:rsidP="00B533B6">
      <w:pPr>
        <w:jc w:val="center"/>
        <w:rPr>
          <w:rFonts w:ascii="Verdana" w:hAnsi="Verdana"/>
          <w:sz w:val="22"/>
          <w:szCs w:val="22"/>
        </w:rPr>
      </w:pPr>
      <w:r w:rsidRPr="00B533B6">
        <w:rPr>
          <w:rFonts w:ascii="Verdana" w:hAnsi="Verdana"/>
          <w:sz w:val="22"/>
          <w:szCs w:val="22"/>
        </w:rPr>
        <w:t>LA DIRECTORA GENERAL</w:t>
      </w:r>
    </w:p>
    <w:p w14:paraId="7082D912" w14:textId="77777777" w:rsidR="00B533B6" w:rsidRPr="00B533B6" w:rsidRDefault="00B533B6">
      <w:pPr>
        <w:rPr>
          <w:rFonts w:ascii="Verdana" w:hAnsi="Verdana"/>
          <w:b/>
          <w:bCs/>
          <w:sz w:val="22"/>
          <w:szCs w:val="22"/>
        </w:rPr>
      </w:pPr>
    </w:p>
    <w:sectPr w:rsidR="00B533B6" w:rsidRPr="00B533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E96"/>
    <w:multiLevelType w:val="hybridMultilevel"/>
    <w:tmpl w:val="7EF88E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1958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DF"/>
    <w:rsid w:val="001D6BA1"/>
    <w:rsid w:val="00243CB4"/>
    <w:rsid w:val="004502D1"/>
    <w:rsid w:val="008C58DF"/>
    <w:rsid w:val="00A724C4"/>
    <w:rsid w:val="00B02B2A"/>
    <w:rsid w:val="00B533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1692"/>
  <w15:chartTrackingRefBased/>
  <w15:docId w15:val="{28ABE047-8A33-42A0-B692-0B6E9DDF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B6"/>
    <w:pPr>
      <w:spacing w:line="240" w:lineRule="auto"/>
      <w:jc w:val="both"/>
    </w:pPr>
    <w:rPr>
      <w:rFonts w:ascii="Arial" w:hAnsi="Arial" w:cs="Arial"/>
    </w:rPr>
  </w:style>
  <w:style w:type="paragraph" w:styleId="Ttulo1">
    <w:name w:val="heading 1"/>
    <w:basedOn w:val="Normal"/>
    <w:next w:val="Normal"/>
    <w:link w:val="Ttulo1Car"/>
    <w:uiPriority w:val="9"/>
    <w:qFormat/>
    <w:rsid w:val="008C58D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58D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58D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58D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C58D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C58D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C58D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C58D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C58D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58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58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58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58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58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58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58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58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58DF"/>
    <w:rPr>
      <w:rFonts w:eastAsiaTheme="majorEastAsia" w:cstheme="majorBidi"/>
      <w:color w:val="272727" w:themeColor="text1" w:themeTint="D8"/>
    </w:rPr>
  </w:style>
  <w:style w:type="paragraph" w:styleId="Ttulo">
    <w:name w:val="Title"/>
    <w:basedOn w:val="Normal"/>
    <w:next w:val="Normal"/>
    <w:link w:val="TtuloCar"/>
    <w:uiPriority w:val="10"/>
    <w:qFormat/>
    <w:rsid w:val="008C58D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58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58D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58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58D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8C58DF"/>
    <w:rPr>
      <w:i/>
      <w:iCs/>
      <w:color w:val="404040" w:themeColor="text1" w:themeTint="BF"/>
    </w:rPr>
  </w:style>
  <w:style w:type="paragraph" w:styleId="Prrafodelista">
    <w:name w:val="List Paragraph"/>
    <w:basedOn w:val="Normal"/>
    <w:uiPriority w:val="34"/>
    <w:qFormat/>
    <w:rsid w:val="008C58D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C58DF"/>
    <w:rPr>
      <w:i/>
      <w:iCs/>
      <w:color w:val="0F4761" w:themeColor="accent1" w:themeShade="BF"/>
    </w:rPr>
  </w:style>
  <w:style w:type="paragraph" w:styleId="Citadestacada">
    <w:name w:val="Intense Quote"/>
    <w:basedOn w:val="Normal"/>
    <w:next w:val="Normal"/>
    <w:link w:val="CitadestacadaCar"/>
    <w:uiPriority w:val="30"/>
    <w:qFormat/>
    <w:rsid w:val="008C58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8C58DF"/>
    <w:rPr>
      <w:i/>
      <w:iCs/>
      <w:color w:val="0F4761" w:themeColor="accent1" w:themeShade="BF"/>
    </w:rPr>
  </w:style>
  <w:style w:type="character" w:styleId="Referenciaintensa">
    <w:name w:val="Intense Reference"/>
    <w:basedOn w:val="Fuentedeprrafopredeter"/>
    <w:uiPriority w:val="32"/>
    <w:qFormat/>
    <w:rsid w:val="008C58DF"/>
    <w:rPr>
      <w:b/>
      <w:bCs/>
      <w:smallCaps/>
      <w:color w:val="0F4761" w:themeColor="accent1" w:themeShade="BF"/>
      <w:spacing w:val="5"/>
    </w:rPr>
  </w:style>
  <w:style w:type="table" w:styleId="Tablaconcuadrcula">
    <w:name w:val="Table Grid"/>
    <w:basedOn w:val="Tablanormal"/>
    <w:uiPriority w:val="39"/>
    <w:rsid w:val="001D6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C889-0183-4760-B804-B9F155010E37}"/>
</file>

<file path=customXml/itemProps2.xml><?xml version="1.0" encoding="utf-8"?>
<ds:datastoreItem xmlns:ds="http://schemas.openxmlformats.org/officeDocument/2006/customXml" ds:itemID="{D7D25201-5E30-47E1-9086-A41F8C4B298A}"/>
</file>

<file path=customXml/itemProps3.xml><?xml version="1.0" encoding="utf-8"?>
<ds:datastoreItem xmlns:ds="http://schemas.openxmlformats.org/officeDocument/2006/customXml" ds:itemID="{C104C24F-7DEC-4ABF-8609-ACB2C9E8541B}"/>
</file>

<file path=docProps/app.xml><?xml version="1.0" encoding="utf-8"?>
<Properties xmlns="http://schemas.openxmlformats.org/officeDocument/2006/extended-properties" xmlns:vt="http://schemas.openxmlformats.org/officeDocument/2006/docPropsVTypes">
  <Template>Normal</Template>
  <TotalTime>5</TotalTime>
  <Pages>5</Pages>
  <Words>1602</Words>
  <Characters>8811</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2026-01-31T03:23:00Z</dcterms:created>
  <dcterms:modified xsi:type="dcterms:W3CDTF">2026-01-31T03:28:00Z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