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802C" w14:textId="7E229EFB" w:rsidR="00A3712B" w:rsidRDefault="00A3712B" w:rsidP="00A3712B">
      <w:pPr>
        <w:jc w:val="center"/>
        <w:rPr>
          <w:rFonts w:ascii="Verdana" w:hAnsi="Verdana"/>
          <w:sz w:val="22"/>
          <w:szCs w:val="22"/>
        </w:rPr>
      </w:pPr>
      <w:r w:rsidRPr="00924FA1">
        <w:rPr>
          <w:rFonts w:ascii="Verdana" w:hAnsi="Verdana"/>
          <w:b/>
          <w:bCs/>
          <w:sz w:val="22"/>
          <w:szCs w:val="22"/>
        </w:rPr>
        <w:t>RESOLUCIÓN 7397 DE 2017</w:t>
      </w:r>
    </w:p>
    <w:p w14:paraId="45BFDD52" w14:textId="7657CF9C" w:rsidR="009739B2" w:rsidRPr="00A3712B" w:rsidRDefault="009739B2" w:rsidP="00924FA1">
      <w:pPr>
        <w:rPr>
          <w:rFonts w:ascii="Verdana" w:hAnsi="Verdana"/>
          <w:sz w:val="20"/>
          <w:szCs w:val="20"/>
        </w:rPr>
      </w:pPr>
      <w:r w:rsidRPr="00A3712B">
        <w:rPr>
          <w:rFonts w:ascii="Verdana" w:hAnsi="Verdana"/>
          <w:sz w:val="20"/>
          <w:szCs w:val="20"/>
        </w:rPr>
        <w:t xml:space="preserve">Fecha de Expedición: </w:t>
      </w:r>
      <w:r w:rsidR="00A3712B" w:rsidRPr="00A3712B">
        <w:rPr>
          <w:rFonts w:ascii="Verdana" w:hAnsi="Verdana"/>
          <w:sz w:val="20"/>
          <w:szCs w:val="20"/>
        </w:rPr>
        <w:t xml:space="preserve">24 </w:t>
      </w:r>
      <w:r w:rsidRPr="00A3712B">
        <w:rPr>
          <w:rFonts w:ascii="Verdana" w:hAnsi="Verdana"/>
          <w:sz w:val="20"/>
          <w:szCs w:val="20"/>
        </w:rPr>
        <w:t>de agosto de 2017</w:t>
      </w:r>
    </w:p>
    <w:p w14:paraId="6C9A7697" w14:textId="5B4EFF71" w:rsidR="009739B2" w:rsidRPr="00A3712B" w:rsidRDefault="009739B2" w:rsidP="00924FA1">
      <w:pPr>
        <w:rPr>
          <w:rFonts w:ascii="Verdana" w:hAnsi="Verdana"/>
          <w:sz w:val="20"/>
          <w:szCs w:val="20"/>
        </w:rPr>
      </w:pPr>
      <w:r w:rsidRPr="00A3712B">
        <w:rPr>
          <w:rFonts w:ascii="Verdana" w:hAnsi="Verdana"/>
          <w:sz w:val="20"/>
          <w:szCs w:val="20"/>
        </w:rPr>
        <w:t xml:space="preserve">Fecha de </w:t>
      </w:r>
      <w:proofErr w:type="gramStart"/>
      <w:r w:rsidRPr="00A3712B">
        <w:rPr>
          <w:rFonts w:ascii="Verdana" w:hAnsi="Verdana"/>
          <w:sz w:val="20"/>
          <w:szCs w:val="20"/>
        </w:rPr>
        <w:t>entrada en vigencia</w:t>
      </w:r>
      <w:proofErr w:type="gramEnd"/>
      <w:r w:rsidRPr="00A3712B">
        <w:rPr>
          <w:rFonts w:ascii="Verdana" w:hAnsi="Verdana"/>
          <w:sz w:val="20"/>
          <w:szCs w:val="20"/>
        </w:rPr>
        <w:t xml:space="preserve">: </w:t>
      </w:r>
      <w:r w:rsidR="00A3712B" w:rsidRPr="00A3712B">
        <w:rPr>
          <w:rFonts w:ascii="Verdana" w:hAnsi="Verdana"/>
          <w:sz w:val="20"/>
          <w:szCs w:val="20"/>
        </w:rPr>
        <w:t>28 de agosto de 2017</w:t>
      </w:r>
    </w:p>
    <w:p w14:paraId="18FAB7D2" w14:textId="094A296C" w:rsidR="009739B2" w:rsidRPr="00A3712B" w:rsidRDefault="009739B2" w:rsidP="00924FA1">
      <w:pPr>
        <w:rPr>
          <w:rFonts w:ascii="Verdana" w:hAnsi="Verdana"/>
          <w:sz w:val="20"/>
          <w:szCs w:val="20"/>
        </w:rPr>
      </w:pPr>
      <w:r w:rsidRPr="00A3712B">
        <w:rPr>
          <w:rFonts w:ascii="Verdana" w:hAnsi="Verdana"/>
          <w:sz w:val="20"/>
          <w:szCs w:val="20"/>
        </w:rPr>
        <w:t xml:space="preserve">Estado de la vigencia: </w:t>
      </w:r>
      <w:r w:rsidR="00A3712B" w:rsidRPr="00A3712B">
        <w:rPr>
          <w:rFonts w:ascii="Verdana" w:hAnsi="Verdana"/>
          <w:sz w:val="20"/>
          <w:szCs w:val="20"/>
        </w:rPr>
        <w:t>derogada por el artículo 1 de la Resolución 5973 de 2023</w:t>
      </w:r>
    </w:p>
    <w:p w14:paraId="789A595C" w14:textId="77777777" w:rsidR="00A3712B" w:rsidRPr="00A3712B" w:rsidRDefault="00A3712B" w:rsidP="00924FA1">
      <w:pPr>
        <w:rPr>
          <w:rFonts w:ascii="Verdana" w:hAnsi="Verdana"/>
          <w:sz w:val="20"/>
          <w:szCs w:val="20"/>
        </w:rPr>
      </w:pPr>
    </w:p>
    <w:p w14:paraId="656AADA8" w14:textId="16531BBA" w:rsidR="009739B2" w:rsidRPr="00A3712B" w:rsidRDefault="009739B2" w:rsidP="00924FA1">
      <w:pPr>
        <w:rPr>
          <w:rFonts w:ascii="Verdana" w:hAnsi="Verdana"/>
          <w:sz w:val="20"/>
          <w:szCs w:val="20"/>
        </w:rPr>
      </w:pPr>
      <w:r w:rsidRPr="00A3712B">
        <w:rPr>
          <w:rFonts w:ascii="Verdana" w:hAnsi="Verdana"/>
          <w:sz w:val="20"/>
          <w:szCs w:val="20"/>
        </w:rPr>
        <w:t xml:space="preserve">Fecha de publicación en Diario Oficial: </w:t>
      </w:r>
      <w:r w:rsidR="00A3712B" w:rsidRPr="00A3712B">
        <w:rPr>
          <w:rFonts w:ascii="Verdana" w:hAnsi="Verdana"/>
          <w:sz w:val="20"/>
          <w:szCs w:val="20"/>
        </w:rPr>
        <w:t>28 de agosto de 2017</w:t>
      </w:r>
    </w:p>
    <w:p w14:paraId="4894F2FA" w14:textId="53D64004" w:rsidR="009739B2" w:rsidRPr="00A3712B" w:rsidRDefault="009739B2" w:rsidP="00924FA1">
      <w:pPr>
        <w:rPr>
          <w:rFonts w:ascii="Verdana" w:hAnsi="Verdana"/>
          <w:sz w:val="20"/>
          <w:szCs w:val="20"/>
        </w:rPr>
      </w:pPr>
      <w:r w:rsidRPr="00A3712B">
        <w:rPr>
          <w:rFonts w:ascii="Verdana" w:hAnsi="Verdana"/>
          <w:sz w:val="20"/>
          <w:szCs w:val="20"/>
        </w:rPr>
        <w:t xml:space="preserve">Número del Diario Oficial: </w:t>
      </w:r>
      <w:r w:rsidR="00A3712B" w:rsidRPr="00A3712B">
        <w:rPr>
          <w:rFonts w:ascii="Verdana" w:hAnsi="Verdana"/>
          <w:sz w:val="20"/>
          <w:szCs w:val="20"/>
        </w:rPr>
        <w:t>No. 50.339</w:t>
      </w:r>
    </w:p>
    <w:p w14:paraId="02E87CE0" w14:textId="77777777" w:rsidR="00924FA1" w:rsidRPr="00924FA1" w:rsidRDefault="00924FA1" w:rsidP="00A3712B">
      <w:pPr>
        <w:jc w:val="center"/>
        <w:rPr>
          <w:rFonts w:ascii="Verdana" w:hAnsi="Verdana"/>
          <w:sz w:val="22"/>
          <w:szCs w:val="22"/>
        </w:rPr>
      </w:pPr>
      <w:r w:rsidRPr="00924FA1">
        <w:rPr>
          <w:rFonts w:ascii="Verdana" w:hAnsi="Verdana"/>
          <w:b/>
          <w:bCs/>
          <w:sz w:val="22"/>
          <w:szCs w:val="22"/>
        </w:rPr>
        <w:t>RESOLUCIÓN 7397 DE 2017</w:t>
      </w:r>
    </w:p>
    <w:p w14:paraId="496BA9E5" w14:textId="63876049" w:rsidR="00924FA1" w:rsidRPr="00924FA1" w:rsidRDefault="00924FA1" w:rsidP="00A3712B">
      <w:pPr>
        <w:jc w:val="center"/>
        <w:rPr>
          <w:rFonts w:ascii="Verdana" w:hAnsi="Verdana"/>
          <w:b/>
          <w:bCs/>
          <w:sz w:val="22"/>
          <w:szCs w:val="22"/>
        </w:rPr>
      </w:pPr>
      <w:r w:rsidRPr="00924FA1">
        <w:rPr>
          <w:rFonts w:ascii="Verdana" w:hAnsi="Verdana"/>
          <w:b/>
          <w:bCs/>
          <w:sz w:val="22"/>
          <w:szCs w:val="22"/>
        </w:rPr>
        <w:t>(</w:t>
      </w:r>
      <w:r w:rsidR="00A3712B" w:rsidRPr="00A3712B">
        <w:rPr>
          <w:rFonts w:ascii="Verdana" w:hAnsi="Verdana"/>
          <w:b/>
          <w:bCs/>
          <w:sz w:val="22"/>
          <w:szCs w:val="22"/>
        </w:rPr>
        <w:t xml:space="preserve">24 de </w:t>
      </w:r>
      <w:r w:rsidRPr="00924FA1">
        <w:rPr>
          <w:rFonts w:ascii="Verdana" w:hAnsi="Verdana"/>
          <w:b/>
          <w:bCs/>
          <w:sz w:val="22"/>
          <w:szCs w:val="22"/>
        </w:rPr>
        <w:t>agosto)</w:t>
      </w:r>
    </w:p>
    <w:p w14:paraId="42619487" w14:textId="77777777" w:rsidR="00924FA1" w:rsidRPr="00924FA1" w:rsidRDefault="00924FA1" w:rsidP="00A3712B">
      <w:pPr>
        <w:jc w:val="center"/>
        <w:rPr>
          <w:rFonts w:ascii="Verdana" w:hAnsi="Verdana"/>
          <w:sz w:val="22"/>
          <w:szCs w:val="22"/>
        </w:rPr>
      </w:pPr>
      <w:r w:rsidRPr="00924FA1">
        <w:rPr>
          <w:rFonts w:ascii="Verdana" w:hAnsi="Verdana"/>
          <w:b/>
          <w:bCs/>
          <w:sz w:val="22"/>
          <w:szCs w:val="22"/>
        </w:rPr>
        <w:t>INSTITUTO COLOMBIANO DE BIENESTAR FAMILIAR,</w:t>
      </w:r>
    </w:p>
    <w:p w14:paraId="348BCCD2" w14:textId="77777777" w:rsidR="00924FA1" w:rsidRPr="00924FA1" w:rsidRDefault="00924FA1" w:rsidP="00A3712B">
      <w:pPr>
        <w:jc w:val="center"/>
        <w:rPr>
          <w:rFonts w:ascii="Verdana" w:hAnsi="Verdana"/>
          <w:sz w:val="22"/>
          <w:szCs w:val="22"/>
        </w:rPr>
      </w:pPr>
      <w:r w:rsidRPr="00924FA1">
        <w:rPr>
          <w:rFonts w:ascii="Verdana" w:hAnsi="Verdana"/>
          <w:b/>
          <w:bCs/>
          <w:sz w:val="22"/>
          <w:szCs w:val="22"/>
        </w:rPr>
        <w:t>CECILIA DE LA FUENTE DE LLERAS</w:t>
      </w:r>
    </w:p>
    <w:p w14:paraId="371617EC" w14:textId="49A86F65" w:rsidR="00924FA1" w:rsidRPr="00924FA1" w:rsidRDefault="00A3712B" w:rsidP="00A3712B">
      <w:pPr>
        <w:jc w:val="center"/>
        <w:rPr>
          <w:rFonts w:ascii="Verdana" w:hAnsi="Verdana"/>
          <w:sz w:val="22"/>
          <w:szCs w:val="22"/>
        </w:rPr>
      </w:pPr>
      <w:r>
        <w:rPr>
          <w:rFonts w:ascii="Verdana" w:hAnsi="Verdana"/>
          <w:sz w:val="22"/>
          <w:szCs w:val="22"/>
        </w:rPr>
        <w:t>“</w:t>
      </w:r>
      <w:r w:rsidR="00924FA1" w:rsidRPr="00924FA1">
        <w:rPr>
          <w:rFonts w:ascii="Verdana" w:hAnsi="Verdana"/>
          <w:sz w:val="22"/>
          <w:szCs w:val="22"/>
        </w:rPr>
        <w:t>Por medio de la cual se modifica la Resolución número 9198 de 6 de noviembre de 2015.</w:t>
      </w:r>
      <w:r>
        <w:rPr>
          <w:rFonts w:ascii="Verdana" w:hAnsi="Verdana"/>
          <w:sz w:val="22"/>
          <w:szCs w:val="22"/>
        </w:rPr>
        <w:t>”</w:t>
      </w:r>
    </w:p>
    <w:p w14:paraId="5CDBDACC" w14:textId="77777777" w:rsidR="00924FA1" w:rsidRPr="00924FA1" w:rsidRDefault="00924FA1" w:rsidP="00A3712B">
      <w:pPr>
        <w:jc w:val="center"/>
        <w:rPr>
          <w:rFonts w:ascii="Verdana" w:hAnsi="Verdana"/>
          <w:sz w:val="22"/>
          <w:szCs w:val="22"/>
        </w:rPr>
      </w:pPr>
      <w:r w:rsidRPr="00924FA1">
        <w:rPr>
          <w:rFonts w:ascii="Verdana" w:hAnsi="Verdana"/>
          <w:b/>
          <w:bCs/>
          <w:sz w:val="22"/>
          <w:szCs w:val="22"/>
        </w:rPr>
        <w:t>LA DIRECTORA GENERAL DEL INSTITUTO COLOMBIANO DE BIENESTAR FAMILIAR (ICBF), CECILIA DE LA FUENTE DE LLERAS,</w:t>
      </w:r>
    </w:p>
    <w:p w14:paraId="7965A24B" w14:textId="58EDA875" w:rsidR="00924FA1" w:rsidRPr="00924FA1" w:rsidRDefault="00924FA1" w:rsidP="00A3712B">
      <w:pPr>
        <w:jc w:val="center"/>
        <w:rPr>
          <w:rFonts w:ascii="Verdana" w:hAnsi="Verdana"/>
          <w:sz w:val="22"/>
          <w:szCs w:val="22"/>
        </w:rPr>
      </w:pPr>
      <w:r w:rsidRPr="00924FA1">
        <w:rPr>
          <w:rFonts w:ascii="Verdana" w:hAnsi="Verdana"/>
          <w:sz w:val="22"/>
          <w:szCs w:val="22"/>
        </w:rPr>
        <w:t>en uso de sus facultades legales y estatutarias, en especial las conferidas en el artículo 78 de la Ley 489 de 1998 y en el numeral b) del artículo 28 de la Ley 7ª de 1979 y</w:t>
      </w:r>
    </w:p>
    <w:p w14:paraId="4B0FFD73" w14:textId="77777777" w:rsidR="00924FA1" w:rsidRPr="00924FA1" w:rsidRDefault="00924FA1" w:rsidP="00A3712B">
      <w:pPr>
        <w:jc w:val="center"/>
        <w:rPr>
          <w:rFonts w:ascii="Verdana" w:hAnsi="Verdana"/>
          <w:sz w:val="22"/>
          <w:szCs w:val="22"/>
        </w:rPr>
      </w:pPr>
      <w:r w:rsidRPr="00924FA1">
        <w:rPr>
          <w:rFonts w:ascii="Verdana" w:hAnsi="Verdana"/>
          <w:b/>
          <w:bCs/>
          <w:sz w:val="22"/>
          <w:szCs w:val="22"/>
        </w:rPr>
        <w:t>CONSIDERANDO:</w:t>
      </w:r>
    </w:p>
    <w:p w14:paraId="3F7AF553" w14:textId="3A3162B1" w:rsidR="00924FA1" w:rsidRPr="00A3712B" w:rsidRDefault="00924FA1" w:rsidP="00A3712B">
      <w:pPr>
        <w:pStyle w:val="Prrafodelista"/>
        <w:numPr>
          <w:ilvl w:val="0"/>
          <w:numId w:val="3"/>
        </w:numPr>
        <w:rPr>
          <w:rFonts w:ascii="Verdana" w:hAnsi="Verdana"/>
          <w:sz w:val="22"/>
          <w:szCs w:val="22"/>
        </w:rPr>
      </w:pPr>
      <w:r w:rsidRPr="00A3712B">
        <w:rPr>
          <w:rFonts w:ascii="Verdana" w:hAnsi="Verdana"/>
          <w:sz w:val="22"/>
          <w:szCs w:val="22"/>
        </w:rPr>
        <w:t>Que la Resolución 9198 de 6 de noviembre de 2015 derogó la Resolución 8707 de 2012, reestructurando y reglamentando el funcionamiento del Comité Técnico Consultivo para el Restablecimiento de Derechos, en sus tres niveles: Zonal, Regional y Nacional.</w:t>
      </w:r>
    </w:p>
    <w:p w14:paraId="6B22551B" w14:textId="1821BD3B" w:rsidR="00924FA1" w:rsidRPr="00A3712B" w:rsidRDefault="00924FA1" w:rsidP="00A3712B">
      <w:pPr>
        <w:pStyle w:val="Prrafodelista"/>
        <w:numPr>
          <w:ilvl w:val="0"/>
          <w:numId w:val="3"/>
        </w:numPr>
        <w:rPr>
          <w:rFonts w:ascii="Verdana" w:hAnsi="Verdana"/>
          <w:sz w:val="22"/>
          <w:szCs w:val="22"/>
        </w:rPr>
      </w:pPr>
      <w:r w:rsidRPr="00A3712B">
        <w:rPr>
          <w:rFonts w:ascii="Verdana" w:hAnsi="Verdana"/>
          <w:sz w:val="22"/>
          <w:szCs w:val="22"/>
        </w:rPr>
        <w:t>Que el artículo 96 de la Ley 1098 de 2006 dispone que los Defensores de Familia y Comisarios de Familia, como las Autoridades Administrativas competentes para conocer del Restablecimiento de los Derechos de niños, niñas y adolescentes cuando han sido vulnerados, amenazados o inobservados.</w:t>
      </w:r>
    </w:p>
    <w:p w14:paraId="1F27D27D" w14:textId="09EB50F8" w:rsidR="00924FA1" w:rsidRPr="00A3712B" w:rsidRDefault="00924FA1" w:rsidP="00A3712B">
      <w:pPr>
        <w:pStyle w:val="Prrafodelista"/>
        <w:numPr>
          <w:ilvl w:val="0"/>
          <w:numId w:val="3"/>
        </w:numPr>
        <w:rPr>
          <w:rFonts w:ascii="Verdana" w:hAnsi="Verdana"/>
          <w:sz w:val="22"/>
          <w:szCs w:val="22"/>
        </w:rPr>
      </w:pPr>
      <w:r w:rsidRPr="00A3712B">
        <w:rPr>
          <w:rFonts w:ascii="Verdana" w:hAnsi="Verdana"/>
          <w:sz w:val="22"/>
          <w:szCs w:val="22"/>
        </w:rPr>
        <w:t>Que la Ley 1098 de 2006 en su artículo 96 y el artículo 2.2.4.9.2.5 del Decreto 1069 de 2015, establece que el seguimiento de las medidas de protección o de restablecimiento adoptadas por los Defensores y Comisarios de Familia estarán a cargo del respectivo Coordinador del Centro Zonal del Instituto Colombiano de Bienestar Familiar, sin perjuicio del seguimiento que deben realizar las Autoridades Administrativas.</w:t>
      </w:r>
    </w:p>
    <w:p w14:paraId="55C2CB9E" w14:textId="14E457E1" w:rsidR="00924FA1" w:rsidRPr="00A3712B" w:rsidRDefault="00924FA1" w:rsidP="00A3712B">
      <w:pPr>
        <w:pStyle w:val="Prrafodelista"/>
        <w:numPr>
          <w:ilvl w:val="0"/>
          <w:numId w:val="3"/>
        </w:numPr>
        <w:rPr>
          <w:rFonts w:ascii="Verdana" w:hAnsi="Verdana"/>
          <w:sz w:val="22"/>
          <w:szCs w:val="22"/>
        </w:rPr>
      </w:pPr>
      <w:r w:rsidRPr="00A3712B">
        <w:rPr>
          <w:rFonts w:ascii="Verdana" w:hAnsi="Verdana"/>
          <w:sz w:val="22"/>
          <w:szCs w:val="22"/>
        </w:rPr>
        <w:t>Que el Parágrafo del artículo 11 de la Ley 1098 de 2006 dispone que </w:t>
      </w:r>
      <w:r w:rsidRPr="00A3712B">
        <w:rPr>
          <w:rFonts w:ascii="Verdana" w:hAnsi="Verdana"/>
          <w:i/>
          <w:iCs/>
          <w:sz w:val="22"/>
          <w:szCs w:val="22"/>
        </w:rPr>
        <w:t xml:space="preserve">el Instituto Colombiano de Bienestar Familiar, como ente coordinador del Sistema Nacional de Bienestar Familiar, mantendrá todas las funciones que hoy tiene (Ley 75/68 y Ley 7ª/79) y definirá los lineamientos técnicos que las entidades deben cumplir para garantizar los derechos </w:t>
      </w:r>
      <w:r w:rsidRPr="00A3712B">
        <w:rPr>
          <w:rFonts w:ascii="Verdana" w:hAnsi="Verdana"/>
          <w:i/>
          <w:iCs/>
          <w:sz w:val="22"/>
          <w:szCs w:val="22"/>
        </w:rPr>
        <w:lastRenderedPageBreak/>
        <w:t>de los niños, las niñas y los adolescentes, y para asegurar su restablecimiento </w:t>
      </w:r>
      <w:r w:rsidRPr="00A3712B">
        <w:rPr>
          <w:rFonts w:ascii="Verdana" w:hAnsi="Verdana"/>
          <w:sz w:val="22"/>
          <w:szCs w:val="22"/>
        </w:rPr>
        <w:t>(…)”.</w:t>
      </w:r>
    </w:p>
    <w:p w14:paraId="2D0A4DCF" w14:textId="0B2DB782" w:rsidR="00924FA1" w:rsidRPr="00A3712B" w:rsidRDefault="00924FA1" w:rsidP="00A3712B">
      <w:pPr>
        <w:pStyle w:val="Prrafodelista"/>
        <w:numPr>
          <w:ilvl w:val="0"/>
          <w:numId w:val="3"/>
        </w:numPr>
        <w:rPr>
          <w:rFonts w:ascii="Verdana" w:hAnsi="Verdana"/>
          <w:sz w:val="22"/>
          <w:szCs w:val="22"/>
        </w:rPr>
      </w:pPr>
      <w:r w:rsidRPr="00A3712B">
        <w:rPr>
          <w:rFonts w:ascii="Verdana" w:hAnsi="Verdana"/>
          <w:sz w:val="22"/>
          <w:szCs w:val="22"/>
        </w:rPr>
        <w:t>Que el Lineamiento Técnico Administrativo de Ruta de Actuaciones para el Restablecimiento de Derechos de Niños, Niñas y Adolescentes con sus Derechos Inobservados, Amenazados o Vulnerados, aprobado mediante Resolución 1526 de 23 de febrero de 2016 y modificado mediante Resolución 7547 de julio 29 de 2016, establece como una estrategia que pueden adoptar los Coordinadores de los Centros Zonales, para hacer el seguimiento a las medidas adoptadas por las Autoridades Administrativas (Defensores y Comisarios de Familia), la convocatoria a los Comités Técnicos Consultivos de restablecimiento de derechos.</w:t>
      </w:r>
    </w:p>
    <w:p w14:paraId="7F57B6C4" w14:textId="57AACECE" w:rsidR="00924FA1" w:rsidRPr="00A3712B" w:rsidRDefault="00924FA1" w:rsidP="00A3712B">
      <w:pPr>
        <w:pStyle w:val="Prrafodelista"/>
        <w:numPr>
          <w:ilvl w:val="0"/>
          <w:numId w:val="3"/>
        </w:numPr>
        <w:rPr>
          <w:rFonts w:ascii="Verdana" w:hAnsi="Verdana"/>
          <w:sz w:val="22"/>
          <w:szCs w:val="22"/>
        </w:rPr>
      </w:pPr>
      <w:r w:rsidRPr="00A3712B">
        <w:rPr>
          <w:rFonts w:ascii="Verdana" w:hAnsi="Verdana"/>
          <w:sz w:val="22"/>
          <w:szCs w:val="22"/>
        </w:rPr>
        <w:t>Que de acuerdo con lo establecido en el inciso 2o del artículo 83 de la Ley 1098 de 2006 </w:t>
      </w:r>
      <w:r w:rsidRPr="00A3712B">
        <w:rPr>
          <w:rFonts w:ascii="Verdana" w:hAnsi="Verdana"/>
          <w:i/>
          <w:iCs/>
          <w:sz w:val="22"/>
          <w:szCs w:val="22"/>
        </w:rPr>
        <w:t>el Instituto Colombiano de Bienestar Familiar como entidad coordinadora del Sistema Nacional de Bienestar Familiar será el encargado de dictar la línea técnica a las Comisarías de Familia en todo el país</w:t>
      </w:r>
      <w:r w:rsidRPr="00A3712B">
        <w:rPr>
          <w:rFonts w:ascii="Verdana" w:hAnsi="Verdana"/>
          <w:sz w:val="22"/>
          <w:szCs w:val="22"/>
        </w:rPr>
        <w:t>.</w:t>
      </w:r>
    </w:p>
    <w:p w14:paraId="630B82B9" w14:textId="48FF4C9C" w:rsidR="00924FA1" w:rsidRPr="00A3712B" w:rsidRDefault="00924FA1" w:rsidP="00A3712B">
      <w:pPr>
        <w:pStyle w:val="Prrafodelista"/>
        <w:numPr>
          <w:ilvl w:val="0"/>
          <w:numId w:val="3"/>
        </w:numPr>
        <w:rPr>
          <w:rFonts w:ascii="Verdana" w:hAnsi="Verdana"/>
          <w:sz w:val="22"/>
          <w:szCs w:val="22"/>
        </w:rPr>
      </w:pPr>
      <w:proofErr w:type="gramStart"/>
      <w:r w:rsidRPr="00A3712B">
        <w:rPr>
          <w:rFonts w:ascii="Verdana" w:hAnsi="Verdana"/>
          <w:sz w:val="22"/>
          <w:szCs w:val="22"/>
        </w:rPr>
        <w:t>Que</w:t>
      </w:r>
      <w:proofErr w:type="gramEnd"/>
      <w:r w:rsidRPr="00A3712B">
        <w:rPr>
          <w:rFonts w:ascii="Verdana" w:hAnsi="Verdana"/>
          <w:sz w:val="22"/>
          <w:szCs w:val="22"/>
        </w:rPr>
        <w:t xml:space="preserve"> de acuerdo con lo anterior, resulta necesario modificar la Resolución 9198 de 6 de noviembre de 2015.</w:t>
      </w:r>
    </w:p>
    <w:p w14:paraId="4BA2E76C" w14:textId="77777777" w:rsidR="00924FA1" w:rsidRPr="00A3712B" w:rsidRDefault="00924FA1" w:rsidP="00A3712B">
      <w:pPr>
        <w:pStyle w:val="Prrafodelista"/>
        <w:numPr>
          <w:ilvl w:val="0"/>
          <w:numId w:val="3"/>
        </w:numPr>
        <w:rPr>
          <w:rFonts w:ascii="Verdana" w:hAnsi="Verdana"/>
          <w:sz w:val="22"/>
          <w:szCs w:val="22"/>
        </w:rPr>
      </w:pPr>
      <w:proofErr w:type="gramStart"/>
      <w:r w:rsidRPr="00A3712B">
        <w:rPr>
          <w:rFonts w:ascii="Verdana" w:hAnsi="Verdana"/>
          <w:sz w:val="22"/>
          <w:szCs w:val="22"/>
        </w:rPr>
        <w:t>Que</w:t>
      </w:r>
      <w:proofErr w:type="gramEnd"/>
      <w:r w:rsidRPr="00A3712B">
        <w:rPr>
          <w:rFonts w:ascii="Verdana" w:hAnsi="Verdana"/>
          <w:sz w:val="22"/>
          <w:szCs w:val="22"/>
        </w:rPr>
        <w:t xml:space="preserve"> en mérito de lo expuesto,</w:t>
      </w:r>
    </w:p>
    <w:p w14:paraId="4394E982" w14:textId="77777777" w:rsidR="00924FA1" w:rsidRPr="00924FA1" w:rsidRDefault="00924FA1" w:rsidP="00A3712B">
      <w:pPr>
        <w:jc w:val="center"/>
        <w:rPr>
          <w:rFonts w:ascii="Verdana" w:hAnsi="Verdana"/>
          <w:sz w:val="22"/>
          <w:szCs w:val="22"/>
        </w:rPr>
      </w:pPr>
      <w:r w:rsidRPr="00924FA1">
        <w:rPr>
          <w:rFonts w:ascii="Verdana" w:hAnsi="Verdana"/>
          <w:b/>
          <w:bCs/>
          <w:sz w:val="22"/>
          <w:szCs w:val="22"/>
        </w:rPr>
        <w:t>RESUELVE:</w:t>
      </w:r>
    </w:p>
    <w:p w14:paraId="42CF00CF" w14:textId="47B3E181" w:rsidR="00924FA1" w:rsidRPr="00924FA1" w:rsidRDefault="00924FA1" w:rsidP="00924FA1">
      <w:pPr>
        <w:rPr>
          <w:rFonts w:ascii="Verdana" w:hAnsi="Verdana"/>
          <w:sz w:val="22"/>
          <w:szCs w:val="22"/>
        </w:rPr>
      </w:pPr>
      <w:bookmarkStart w:id="0" w:name="1"/>
      <w:r w:rsidRPr="00924FA1">
        <w:rPr>
          <w:rFonts w:ascii="Verdana" w:hAnsi="Verdana"/>
          <w:b/>
          <w:bCs/>
          <w:sz w:val="22"/>
          <w:szCs w:val="22"/>
        </w:rPr>
        <w:t>ARTÍCULO 1o.</w:t>
      </w:r>
      <w:bookmarkEnd w:id="0"/>
      <w:r w:rsidRPr="00924FA1">
        <w:rPr>
          <w:rFonts w:ascii="Verdana" w:hAnsi="Verdana"/>
          <w:sz w:val="22"/>
          <w:szCs w:val="22"/>
        </w:rPr>
        <w:t> Modificar los incisos 3o y 4o del artículo 2o de la Resolución 9198 de 2015 (</w:t>
      </w:r>
      <w:r w:rsidRPr="00924FA1">
        <w:rPr>
          <w:rFonts w:ascii="Verdana" w:hAnsi="Verdana"/>
          <w:i/>
          <w:iCs/>
          <w:sz w:val="22"/>
          <w:szCs w:val="22"/>
        </w:rPr>
        <w:t>Nivel Regional </w:t>
      </w:r>
      <w:r w:rsidRPr="00924FA1">
        <w:rPr>
          <w:rFonts w:ascii="Verdana" w:hAnsi="Verdana"/>
          <w:sz w:val="22"/>
          <w:szCs w:val="22"/>
        </w:rPr>
        <w:t>y </w:t>
      </w:r>
      <w:r w:rsidRPr="00924FA1">
        <w:rPr>
          <w:rFonts w:ascii="Verdana" w:hAnsi="Verdana"/>
          <w:i/>
          <w:iCs/>
          <w:sz w:val="22"/>
          <w:szCs w:val="22"/>
        </w:rPr>
        <w:t>Nivel Zonal</w:t>
      </w:r>
      <w:r w:rsidRPr="00924FA1">
        <w:rPr>
          <w:rFonts w:ascii="Verdana" w:hAnsi="Verdana"/>
          <w:sz w:val="22"/>
          <w:szCs w:val="22"/>
        </w:rPr>
        <w:t>), el cual quedará así:</w:t>
      </w:r>
    </w:p>
    <w:p w14:paraId="1A5EE436" w14:textId="77777777" w:rsidR="00924FA1" w:rsidRPr="00924FA1" w:rsidRDefault="00924FA1" w:rsidP="00924FA1">
      <w:pPr>
        <w:ind w:left="708"/>
        <w:rPr>
          <w:rFonts w:ascii="Verdana" w:hAnsi="Verdana"/>
          <w:sz w:val="22"/>
          <w:szCs w:val="22"/>
        </w:rPr>
      </w:pPr>
      <w:r w:rsidRPr="00924FA1">
        <w:rPr>
          <w:rFonts w:ascii="Verdana" w:hAnsi="Verdana"/>
          <w:sz w:val="22"/>
          <w:szCs w:val="22"/>
        </w:rPr>
        <w:t>“</w:t>
      </w:r>
      <w:r w:rsidRPr="00924FA1">
        <w:rPr>
          <w:rFonts w:ascii="Verdana" w:hAnsi="Verdana"/>
          <w:b/>
          <w:bCs/>
          <w:sz w:val="22"/>
          <w:szCs w:val="22"/>
        </w:rPr>
        <w:t>Artículo 2o. </w:t>
      </w:r>
      <w:r w:rsidRPr="00924FA1">
        <w:rPr>
          <w:rFonts w:ascii="Verdana" w:hAnsi="Verdana"/>
          <w:b/>
          <w:bCs/>
          <w:i/>
          <w:iCs/>
          <w:sz w:val="22"/>
          <w:szCs w:val="22"/>
        </w:rPr>
        <w:t>Integración</w:t>
      </w:r>
      <w:r w:rsidRPr="00924FA1">
        <w:rPr>
          <w:rFonts w:ascii="Verdana" w:hAnsi="Verdana"/>
          <w:b/>
          <w:bCs/>
          <w:sz w:val="22"/>
          <w:szCs w:val="22"/>
        </w:rPr>
        <w:t>. </w:t>
      </w:r>
      <w:r w:rsidRPr="00924FA1">
        <w:rPr>
          <w:rFonts w:ascii="Verdana" w:hAnsi="Verdana"/>
          <w:sz w:val="22"/>
          <w:szCs w:val="22"/>
        </w:rPr>
        <w:t>El Comité Técnico Consultivo para el Restablecimiento de Derechos del nivel Nacional, Regional y Zonal estará integrado por los siguientes servidores públicos, quienes actuarán con voz y voto, así:</w:t>
      </w:r>
    </w:p>
    <w:p w14:paraId="4565AB62" w14:textId="77777777" w:rsidR="00924FA1" w:rsidRPr="00924FA1" w:rsidRDefault="00924FA1" w:rsidP="00924FA1">
      <w:pPr>
        <w:ind w:left="708"/>
        <w:rPr>
          <w:rFonts w:ascii="Verdana" w:hAnsi="Verdana"/>
          <w:sz w:val="22"/>
          <w:szCs w:val="22"/>
        </w:rPr>
      </w:pPr>
      <w:r w:rsidRPr="00924FA1">
        <w:rPr>
          <w:rFonts w:ascii="Verdana" w:hAnsi="Verdana"/>
          <w:b/>
          <w:bCs/>
          <w:sz w:val="22"/>
          <w:szCs w:val="22"/>
        </w:rPr>
        <w:t>Nivel Nacional:</w:t>
      </w:r>
    </w:p>
    <w:p w14:paraId="686C982E" w14:textId="77777777" w:rsidR="00924FA1" w:rsidRPr="00924FA1" w:rsidRDefault="00924FA1" w:rsidP="00924FA1">
      <w:pPr>
        <w:ind w:left="708"/>
        <w:rPr>
          <w:rFonts w:ascii="Verdana" w:hAnsi="Verdana"/>
          <w:sz w:val="22"/>
          <w:szCs w:val="22"/>
        </w:rPr>
      </w:pPr>
      <w:r w:rsidRPr="00924FA1">
        <w:rPr>
          <w:rFonts w:ascii="Verdana" w:hAnsi="Verdana"/>
          <w:sz w:val="22"/>
          <w:szCs w:val="22"/>
        </w:rPr>
        <w:t xml:space="preserve">El </w:t>
      </w:r>
      <w:proofErr w:type="gramStart"/>
      <w:r w:rsidRPr="00924FA1">
        <w:rPr>
          <w:rFonts w:ascii="Verdana" w:hAnsi="Verdana"/>
          <w:sz w:val="22"/>
          <w:szCs w:val="22"/>
        </w:rPr>
        <w:t>Director</w:t>
      </w:r>
      <w:proofErr w:type="gramEnd"/>
      <w:r w:rsidRPr="00924FA1">
        <w:rPr>
          <w:rFonts w:ascii="Verdana" w:hAnsi="Verdana"/>
          <w:sz w:val="22"/>
          <w:szCs w:val="22"/>
        </w:rPr>
        <w:t xml:space="preserve"> de Protección o su delegado, quien lo presidirá.</w:t>
      </w:r>
    </w:p>
    <w:p w14:paraId="291704CA" w14:textId="77777777" w:rsidR="00924FA1" w:rsidRPr="00924FA1" w:rsidRDefault="00924FA1" w:rsidP="00924FA1">
      <w:pPr>
        <w:ind w:left="708"/>
        <w:rPr>
          <w:rFonts w:ascii="Verdana" w:hAnsi="Verdana"/>
          <w:sz w:val="22"/>
          <w:szCs w:val="22"/>
        </w:rPr>
      </w:pPr>
      <w:r w:rsidRPr="00924FA1">
        <w:rPr>
          <w:rFonts w:ascii="Verdana" w:hAnsi="Verdana"/>
          <w:sz w:val="22"/>
          <w:szCs w:val="22"/>
        </w:rPr>
        <w:t xml:space="preserve">El </w:t>
      </w:r>
      <w:proofErr w:type="gramStart"/>
      <w:r w:rsidRPr="00924FA1">
        <w:rPr>
          <w:rFonts w:ascii="Verdana" w:hAnsi="Verdana"/>
          <w:sz w:val="22"/>
          <w:szCs w:val="22"/>
        </w:rPr>
        <w:t>Subdirector</w:t>
      </w:r>
      <w:proofErr w:type="gramEnd"/>
      <w:r w:rsidRPr="00924FA1">
        <w:rPr>
          <w:rFonts w:ascii="Verdana" w:hAnsi="Verdana"/>
          <w:sz w:val="22"/>
          <w:szCs w:val="22"/>
        </w:rPr>
        <w:t xml:space="preserve"> de Restablecimiento de Derechos.</w:t>
      </w:r>
    </w:p>
    <w:p w14:paraId="731F7852" w14:textId="77777777" w:rsidR="00924FA1" w:rsidRPr="00924FA1" w:rsidRDefault="00924FA1" w:rsidP="00924FA1">
      <w:pPr>
        <w:ind w:left="708"/>
        <w:rPr>
          <w:rFonts w:ascii="Verdana" w:hAnsi="Verdana"/>
          <w:sz w:val="22"/>
          <w:szCs w:val="22"/>
        </w:rPr>
      </w:pPr>
      <w:r w:rsidRPr="00924FA1">
        <w:rPr>
          <w:rFonts w:ascii="Verdana" w:hAnsi="Verdana"/>
          <w:sz w:val="22"/>
          <w:szCs w:val="22"/>
        </w:rPr>
        <w:t xml:space="preserve">El </w:t>
      </w:r>
      <w:proofErr w:type="gramStart"/>
      <w:r w:rsidRPr="00924FA1">
        <w:rPr>
          <w:rFonts w:ascii="Verdana" w:hAnsi="Verdana"/>
          <w:sz w:val="22"/>
          <w:szCs w:val="22"/>
        </w:rPr>
        <w:t>Subdirector</w:t>
      </w:r>
      <w:proofErr w:type="gramEnd"/>
      <w:r w:rsidRPr="00924FA1">
        <w:rPr>
          <w:rFonts w:ascii="Verdana" w:hAnsi="Verdana"/>
          <w:sz w:val="22"/>
          <w:szCs w:val="22"/>
        </w:rPr>
        <w:t xml:space="preserve"> de Adopciones.</w:t>
      </w:r>
    </w:p>
    <w:p w14:paraId="1957D1CF" w14:textId="77777777" w:rsidR="00924FA1" w:rsidRPr="00924FA1" w:rsidRDefault="00924FA1" w:rsidP="00924FA1">
      <w:pPr>
        <w:ind w:left="708"/>
        <w:rPr>
          <w:rFonts w:ascii="Verdana" w:hAnsi="Verdana"/>
          <w:sz w:val="22"/>
          <w:szCs w:val="22"/>
        </w:rPr>
      </w:pPr>
      <w:r w:rsidRPr="00924FA1">
        <w:rPr>
          <w:rFonts w:ascii="Verdana" w:hAnsi="Verdana"/>
          <w:sz w:val="22"/>
          <w:szCs w:val="22"/>
        </w:rPr>
        <w:t>El Coordinador de Autoridades Administrativas.</w:t>
      </w:r>
    </w:p>
    <w:p w14:paraId="5918BAF4" w14:textId="77777777" w:rsidR="00924FA1" w:rsidRPr="00924FA1" w:rsidRDefault="00924FA1" w:rsidP="00924FA1">
      <w:pPr>
        <w:ind w:left="708"/>
        <w:rPr>
          <w:rFonts w:ascii="Verdana" w:hAnsi="Verdana"/>
          <w:sz w:val="22"/>
          <w:szCs w:val="22"/>
        </w:rPr>
      </w:pPr>
      <w:r w:rsidRPr="00924FA1">
        <w:rPr>
          <w:rFonts w:ascii="Verdana" w:hAnsi="Verdana"/>
          <w:sz w:val="22"/>
          <w:szCs w:val="22"/>
        </w:rPr>
        <w:t xml:space="preserve">El </w:t>
      </w:r>
      <w:proofErr w:type="gramStart"/>
      <w:r w:rsidRPr="00924FA1">
        <w:rPr>
          <w:rFonts w:ascii="Verdana" w:hAnsi="Verdana"/>
          <w:sz w:val="22"/>
          <w:szCs w:val="22"/>
        </w:rPr>
        <w:t>Jefe</w:t>
      </w:r>
      <w:proofErr w:type="gramEnd"/>
      <w:r w:rsidRPr="00924FA1">
        <w:rPr>
          <w:rFonts w:ascii="Verdana" w:hAnsi="Verdana"/>
          <w:sz w:val="22"/>
          <w:szCs w:val="22"/>
        </w:rPr>
        <w:t xml:space="preserve"> de la Oficina Asesora Jurídica o su delegado.</w:t>
      </w:r>
    </w:p>
    <w:p w14:paraId="24C90ACB" w14:textId="77777777" w:rsidR="00924FA1" w:rsidRPr="00924FA1" w:rsidRDefault="00924FA1" w:rsidP="00924FA1">
      <w:pPr>
        <w:ind w:left="708"/>
        <w:rPr>
          <w:rFonts w:ascii="Verdana" w:hAnsi="Verdana"/>
          <w:sz w:val="22"/>
          <w:szCs w:val="22"/>
        </w:rPr>
      </w:pPr>
      <w:r w:rsidRPr="00924FA1">
        <w:rPr>
          <w:rFonts w:ascii="Verdana" w:hAnsi="Verdana"/>
          <w:sz w:val="22"/>
          <w:szCs w:val="22"/>
        </w:rPr>
        <w:t>Un Abogado delegado por la Subdirección de Restablecimiento de Derechos o en su defecto por la Dirección de Protección.</w:t>
      </w:r>
    </w:p>
    <w:p w14:paraId="4FAFD3A7" w14:textId="77777777" w:rsidR="00924FA1" w:rsidRPr="00924FA1" w:rsidRDefault="00924FA1" w:rsidP="00924FA1">
      <w:pPr>
        <w:ind w:left="708"/>
        <w:rPr>
          <w:rFonts w:ascii="Verdana" w:hAnsi="Verdana"/>
          <w:sz w:val="22"/>
          <w:szCs w:val="22"/>
        </w:rPr>
      </w:pPr>
      <w:r w:rsidRPr="00924FA1">
        <w:rPr>
          <w:rFonts w:ascii="Verdana" w:hAnsi="Verdana"/>
          <w:b/>
          <w:bCs/>
          <w:i/>
          <w:iCs/>
          <w:sz w:val="22"/>
          <w:szCs w:val="22"/>
        </w:rPr>
        <w:t>Nivel Regional:</w:t>
      </w:r>
    </w:p>
    <w:p w14:paraId="27579991" w14:textId="77777777" w:rsidR="00924FA1" w:rsidRPr="00924FA1" w:rsidRDefault="00924FA1" w:rsidP="00924FA1">
      <w:pPr>
        <w:ind w:left="708"/>
        <w:rPr>
          <w:rFonts w:ascii="Verdana" w:hAnsi="Verdana"/>
          <w:sz w:val="22"/>
          <w:szCs w:val="22"/>
        </w:rPr>
      </w:pPr>
      <w:r w:rsidRPr="00924FA1">
        <w:rPr>
          <w:rFonts w:ascii="Verdana" w:hAnsi="Verdana"/>
          <w:i/>
          <w:iCs/>
          <w:sz w:val="22"/>
          <w:szCs w:val="22"/>
        </w:rPr>
        <w:t xml:space="preserve">El </w:t>
      </w:r>
      <w:proofErr w:type="gramStart"/>
      <w:r w:rsidRPr="00924FA1">
        <w:rPr>
          <w:rFonts w:ascii="Verdana" w:hAnsi="Verdana"/>
          <w:i/>
          <w:iCs/>
          <w:sz w:val="22"/>
          <w:szCs w:val="22"/>
        </w:rPr>
        <w:t>Director Regional</w:t>
      </w:r>
      <w:proofErr w:type="gramEnd"/>
      <w:r w:rsidRPr="00924FA1">
        <w:rPr>
          <w:rFonts w:ascii="Verdana" w:hAnsi="Verdana"/>
          <w:i/>
          <w:iCs/>
          <w:sz w:val="22"/>
          <w:szCs w:val="22"/>
        </w:rPr>
        <w:t xml:space="preserve"> o su delegado, quien lo presidirá.</w:t>
      </w:r>
    </w:p>
    <w:p w14:paraId="66AB18BB" w14:textId="77777777" w:rsidR="00924FA1" w:rsidRPr="00924FA1" w:rsidRDefault="00924FA1" w:rsidP="00924FA1">
      <w:pPr>
        <w:ind w:left="708"/>
        <w:rPr>
          <w:rFonts w:ascii="Verdana" w:hAnsi="Verdana"/>
          <w:sz w:val="22"/>
          <w:szCs w:val="22"/>
        </w:rPr>
      </w:pPr>
      <w:r w:rsidRPr="00924FA1">
        <w:rPr>
          <w:rFonts w:ascii="Verdana" w:hAnsi="Verdana"/>
          <w:i/>
          <w:iCs/>
          <w:sz w:val="22"/>
          <w:szCs w:val="22"/>
        </w:rPr>
        <w:t>El Coordinador del Grupo Jurídico.</w:t>
      </w:r>
    </w:p>
    <w:p w14:paraId="4CE09B98" w14:textId="77777777" w:rsidR="00924FA1" w:rsidRPr="00924FA1" w:rsidRDefault="00924FA1" w:rsidP="00924FA1">
      <w:pPr>
        <w:ind w:left="708"/>
        <w:rPr>
          <w:rFonts w:ascii="Verdana" w:hAnsi="Verdana"/>
          <w:sz w:val="22"/>
          <w:szCs w:val="22"/>
        </w:rPr>
      </w:pPr>
      <w:r w:rsidRPr="00924FA1">
        <w:rPr>
          <w:rFonts w:ascii="Verdana" w:hAnsi="Verdana"/>
          <w:i/>
          <w:iCs/>
          <w:sz w:val="22"/>
          <w:szCs w:val="22"/>
        </w:rPr>
        <w:t>El Coordinador del Grupo Asistencia Técnica o Protección.</w:t>
      </w:r>
    </w:p>
    <w:p w14:paraId="5FBDF201" w14:textId="77777777" w:rsidR="00924FA1" w:rsidRPr="00924FA1" w:rsidRDefault="00924FA1" w:rsidP="00924FA1">
      <w:pPr>
        <w:ind w:left="708"/>
        <w:rPr>
          <w:rFonts w:ascii="Verdana" w:hAnsi="Verdana"/>
          <w:sz w:val="22"/>
          <w:szCs w:val="22"/>
        </w:rPr>
      </w:pPr>
      <w:r w:rsidRPr="00924FA1">
        <w:rPr>
          <w:rFonts w:ascii="Verdana" w:hAnsi="Verdana"/>
          <w:i/>
          <w:iCs/>
          <w:sz w:val="22"/>
          <w:szCs w:val="22"/>
        </w:rPr>
        <w:lastRenderedPageBreak/>
        <w:t>La Autoridad Administrativa competente a cargo de los Procesos Administrativos de Restablecimiento de Derechos objeto de estudio.</w:t>
      </w:r>
    </w:p>
    <w:p w14:paraId="14F9FDC3" w14:textId="77777777" w:rsidR="00924FA1" w:rsidRPr="00924FA1" w:rsidRDefault="00924FA1" w:rsidP="00924FA1">
      <w:pPr>
        <w:ind w:left="708"/>
        <w:rPr>
          <w:rFonts w:ascii="Verdana" w:hAnsi="Verdana"/>
          <w:sz w:val="22"/>
          <w:szCs w:val="22"/>
        </w:rPr>
      </w:pPr>
      <w:r w:rsidRPr="00924FA1">
        <w:rPr>
          <w:rFonts w:ascii="Verdana" w:hAnsi="Verdana"/>
          <w:i/>
          <w:iCs/>
          <w:sz w:val="22"/>
          <w:szCs w:val="22"/>
        </w:rPr>
        <w:t xml:space="preserve">El Coordinador del Centro Zonal de las Autoridades Administrativas competentes en los </w:t>
      </w:r>
      <w:proofErr w:type="gramStart"/>
      <w:r w:rsidRPr="00924FA1">
        <w:rPr>
          <w:rFonts w:ascii="Verdana" w:hAnsi="Verdana"/>
          <w:i/>
          <w:iCs/>
          <w:sz w:val="22"/>
          <w:szCs w:val="22"/>
        </w:rPr>
        <w:t>procesos objetos</w:t>
      </w:r>
      <w:proofErr w:type="gramEnd"/>
      <w:r w:rsidRPr="00924FA1">
        <w:rPr>
          <w:rFonts w:ascii="Verdana" w:hAnsi="Verdana"/>
          <w:i/>
          <w:iCs/>
          <w:sz w:val="22"/>
          <w:szCs w:val="22"/>
        </w:rPr>
        <w:t xml:space="preserve"> de estudio.</w:t>
      </w:r>
    </w:p>
    <w:p w14:paraId="5588DCCF" w14:textId="77777777" w:rsidR="00924FA1" w:rsidRPr="00924FA1" w:rsidRDefault="00924FA1" w:rsidP="00924FA1">
      <w:pPr>
        <w:ind w:left="708"/>
        <w:rPr>
          <w:rFonts w:ascii="Verdana" w:hAnsi="Verdana"/>
          <w:sz w:val="22"/>
          <w:szCs w:val="22"/>
        </w:rPr>
      </w:pPr>
      <w:r w:rsidRPr="00924FA1">
        <w:rPr>
          <w:rFonts w:ascii="Verdana" w:hAnsi="Verdana"/>
          <w:b/>
          <w:bCs/>
          <w:i/>
          <w:iCs/>
          <w:sz w:val="22"/>
          <w:szCs w:val="22"/>
        </w:rPr>
        <w:t>Nivel Zonal:</w:t>
      </w:r>
    </w:p>
    <w:p w14:paraId="7E8BC929" w14:textId="77777777" w:rsidR="00924FA1" w:rsidRPr="00924FA1" w:rsidRDefault="00924FA1" w:rsidP="00924FA1">
      <w:pPr>
        <w:ind w:left="708"/>
        <w:rPr>
          <w:rFonts w:ascii="Verdana" w:hAnsi="Verdana"/>
          <w:sz w:val="22"/>
          <w:szCs w:val="22"/>
        </w:rPr>
      </w:pPr>
      <w:r w:rsidRPr="00924FA1">
        <w:rPr>
          <w:rFonts w:ascii="Verdana" w:hAnsi="Verdana"/>
          <w:i/>
          <w:iCs/>
          <w:sz w:val="22"/>
          <w:szCs w:val="22"/>
        </w:rPr>
        <w:t>El Coordinador del Centro Zonal, quien lo presidirá.</w:t>
      </w:r>
    </w:p>
    <w:p w14:paraId="53B13389" w14:textId="77777777" w:rsidR="00924FA1" w:rsidRPr="00924FA1" w:rsidRDefault="00924FA1" w:rsidP="00924FA1">
      <w:pPr>
        <w:ind w:left="708"/>
        <w:rPr>
          <w:rFonts w:ascii="Verdana" w:hAnsi="Verdana"/>
          <w:sz w:val="22"/>
          <w:szCs w:val="22"/>
        </w:rPr>
      </w:pPr>
      <w:r w:rsidRPr="00924FA1">
        <w:rPr>
          <w:rFonts w:ascii="Verdana" w:hAnsi="Verdana"/>
          <w:i/>
          <w:iCs/>
          <w:sz w:val="22"/>
          <w:szCs w:val="22"/>
        </w:rPr>
        <w:t>La Autoridad Administrativa y su Equipo interdisciplinario.</w:t>
      </w:r>
    </w:p>
    <w:p w14:paraId="50130288" w14:textId="3EBDE4B8" w:rsidR="00924FA1" w:rsidRPr="00924FA1" w:rsidRDefault="00924FA1" w:rsidP="00924FA1">
      <w:pPr>
        <w:ind w:left="708"/>
        <w:rPr>
          <w:rFonts w:ascii="Verdana" w:hAnsi="Verdana"/>
          <w:sz w:val="22"/>
          <w:szCs w:val="22"/>
        </w:rPr>
      </w:pPr>
      <w:r w:rsidRPr="00924FA1">
        <w:rPr>
          <w:rFonts w:ascii="Verdana" w:hAnsi="Verdana"/>
          <w:b/>
          <w:bCs/>
          <w:sz w:val="22"/>
          <w:szCs w:val="22"/>
        </w:rPr>
        <w:t xml:space="preserve">PARÁGRAFO </w:t>
      </w:r>
      <w:r>
        <w:rPr>
          <w:rFonts w:ascii="Verdana" w:hAnsi="Verdana"/>
          <w:b/>
          <w:bCs/>
          <w:sz w:val="22"/>
          <w:szCs w:val="22"/>
        </w:rPr>
        <w:t>PRIMERO</w:t>
      </w:r>
      <w:r w:rsidRPr="00924FA1">
        <w:rPr>
          <w:rFonts w:ascii="Verdana" w:hAnsi="Verdana"/>
          <w:b/>
          <w:bCs/>
          <w:sz w:val="22"/>
          <w:szCs w:val="22"/>
        </w:rPr>
        <w:t>.</w:t>
      </w:r>
      <w:r w:rsidRPr="00924FA1">
        <w:rPr>
          <w:rFonts w:ascii="Verdana" w:hAnsi="Verdana"/>
          <w:sz w:val="22"/>
          <w:szCs w:val="22"/>
        </w:rPr>
        <w:t> La Sede de la Dirección General podrá convocar y participar en los Comités Técnicos Consultivos para el Restablecimiento de Derechos del Nivel Regional y Zonal.</w:t>
      </w:r>
    </w:p>
    <w:p w14:paraId="4DF77987" w14:textId="052324AC" w:rsidR="00924FA1" w:rsidRPr="00924FA1" w:rsidRDefault="00924FA1" w:rsidP="00924FA1">
      <w:pPr>
        <w:ind w:left="708"/>
        <w:rPr>
          <w:rFonts w:ascii="Verdana" w:hAnsi="Verdana"/>
          <w:sz w:val="22"/>
          <w:szCs w:val="22"/>
        </w:rPr>
      </w:pPr>
      <w:r w:rsidRPr="00924FA1">
        <w:rPr>
          <w:rFonts w:ascii="Verdana" w:hAnsi="Verdana"/>
          <w:b/>
          <w:bCs/>
          <w:sz w:val="22"/>
          <w:szCs w:val="22"/>
        </w:rPr>
        <w:t xml:space="preserve">PARÁGRAFO </w:t>
      </w:r>
      <w:r>
        <w:rPr>
          <w:rFonts w:ascii="Verdana" w:hAnsi="Verdana"/>
          <w:b/>
          <w:bCs/>
          <w:sz w:val="22"/>
          <w:szCs w:val="22"/>
        </w:rPr>
        <w:t>SEGUNDO</w:t>
      </w:r>
      <w:r w:rsidRPr="00924FA1">
        <w:rPr>
          <w:rFonts w:ascii="Verdana" w:hAnsi="Verdana"/>
          <w:b/>
          <w:bCs/>
          <w:sz w:val="22"/>
          <w:szCs w:val="22"/>
        </w:rPr>
        <w:t>.</w:t>
      </w:r>
      <w:r w:rsidRPr="00924FA1">
        <w:rPr>
          <w:rFonts w:ascii="Verdana" w:hAnsi="Verdana"/>
          <w:sz w:val="22"/>
          <w:szCs w:val="22"/>
        </w:rPr>
        <w:t> Al Comité Técnico Consultivo para el Restablecimiento de Derechos de los diferentes niveles se podrá invitar a servidores públicos de otras dependencias del ICBF cuya presencia se considere necesaria”.</w:t>
      </w:r>
    </w:p>
    <w:p w14:paraId="29FE0CCE" w14:textId="5ADEE628" w:rsidR="00924FA1" w:rsidRPr="00924FA1" w:rsidRDefault="00924FA1" w:rsidP="00924FA1">
      <w:pPr>
        <w:rPr>
          <w:rFonts w:ascii="Verdana" w:hAnsi="Verdana"/>
          <w:sz w:val="22"/>
          <w:szCs w:val="22"/>
        </w:rPr>
      </w:pPr>
      <w:bookmarkStart w:id="1" w:name="2"/>
      <w:r w:rsidRPr="00924FA1">
        <w:rPr>
          <w:rFonts w:ascii="Verdana" w:hAnsi="Verdana"/>
          <w:b/>
          <w:bCs/>
          <w:sz w:val="22"/>
          <w:szCs w:val="22"/>
        </w:rPr>
        <w:t>ARTÍCULO 2o.</w:t>
      </w:r>
      <w:bookmarkEnd w:id="1"/>
      <w:r w:rsidRPr="00924FA1">
        <w:rPr>
          <w:rFonts w:ascii="Verdana" w:hAnsi="Verdana"/>
          <w:sz w:val="22"/>
          <w:szCs w:val="22"/>
        </w:rPr>
        <w:t> Modificar el numeral 2 del artículo 3o de la Resolución 9198 de 2015, el cual quedará así:</w:t>
      </w:r>
    </w:p>
    <w:p w14:paraId="123E0FBC" w14:textId="77777777" w:rsidR="00924FA1" w:rsidRPr="00924FA1" w:rsidRDefault="00924FA1" w:rsidP="00924FA1">
      <w:pPr>
        <w:ind w:left="360"/>
        <w:rPr>
          <w:rFonts w:ascii="Verdana" w:hAnsi="Verdana"/>
          <w:sz w:val="22"/>
          <w:szCs w:val="22"/>
        </w:rPr>
      </w:pPr>
      <w:r w:rsidRPr="00924FA1">
        <w:rPr>
          <w:rFonts w:ascii="Verdana" w:hAnsi="Verdana"/>
          <w:sz w:val="22"/>
          <w:szCs w:val="22"/>
        </w:rPr>
        <w:t>“Artículo 3</w:t>
      </w:r>
      <w:r w:rsidRPr="00924FA1">
        <w:rPr>
          <w:rFonts w:ascii="Verdana" w:hAnsi="Verdana"/>
          <w:b/>
          <w:bCs/>
          <w:sz w:val="22"/>
          <w:szCs w:val="22"/>
        </w:rPr>
        <w:t>o</w:t>
      </w:r>
      <w:r w:rsidRPr="00924FA1">
        <w:rPr>
          <w:rFonts w:ascii="Verdana" w:hAnsi="Verdana"/>
          <w:sz w:val="22"/>
          <w:szCs w:val="22"/>
        </w:rPr>
        <w:t>. </w:t>
      </w:r>
      <w:r w:rsidRPr="00924FA1">
        <w:rPr>
          <w:rFonts w:ascii="Verdana" w:hAnsi="Verdana"/>
          <w:i/>
          <w:iCs/>
          <w:sz w:val="22"/>
          <w:szCs w:val="22"/>
        </w:rPr>
        <w:t>Funciones del comité técnico consultivo para el restablecimiento de derechos</w:t>
      </w:r>
      <w:r w:rsidRPr="00924FA1">
        <w:rPr>
          <w:rFonts w:ascii="Verdana" w:hAnsi="Verdana"/>
          <w:sz w:val="22"/>
          <w:szCs w:val="22"/>
        </w:rPr>
        <w:t>. Son funciones del Comité las siguientes:</w:t>
      </w:r>
    </w:p>
    <w:p w14:paraId="71EE4B0D" w14:textId="098FBE99" w:rsidR="00924FA1" w:rsidRPr="00924FA1" w:rsidRDefault="00924FA1" w:rsidP="00924FA1">
      <w:pPr>
        <w:pStyle w:val="Prrafodelista"/>
        <w:numPr>
          <w:ilvl w:val="0"/>
          <w:numId w:val="2"/>
        </w:numPr>
        <w:ind w:left="1224"/>
        <w:rPr>
          <w:rFonts w:ascii="Verdana" w:hAnsi="Verdana"/>
          <w:sz w:val="22"/>
          <w:szCs w:val="22"/>
        </w:rPr>
      </w:pPr>
      <w:r w:rsidRPr="00924FA1">
        <w:rPr>
          <w:rFonts w:ascii="Verdana" w:hAnsi="Verdana"/>
          <w:sz w:val="22"/>
          <w:szCs w:val="22"/>
        </w:rPr>
        <w:t>Ejercer la función técnico consultivo frente a los procesos de restablecimiento de derechos en los que sea solicitada su intervención ya sea por el Director General, el Director de Protección, por alguno de los integrantes del Comité, por la Autoridad Administrativa o por cualquier funcionario, siempre y cuando por su complejidad sea necesaria la intervención, realizando análisis e impartiendo recomendaciones, planes de acciones con el fin de cumplir con el mandato de protección integral a los niños, niñas y adolescentes.</w:t>
      </w:r>
    </w:p>
    <w:p w14:paraId="5DC234EC" w14:textId="3A0D7108" w:rsidR="00924FA1" w:rsidRPr="00924FA1" w:rsidRDefault="00924FA1" w:rsidP="00924FA1">
      <w:pPr>
        <w:pStyle w:val="Prrafodelista"/>
        <w:numPr>
          <w:ilvl w:val="0"/>
          <w:numId w:val="2"/>
        </w:numPr>
        <w:ind w:left="1224"/>
        <w:rPr>
          <w:rFonts w:ascii="Verdana" w:hAnsi="Verdana"/>
          <w:sz w:val="22"/>
          <w:szCs w:val="22"/>
        </w:rPr>
      </w:pPr>
      <w:r w:rsidRPr="00924FA1">
        <w:rPr>
          <w:rFonts w:ascii="Verdana" w:hAnsi="Verdana"/>
          <w:sz w:val="22"/>
          <w:szCs w:val="22"/>
        </w:rPr>
        <w:t>Coordinar y gestionar las decisiones, recomendaciones y líneas técnicas adopta</w:t>
      </w:r>
      <w:r w:rsidRPr="00924FA1">
        <w:rPr>
          <w:rFonts w:ascii="Verdana" w:hAnsi="Verdana"/>
          <w:i/>
          <w:iCs/>
          <w:sz w:val="22"/>
          <w:szCs w:val="22"/>
        </w:rPr>
        <w:t>das y aprobadas por el Comité Técnico Consultivo, en procura de garantizar el cumplimiento del debido proceso dentro de los trámites de Restablecimiento de Derechos que desarrollen las Autoridades Administrativas competentes, conforme con lo establecido en el artículo 96 de la Ley 1098 </w:t>
      </w:r>
      <w:r w:rsidRPr="00924FA1">
        <w:rPr>
          <w:rFonts w:ascii="Verdana" w:hAnsi="Verdana"/>
          <w:sz w:val="22"/>
          <w:szCs w:val="22"/>
        </w:rPr>
        <w:t>de 2006.</w:t>
      </w:r>
    </w:p>
    <w:p w14:paraId="7E751DAB" w14:textId="15B19170" w:rsidR="00924FA1" w:rsidRPr="00924FA1" w:rsidRDefault="00924FA1" w:rsidP="00924FA1">
      <w:pPr>
        <w:pStyle w:val="Prrafodelista"/>
        <w:numPr>
          <w:ilvl w:val="0"/>
          <w:numId w:val="2"/>
        </w:numPr>
        <w:ind w:left="1224"/>
        <w:rPr>
          <w:rFonts w:ascii="Verdana" w:hAnsi="Verdana"/>
          <w:sz w:val="22"/>
          <w:szCs w:val="22"/>
        </w:rPr>
      </w:pPr>
      <w:r w:rsidRPr="00924FA1">
        <w:rPr>
          <w:rFonts w:ascii="Verdana" w:hAnsi="Verdana"/>
          <w:sz w:val="22"/>
          <w:szCs w:val="22"/>
        </w:rPr>
        <w:t>Adoptar las medidas y decisiones necesarias para propender por la adecuada ejecución y cumplimiento de los preceptos consagrados en la Ley 1098 de 2006 –Código de la Infancia y la Adolescencia– y en los Lineamientos Técnicos expedidos por el ICBF.</w:t>
      </w:r>
    </w:p>
    <w:p w14:paraId="6E002473" w14:textId="0B217632" w:rsidR="00924FA1" w:rsidRPr="00924FA1" w:rsidRDefault="00924FA1" w:rsidP="00924FA1">
      <w:pPr>
        <w:pStyle w:val="Prrafodelista"/>
        <w:numPr>
          <w:ilvl w:val="0"/>
          <w:numId w:val="2"/>
        </w:numPr>
        <w:ind w:left="1224"/>
        <w:rPr>
          <w:rFonts w:ascii="Verdana" w:hAnsi="Verdana"/>
          <w:sz w:val="22"/>
          <w:szCs w:val="22"/>
        </w:rPr>
      </w:pPr>
      <w:r w:rsidRPr="00924FA1">
        <w:rPr>
          <w:rFonts w:ascii="Verdana" w:hAnsi="Verdana"/>
          <w:sz w:val="22"/>
          <w:szCs w:val="22"/>
        </w:rPr>
        <w:t>Las demás que de acuerdo con la naturaleza del asunto le sean asignadas”.</w:t>
      </w:r>
    </w:p>
    <w:p w14:paraId="468922F7" w14:textId="4729E758" w:rsidR="00924FA1" w:rsidRPr="00924FA1" w:rsidRDefault="00924FA1" w:rsidP="00924FA1">
      <w:pPr>
        <w:rPr>
          <w:rFonts w:ascii="Verdana" w:hAnsi="Verdana"/>
          <w:sz w:val="22"/>
          <w:szCs w:val="22"/>
        </w:rPr>
      </w:pPr>
      <w:bookmarkStart w:id="2" w:name="3"/>
      <w:r w:rsidRPr="00924FA1">
        <w:rPr>
          <w:rFonts w:ascii="Verdana" w:hAnsi="Verdana"/>
          <w:b/>
          <w:bCs/>
          <w:sz w:val="22"/>
          <w:szCs w:val="22"/>
        </w:rPr>
        <w:t>ARTÍCULO 3o. VIGENCIA Y DEROGACIONES.</w:t>
      </w:r>
      <w:bookmarkEnd w:id="2"/>
      <w:r w:rsidRPr="00924FA1">
        <w:rPr>
          <w:rFonts w:ascii="Verdana" w:hAnsi="Verdana"/>
          <w:sz w:val="22"/>
          <w:szCs w:val="22"/>
        </w:rPr>
        <w:t xml:space="preserve"> La presente resolución rige a partir de la fecha de su expedición y modifica en lo pertinente la </w:t>
      </w:r>
      <w:r w:rsidRPr="00924FA1">
        <w:rPr>
          <w:rFonts w:ascii="Verdana" w:hAnsi="Verdana"/>
          <w:sz w:val="22"/>
          <w:szCs w:val="22"/>
        </w:rPr>
        <w:lastRenderedPageBreak/>
        <w:t>Resolución 9198 de 6 de noviembre de 2015 y deroga las disposiciones que le sean contrarias.</w:t>
      </w:r>
    </w:p>
    <w:p w14:paraId="160F38B2" w14:textId="109E6871" w:rsidR="00924FA1" w:rsidRPr="00924FA1" w:rsidRDefault="00924FA1" w:rsidP="00924FA1">
      <w:pPr>
        <w:jc w:val="center"/>
        <w:rPr>
          <w:rFonts w:ascii="Verdana" w:hAnsi="Verdana"/>
          <w:b/>
          <w:bCs/>
          <w:sz w:val="22"/>
          <w:szCs w:val="22"/>
        </w:rPr>
      </w:pPr>
      <w:r w:rsidRPr="00924FA1">
        <w:rPr>
          <w:rFonts w:ascii="Verdana" w:hAnsi="Verdana"/>
          <w:b/>
          <w:bCs/>
          <w:sz w:val="22"/>
          <w:szCs w:val="22"/>
        </w:rPr>
        <w:t>PUBLÍQUESE Y CÚMPLASE,</w:t>
      </w:r>
    </w:p>
    <w:p w14:paraId="60FECBC5" w14:textId="44ED897D" w:rsidR="00924FA1" w:rsidRPr="00924FA1" w:rsidRDefault="00924FA1" w:rsidP="00924FA1">
      <w:pPr>
        <w:jc w:val="center"/>
        <w:rPr>
          <w:rFonts w:ascii="Verdana" w:hAnsi="Verdana"/>
          <w:sz w:val="22"/>
          <w:szCs w:val="22"/>
        </w:rPr>
      </w:pPr>
      <w:r w:rsidRPr="00924FA1">
        <w:rPr>
          <w:rFonts w:ascii="Verdana" w:hAnsi="Verdana"/>
          <w:sz w:val="22"/>
          <w:szCs w:val="22"/>
        </w:rPr>
        <w:t xml:space="preserve">Dada en Bogotá, D. C., a </w:t>
      </w:r>
      <w:r>
        <w:rPr>
          <w:rFonts w:ascii="Verdana" w:hAnsi="Verdana"/>
          <w:sz w:val="22"/>
          <w:szCs w:val="22"/>
        </w:rPr>
        <w:t xml:space="preserve">los </w:t>
      </w:r>
      <w:r w:rsidRPr="00924FA1">
        <w:rPr>
          <w:rFonts w:ascii="Verdana" w:hAnsi="Verdana"/>
          <w:sz w:val="22"/>
          <w:szCs w:val="22"/>
        </w:rPr>
        <w:t>24</w:t>
      </w:r>
      <w:r>
        <w:rPr>
          <w:rFonts w:ascii="Verdana" w:hAnsi="Verdana"/>
          <w:sz w:val="22"/>
          <w:szCs w:val="22"/>
        </w:rPr>
        <w:t xml:space="preserve"> días del mes</w:t>
      </w:r>
      <w:r w:rsidRPr="00924FA1">
        <w:rPr>
          <w:rFonts w:ascii="Verdana" w:hAnsi="Verdana"/>
          <w:sz w:val="22"/>
          <w:szCs w:val="22"/>
        </w:rPr>
        <w:t xml:space="preserve"> de agosto de 2017.</w:t>
      </w:r>
    </w:p>
    <w:p w14:paraId="7397364A" w14:textId="77777777" w:rsidR="00924FA1" w:rsidRPr="00924FA1" w:rsidRDefault="00924FA1" w:rsidP="00924FA1">
      <w:pPr>
        <w:jc w:val="center"/>
        <w:rPr>
          <w:rFonts w:ascii="Verdana" w:hAnsi="Verdana"/>
          <w:sz w:val="22"/>
          <w:szCs w:val="22"/>
        </w:rPr>
      </w:pPr>
      <w:r w:rsidRPr="00924FA1">
        <w:rPr>
          <w:rFonts w:ascii="Verdana" w:hAnsi="Verdana"/>
          <w:b/>
          <w:bCs/>
          <w:sz w:val="22"/>
          <w:szCs w:val="22"/>
        </w:rPr>
        <w:t>KAREN ABUDINEN ABUCHAIBE</w:t>
      </w:r>
    </w:p>
    <w:p w14:paraId="29DC2CDE" w14:textId="17F32384" w:rsidR="00924FA1" w:rsidRPr="00924FA1" w:rsidRDefault="00924FA1" w:rsidP="00924FA1">
      <w:pPr>
        <w:jc w:val="center"/>
        <w:rPr>
          <w:rFonts w:ascii="Verdana" w:hAnsi="Verdana"/>
          <w:sz w:val="22"/>
          <w:szCs w:val="22"/>
        </w:rPr>
      </w:pPr>
      <w:r w:rsidRPr="00924FA1">
        <w:rPr>
          <w:rFonts w:ascii="Verdana" w:hAnsi="Verdana"/>
          <w:sz w:val="22"/>
          <w:szCs w:val="22"/>
        </w:rPr>
        <w:t>LA DIRECTORA GENERAL</w:t>
      </w:r>
    </w:p>
    <w:p w14:paraId="2C94E888" w14:textId="77777777" w:rsidR="0088588F" w:rsidRPr="00924FA1" w:rsidRDefault="0088588F" w:rsidP="00924FA1">
      <w:pPr>
        <w:rPr>
          <w:rFonts w:ascii="Verdana" w:hAnsi="Verdana"/>
          <w:sz w:val="22"/>
          <w:szCs w:val="22"/>
        </w:rPr>
      </w:pPr>
    </w:p>
    <w:sectPr w:rsidR="0088588F" w:rsidRPr="00924F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2B9F"/>
    <w:multiLevelType w:val="hybridMultilevel"/>
    <w:tmpl w:val="42C4DFA4"/>
    <w:lvl w:ilvl="0" w:tplc="71FC2E74">
      <w:start w:val="1"/>
      <w:numFmt w:val="decimal"/>
      <w:lvlText w:val="%1."/>
      <w:lvlJc w:val="left"/>
      <w:pPr>
        <w:ind w:left="864" w:hanging="50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6D5DD5"/>
    <w:multiLevelType w:val="hybridMultilevel"/>
    <w:tmpl w:val="0E44C4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3047A4"/>
    <w:multiLevelType w:val="hybridMultilevel"/>
    <w:tmpl w:val="63DC62CE"/>
    <w:lvl w:ilvl="0" w:tplc="71FC2E74">
      <w:start w:val="1"/>
      <w:numFmt w:val="decimal"/>
      <w:lvlText w:val="%1."/>
      <w:lvlJc w:val="left"/>
      <w:pPr>
        <w:ind w:left="864" w:hanging="50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65229981">
    <w:abstractNumId w:val="1"/>
  </w:num>
  <w:num w:numId="2" w16cid:durableId="1819221702">
    <w:abstractNumId w:val="2"/>
  </w:num>
  <w:num w:numId="3" w16cid:durableId="42372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10"/>
    <w:rsid w:val="00015D2A"/>
    <w:rsid w:val="00490B89"/>
    <w:rsid w:val="00550F5C"/>
    <w:rsid w:val="00700E30"/>
    <w:rsid w:val="0088588F"/>
    <w:rsid w:val="00924FA1"/>
    <w:rsid w:val="009739B2"/>
    <w:rsid w:val="00A3712B"/>
    <w:rsid w:val="00A86B10"/>
    <w:rsid w:val="00A93B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6D46"/>
  <w15:chartTrackingRefBased/>
  <w15:docId w15:val="{A8FB667B-5717-4B13-B3D7-7660133C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B2"/>
  </w:style>
  <w:style w:type="paragraph" w:styleId="Ttulo1">
    <w:name w:val="heading 1"/>
    <w:basedOn w:val="Normal"/>
    <w:next w:val="Normal"/>
    <w:link w:val="Ttulo1Car"/>
    <w:uiPriority w:val="9"/>
    <w:qFormat/>
    <w:rsid w:val="00A86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6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6B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6B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86B1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86B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86B1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86B1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86B1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6B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6B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6B1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6B1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86B1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86B1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86B1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86B1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86B1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86B1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6B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6B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6B1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86B10"/>
    <w:pPr>
      <w:spacing w:before="160"/>
      <w:jc w:val="center"/>
    </w:pPr>
    <w:rPr>
      <w:i/>
      <w:iCs/>
      <w:color w:val="404040" w:themeColor="text1" w:themeTint="BF"/>
    </w:rPr>
  </w:style>
  <w:style w:type="character" w:customStyle="1" w:styleId="CitaCar">
    <w:name w:val="Cita Car"/>
    <w:basedOn w:val="Fuentedeprrafopredeter"/>
    <w:link w:val="Cita"/>
    <w:uiPriority w:val="29"/>
    <w:rsid w:val="00A86B10"/>
    <w:rPr>
      <w:i/>
      <w:iCs/>
      <w:color w:val="404040" w:themeColor="text1" w:themeTint="BF"/>
    </w:rPr>
  </w:style>
  <w:style w:type="paragraph" w:styleId="Prrafodelista">
    <w:name w:val="List Paragraph"/>
    <w:basedOn w:val="Normal"/>
    <w:uiPriority w:val="34"/>
    <w:qFormat/>
    <w:rsid w:val="00A86B10"/>
    <w:pPr>
      <w:ind w:left="720"/>
      <w:contextualSpacing/>
    </w:pPr>
  </w:style>
  <w:style w:type="character" w:styleId="nfasisintenso">
    <w:name w:val="Intense Emphasis"/>
    <w:basedOn w:val="Fuentedeprrafopredeter"/>
    <w:uiPriority w:val="21"/>
    <w:qFormat/>
    <w:rsid w:val="00A86B10"/>
    <w:rPr>
      <w:i/>
      <w:iCs/>
      <w:color w:val="0F4761" w:themeColor="accent1" w:themeShade="BF"/>
    </w:rPr>
  </w:style>
  <w:style w:type="paragraph" w:styleId="Citadestacada">
    <w:name w:val="Intense Quote"/>
    <w:basedOn w:val="Normal"/>
    <w:next w:val="Normal"/>
    <w:link w:val="CitadestacadaCar"/>
    <w:uiPriority w:val="30"/>
    <w:qFormat/>
    <w:rsid w:val="00A86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6B10"/>
    <w:rPr>
      <w:i/>
      <w:iCs/>
      <w:color w:val="0F4761" w:themeColor="accent1" w:themeShade="BF"/>
    </w:rPr>
  </w:style>
  <w:style w:type="character" w:styleId="Referenciaintensa">
    <w:name w:val="Intense Reference"/>
    <w:basedOn w:val="Fuentedeprrafopredeter"/>
    <w:uiPriority w:val="32"/>
    <w:qFormat/>
    <w:rsid w:val="00A86B10"/>
    <w:rPr>
      <w:b/>
      <w:bCs/>
      <w:smallCaps/>
      <w:color w:val="0F4761" w:themeColor="accent1" w:themeShade="BF"/>
      <w:spacing w:val="5"/>
    </w:rPr>
  </w:style>
  <w:style w:type="character" w:styleId="Hipervnculo">
    <w:name w:val="Hyperlink"/>
    <w:basedOn w:val="Fuentedeprrafopredeter"/>
    <w:uiPriority w:val="99"/>
    <w:unhideWhenUsed/>
    <w:rsid w:val="00924FA1"/>
    <w:rPr>
      <w:color w:val="467886" w:themeColor="hyperlink"/>
      <w:u w:val="single"/>
    </w:rPr>
  </w:style>
  <w:style w:type="character" w:styleId="Mencinsinresolver">
    <w:name w:val="Unresolved Mention"/>
    <w:basedOn w:val="Fuentedeprrafopredeter"/>
    <w:uiPriority w:val="99"/>
    <w:semiHidden/>
    <w:unhideWhenUsed/>
    <w:rsid w:val="00924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52F7E-137F-4F68-AE65-1CEE93869A50}"/>
</file>

<file path=customXml/itemProps2.xml><?xml version="1.0" encoding="utf-8"?>
<ds:datastoreItem xmlns:ds="http://schemas.openxmlformats.org/officeDocument/2006/customXml" ds:itemID="{12C58B0F-15D7-4E94-B780-6D4AB399F79A}"/>
</file>

<file path=customXml/itemProps3.xml><?xml version="1.0" encoding="utf-8"?>
<ds:datastoreItem xmlns:ds="http://schemas.openxmlformats.org/officeDocument/2006/customXml" ds:itemID="{E698FBF1-98CA-471E-A6CC-18C5D3D0DF5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1185</Words>
  <Characters>5550</Characters>
  <Application>Microsoft Office Word</Application>
  <DocSecurity>0</DocSecurity>
  <Lines>205</Lines>
  <Paragraphs>204</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2026-02-28T13:53:00Z</dcterms:created>
  <dcterms:modified xsi:type="dcterms:W3CDTF">2026-02-28T13:58:00Z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