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2300" w14:textId="318D8B2C" w:rsidR="00794C8B" w:rsidRPr="000E2CD4" w:rsidRDefault="00794C8B" w:rsidP="0026255C">
      <w:pPr>
        <w:jc w:val="center"/>
        <w:rPr>
          <w:rFonts w:ascii="Verdana" w:hAnsi="Verdana"/>
          <w:sz w:val="22"/>
          <w:szCs w:val="22"/>
        </w:rPr>
      </w:pPr>
      <w:r w:rsidRPr="000E2CD4">
        <w:rPr>
          <w:rFonts w:ascii="Verdana" w:hAnsi="Verdana"/>
          <w:b/>
          <w:bCs/>
          <w:sz w:val="22"/>
          <w:szCs w:val="22"/>
        </w:rPr>
        <w:t xml:space="preserve">RESOLUCIÓN </w:t>
      </w:r>
      <w:r w:rsidR="001B3877">
        <w:rPr>
          <w:rFonts w:ascii="Verdana" w:hAnsi="Verdana"/>
          <w:b/>
          <w:bCs/>
          <w:sz w:val="22"/>
          <w:szCs w:val="22"/>
        </w:rPr>
        <w:t xml:space="preserve">680 </w:t>
      </w:r>
      <w:r w:rsidR="006C5841" w:rsidRPr="000E2CD4">
        <w:rPr>
          <w:rFonts w:ascii="Verdana" w:hAnsi="Verdana"/>
          <w:b/>
          <w:bCs/>
          <w:sz w:val="22"/>
          <w:szCs w:val="22"/>
        </w:rPr>
        <w:t>DE 19</w:t>
      </w:r>
      <w:r w:rsidR="001B3877">
        <w:rPr>
          <w:rFonts w:ascii="Verdana" w:hAnsi="Verdana"/>
          <w:b/>
          <w:bCs/>
          <w:sz w:val="22"/>
          <w:szCs w:val="22"/>
        </w:rPr>
        <w:t>91</w:t>
      </w:r>
    </w:p>
    <w:p w14:paraId="5D083C2E" w14:textId="77777777" w:rsidR="00245178" w:rsidRPr="00245178" w:rsidRDefault="00245178" w:rsidP="00245178">
      <w:pPr>
        <w:pStyle w:val="Sinespaciado"/>
        <w:rPr>
          <w:rFonts w:ascii="Verdana" w:hAnsi="Verdana"/>
          <w:sz w:val="20"/>
          <w:szCs w:val="20"/>
        </w:rPr>
      </w:pPr>
      <w:r w:rsidRPr="00245178">
        <w:rPr>
          <w:rFonts w:ascii="Verdana" w:hAnsi="Verdana"/>
          <w:sz w:val="20"/>
          <w:szCs w:val="20"/>
        </w:rPr>
        <w:t>Fecha de Expedición: 15 de abril de 1991</w:t>
      </w:r>
    </w:p>
    <w:p w14:paraId="1FF9A71A" w14:textId="77777777" w:rsidR="00245178" w:rsidRPr="00245178" w:rsidRDefault="00245178" w:rsidP="00245178">
      <w:pPr>
        <w:pStyle w:val="Sinespaciado"/>
        <w:rPr>
          <w:rFonts w:ascii="Verdana" w:hAnsi="Verdana"/>
          <w:sz w:val="20"/>
          <w:szCs w:val="20"/>
        </w:rPr>
      </w:pPr>
      <w:r w:rsidRPr="00245178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245178">
        <w:rPr>
          <w:rFonts w:ascii="Verdana" w:hAnsi="Verdana"/>
          <w:sz w:val="20"/>
          <w:szCs w:val="20"/>
        </w:rPr>
        <w:t>entrada en vigencia</w:t>
      </w:r>
      <w:proofErr w:type="gramEnd"/>
      <w:r w:rsidRPr="00245178">
        <w:rPr>
          <w:rFonts w:ascii="Verdana" w:hAnsi="Verdana"/>
          <w:sz w:val="20"/>
          <w:szCs w:val="20"/>
        </w:rPr>
        <w:t>: 15 de abril de 1991</w:t>
      </w:r>
    </w:p>
    <w:p w14:paraId="7F2D84C0" w14:textId="77777777" w:rsidR="00245178" w:rsidRDefault="00245178" w:rsidP="00245178">
      <w:pPr>
        <w:pStyle w:val="Sinespaciado"/>
        <w:rPr>
          <w:rFonts w:ascii="Verdana" w:hAnsi="Verdana"/>
          <w:sz w:val="20"/>
          <w:szCs w:val="20"/>
        </w:rPr>
      </w:pPr>
      <w:r w:rsidRPr="00245178">
        <w:rPr>
          <w:rFonts w:ascii="Verdana" w:hAnsi="Verdana"/>
          <w:sz w:val="20"/>
          <w:szCs w:val="20"/>
        </w:rPr>
        <w:t>Estado de la vigencia: Vigente</w:t>
      </w:r>
      <w:r w:rsidRPr="00245178">
        <w:rPr>
          <w:rFonts w:ascii="Verdana" w:hAnsi="Verdana"/>
          <w:sz w:val="20"/>
          <w:szCs w:val="20"/>
        </w:rPr>
        <w:tab/>
      </w:r>
    </w:p>
    <w:p w14:paraId="1DCC9764" w14:textId="77777777" w:rsidR="00245178" w:rsidRDefault="00245178" w:rsidP="00245178">
      <w:pPr>
        <w:pStyle w:val="Sinespaciado"/>
        <w:rPr>
          <w:rFonts w:ascii="Verdana" w:hAnsi="Verdana"/>
          <w:sz w:val="20"/>
          <w:szCs w:val="20"/>
        </w:rPr>
      </w:pPr>
    </w:p>
    <w:p w14:paraId="478C439F" w14:textId="104AB9F5" w:rsidR="00245178" w:rsidRPr="00245178" w:rsidRDefault="00245178" w:rsidP="00245178">
      <w:pPr>
        <w:pStyle w:val="Sinespaciado"/>
        <w:rPr>
          <w:rFonts w:ascii="Verdana" w:hAnsi="Verdana"/>
          <w:sz w:val="20"/>
          <w:szCs w:val="20"/>
        </w:rPr>
      </w:pPr>
      <w:r w:rsidRPr="00245178">
        <w:rPr>
          <w:rFonts w:ascii="Verdana" w:hAnsi="Verdana"/>
          <w:sz w:val="20"/>
          <w:szCs w:val="20"/>
        </w:rPr>
        <w:t>Fecha de publicación en Diario Oficial: N/A</w:t>
      </w:r>
    </w:p>
    <w:p w14:paraId="7A658ADC" w14:textId="6B0B06EC" w:rsidR="00794C8B" w:rsidRDefault="00245178" w:rsidP="00245178">
      <w:pPr>
        <w:pStyle w:val="Sinespaciado"/>
        <w:rPr>
          <w:rFonts w:ascii="Verdana" w:hAnsi="Verdana"/>
          <w:sz w:val="20"/>
          <w:szCs w:val="20"/>
        </w:rPr>
      </w:pPr>
      <w:r w:rsidRPr="00245178">
        <w:rPr>
          <w:rFonts w:ascii="Verdana" w:hAnsi="Verdana"/>
          <w:sz w:val="20"/>
          <w:szCs w:val="20"/>
        </w:rPr>
        <w:t>Número del Diario Oficial: N/A</w:t>
      </w:r>
    </w:p>
    <w:p w14:paraId="4F4DAE79" w14:textId="77777777" w:rsidR="00245178" w:rsidRPr="00245178" w:rsidRDefault="00245178" w:rsidP="00245178">
      <w:pPr>
        <w:pStyle w:val="Sinespaciado"/>
        <w:rPr>
          <w:rFonts w:ascii="Verdana" w:hAnsi="Verdana"/>
          <w:sz w:val="20"/>
          <w:szCs w:val="20"/>
        </w:rPr>
      </w:pPr>
    </w:p>
    <w:p w14:paraId="0DFB239C" w14:textId="77777777" w:rsidR="001B3877" w:rsidRPr="001B3877" w:rsidRDefault="001B3877" w:rsidP="001B3877">
      <w:pPr>
        <w:jc w:val="center"/>
        <w:rPr>
          <w:rFonts w:ascii="Verdana" w:hAnsi="Verdana"/>
          <w:b/>
          <w:bCs/>
          <w:sz w:val="22"/>
          <w:szCs w:val="22"/>
        </w:rPr>
      </w:pPr>
      <w:r w:rsidRPr="001B3877">
        <w:rPr>
          <w:rFonts w:ascii="Verdana" w:hAnsi="Verdana"/>
          <w:b/>
          <w:bCs/>
          <w:sz w:val="22"/>
          <w:szCs w:val="22"/>
        </w:rPr>
        <w:t>RESOLUCIÓN 680 DE 1991</w:t>
      </w:r>
    </w:p>
    <w:p w14:paraId="7691D110" w14:textId="77777777" w:rsidR="001B3877" w:rsidRPr="001B3877" w:rsidRDefault="001B3877" w:rsidP="001B3877">
      <w:pPr>
        <w:jc w:val="center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(abril 15)</w:t>
      </w:r>
    </w:p>
    <w:p w14:paraId="530E5842" w14:textId="77777777" w:rsidR="001B3877" w:rsidRPr="001B3877" w:rsidRDefault="001B3877" w:rsidP="001B3877">
      <w:pPr>
        <w:jc w:val="center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Por la cual se establecen procedimientos y se fijan costos para el Programa Hogares Comunitarios de Bienestar modalidad Atención a Mujeres Gestantes, Madres Lactantes y Niños Menores de dos años</w:t>
      </w:r>
    </w:p>
    <w:p w14:paraId="5B79898E" w14:textId="34D0181A" w:rsidR="001B3877" w:rsidRPr="001B3877" w:rsidRDefault="001B3877" w:rsidP="001B3877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1B3877">
        <w:rPr>
          <w:rFonts w:ascii="Verdana" w:hAnsi="Verdana"/>
          <w:b/>
          <w:bCs/>
          <w:sz w:val="22"/>
          <w:szCs w:val="22"/>
        </w:rPr>
        <w:t>EL DIRECTOR GENERAL DEL INSTITUTO COLOMBIANO DE BIENESTAR FAMILIAR</w:t>
      </w:r>
    </w:p>
    <w:p w14:paraId="609EEA3F" w14:textId="2E396B99" w:rsidR="001B3877" w:rsidRPr="001B3877" w:rsidRDefault="001B3877" w:rsidP="001B3877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4B8D4EAC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En uso de sus facultades legales y estatutarias. </w:t>
      </w:r>
    </w:p>
    <w:p w14:paraId="071009E2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0D57DE13" w14:textId="6BE1915D" w:rsidR="001B3877" w:rsidRPr="001B3877" w:rsidRDefault="001B3877" w:rsidP="001B3877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1B3877">
        <w:rPr>
          <w:rFonts w:ascii="Verdana" w:hAnsi="Verdana"/>
          <w:b/>
          <w:bCs/>
          <w:sz w:val="22"/>
          <w:szCs w:val="22"/>
        </w:rPr>
        <w:t>CONSIDERANDO:</w:t>
      </w:r>
    </w:p>
    <w:p w14:paraId="7EEF3080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3924A825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Que mediante acuerdo número 00005 de 1991, de la Junta Directiva del ICBF se adicionó el acuerdo 21 de 1989 con la modalidad Atención a Mujeres Gestantes, Madres Lactantes y Niños Menores de 2 años. </w:t>
      </w:r>
    </w:p>
    <w:p w14:paraId="4E5360D7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6FB70A4B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 xml:space="preserve">Que el artículo 9 del citado acuerdo 00005 de 1991, faculta al </w:t>
      </w:r>
      <w:proofErr w:type="gramStart"/>
      <w:r w:rsidRPr="001B3877">
        <w:rPr>
          <w:rFonts w:ascii="Verdana" w:hAnsi="Verdana"/>
          <w:sz w:val="22"/>
          <w:szCs w:val="22"/>
        </w:rPr>
        <w:t>Director General</w:t>
      </w:r>
      <w:proofErr w:type="gramEnd"/>
      <w:r w:rsidRPr="001B3877">
        <w:rPr>
          <w:rFonts w:ascii="Verdana" w:hAnsi="Verdana"/>
          <w:sz w:val="22"/>
          <w:szCs w:val="22"/>
        </w:rPr>
        <w:t xml:space="preserve"> para que expida una resolución por la cual señale los procedimientos que permitan la operacionalización de esta modalidad, fije el monto de las becas, de la dotación y la destinación que debe darse a las cuotas de participación. </w:t>
      </w:r>
    </w:p>
    <w:p w14:paraId="5C12D88E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5A0A9C6C" w14:textId="4792933F" w:rsidR="001B3877" w:rsidRPr="001B3877" w:rsidRDefault="001B3877" w:rsidP="001B3877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1B3877">
        <w:rPr>
          <w:rFonts w:ascii="Verdana" w:hAnsi="Verdana"/>
          <w:b/>
          <w:bCs/>
          <w:sz w:val="22"/>
          <w:szCs w:val="22"/>
        </w:rPr>
        <w:t>RESUELVE:</w:t>
      </w:r>
    </w:p>
    <w:p w14:paraId="2FC00815" w14:textId="19C17779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bookmarkStart w:id="0" w:name="ver_30143651"/>
      <w:bookmarkEnd w:id="0"/>
    </w:p>
    <w:p w14:paraId="7502EAD6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b/>
          <w:bCs/>
          <w:sz w:val="22"/>
          <w:szCs w:val="22"/>
        </w:rPr>
        <w:t>ARTÍCULO PRIMERO. </w:t>
      </w:r>
      <w:r w:rsidRPr="001B3877">
        <w:rPr>
          <w:rFonts w:ascii="Verdana" w:hAnsi="Verdana"/>
          <w:sz w:val="22"/>
          <w:szCs w:val="22"/>
        </w:rPr>
        <w:t>A través de los Hogares Comunitarios de Bienestar modalidad Atención a Mujeres Gestantes, Madres lactantes y Niños Menores de 2 años, se apoyará a las familias de los menores de 2 años, desde su gestación con el fin de contribuir a su desarrollo como seres humanos y al mejoramiento de su calidad de vida, siendo por lo tanto partícipes y usuarios de la misma las Mujeres Gestantes, las Madres Lactantes, los Padres o personas responsables de los menores y las personas encargadas de su cuidado diario. </w:t>
      </w:r>
    </w:p>
    <w:p w14:paraId="0BF81273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46E87F3F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b/>
          <w:bCs/>
          <w:sz w:val="22"/>
          <w:szCs w:val="22"/>
        </w:rPr>
        <w:t>PARÁGRAFO:</w:t>
      </w:r>
      <w:r w:rsidRPr="001B3877">
        <w:rPr>
          <w:rFonts w:ascii="Verdana" w:hAnsi="Verdana"/>
          <w:sz w:val="22"/>
          <w:szCs w:val="22"/>
        </w:rPr>
        <w:t> Para efecto de complementación nutricional se entiende por Madre Lactante la que tiene un hijo menor de 6 meses. </w:t>
      </w:r>
    </w:p>
    <w:p w14:paraId="606679F0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bookmarkStart w:id="1" w:name="ver_30143652"/>
      <w:bookmarkEnd w:id="1"/>
    </w:p>
    <w:p w14:paraId="5660D529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b/>
          <w:bCs/>
          <w:sz w:val="22"/>
          <w:szCs w:val="22"/>
        </w:rPr>
        <w:t>ARTÍCULO SEGUNDO.</w:t>
      </w:r>
      <w:r w:rsidRPr="001B3877">
        <w:rPr>
          <w:rFonts w:ascii="Verdana" w:hAnsi="Verdana"/>
          <w:sz w:val="22"/>
          <w:szCs w:val="22"/>
        </w:rPr>
        <w:t> La modalidad Hogares Comunitarios de Bienestar a que se refiere la presente resolución, funcionará bajo la responsabilidad de una Madre Comunitaria, en su vivienda o en un local comunitario y se conformará hasta por treinta (30) usuarios entre niños y adultos, con quienes se integrarán dos grupos educativos comunitarios, de quince (15) usuarios cada uno. </w:t>
      </w:r>
    </w:p>
    <w:p w14:paraId="5BDE7217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7FCBC148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Para efecto de la conformación de los grupos educativos comunitarios, los niños menores de 6 meses numéricamente no hacen parte de los 15 usuarios de cada grupo. </w:t>
      </w:r>
    </w:p>
    <w:p w14:paraId="3C4CBC1A" w14:textId="57DCB29A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</w:t>
      </w:r>
      <w:bookmarkStart w:id="2" w:name="ver_30143653"/>
      <w:bookmarkEnd w:id="2"/>
    </w:p>
    <w:p w14:paraId="66D8F853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b/>
          <w:bCs/>
          <w:sz w:val="22"/>
          <w:szCs w:val="22"/>
        </w:rPr>
        <w:t>ARTÍCULO TERCERO.</w:t>
      </w:r>
      <w:r w:rsidRPr="001B3877">
        <w:rPr>
          <w:rFonts w:ascii="Verdana" w:hAnsi="Verdana"/>
          <w:sz w:val="22"/>
          <w:szCs w:val="22"/>
        </w:rPr>
        <w:t> Cada grupo educativo comunitario se reunirá dos (2) veces por semana, con una duración mínima de dos (2) horas por reunión, según días y horarios determinados por el grupo facilitando la asistencia de todos los usuarios. </w:t>
      </w:r>
    </w:p>
    <w:p w14:paraId="2CBB81EA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bookmarkStart w:id="3" w:name="ver_30143654"/>
      <w:bookmarkEnd w:id="3"/>
    </w:p>
    <w:p w14:paraId="3073A7DB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b/>
          <w:bCs/>
          <w:sz w:val="22"/>
          <w:szCs w:val="22"/>
        </w:rPr>
        <w:t>ARTÍCULO CUARTO.</w:t>
      </w:r>
      <w:r w:rsidRPr="001B3877">
        <w:rPr>
          <w:rFonts w:ascii="Verdana" w:hAnsi="Verdana"/>
          <w:sz w:val="22"/>
          <w:szCs w:val="22"/>
        </w:rPr>
        <w:t> Los recursos de los Hogares Comunitarios de Bienestar modalidad Atención a Mujeres Gestantes, Madres Lactantes y Niños Menores de 2 años serán administrados directamente por la comunidad a través de Asociaciones de Padres de Familia. A estas Asociaciones pertenecerán las Mujeres Gestantes, las Madres Lactantes y los padres o personas responsables de los menores, y quienes solidariamente participan como Madres Comunitarias. </w:t>
      </w:r>
    </w:p>
    <w:p w14:paraId="5FFB38B9" w14:textId="77777777" w:rsidR="001B3877" w:rsidRPr="001B3877" w:rsidRDefault="001B3877" w:rsidP="001B3877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  <w:bookmarkStart w:id="4" w:name="ver_30143655"/>
      <w:bookmarkEnd w:id="4"/>
    </w:p>
    <w:p w14:paraId="43BC0BF1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b/>
          <w:bCs/>
          <w:sz w:val="22"/>
          <w:szCs w:val="22"/>
        </w:rPr>
        <w:t>ARTÍCULO QUINTO.</w:t>
      </w:r>
      <w:r w:rsidRPr="001B3877">
        <w:rPr>
          <w:rFonts w:ascii="Verdana" w:hAnsi="Verdana"/>
          <w:sz w:val="22"/>
          <w:szCs w:val="22"/>
        </w:rPr>
        <w:t> Para la puesta en funcionamiento de los Hogares Comunitarios de Bienestar modalidad Atención a Mujeres Gestantes, Madres Lactantes y Niños Menores de 2 años, se observará el siguiente procedimiento: </w:t>
      </w:r>
    </w:p>
    <w:p w14:paraId="2022E442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759B8B4B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 xml:space="preserve">a) El ICBF </w:t>
      </w:r>
      <w:proofErr w:type="gramStart"/>
      <w:r w:rsidRPr="001B3877">
        <w:rPr>
          <w:rFonts w:ascii="Verdana" w:hAnsi="Verdana"/>
          <w:sz w:val="22"/>
          <w:szCs w:val="22"/>
        </w:rPr>
        <w:t>conjuntamente con</w:t>
      </w:r>
      <w:proofErr w:type="gramEnd"/>
      <w:r w:rsidRPr="001B3877">
        <w:rPr>
          <w:rFonts w:ascii="Verdana" w:hAnsi="Verdana"/>
          <w:sz w:val="22"/>
          <w:szCs w:val="22"/>
        </w:rPr>
        <w:t xml:space="preserve"> la comunidad seleccionará áreas de población concentrada en donde operen Hogares Comunitarios de Bienestar y funcionen servicios u organismos de salud, con la finalidad de facilitar el acceso de las Mujeres Gestantes, de las Madres Lactantes y de los Menores de 2 años al programa Materno Infantil y a los demás programas de fortalecimiento de la atención primaria en salud. </w:t>
      </w:r>
    </w:p>
    <w:p w14:paraId="6B3BBBD9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6DA25A8E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b) El ICBF convocará e informará a la comunidad del área seleccionada, acerca de la modalidad. </w:t>
      </w:r>
    </w:p>
    <w:p w14:paraId="0878FAFE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24418A10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c) Los miembros de la comunidad realizarán el auto diagnóstico, con asesoría del ICBF, para determinar el número de Hogares necesarios en el sector. </w:t>
      </w:r>
    </w:p>
    <w:p w14:paraId="015A4C9A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003959AF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lastRenderedPageBreak/>
        <w:t>d) El ICBF y la comunidad analizarán la capacidad operativa de las Asociaciones de Padres de Hogares Comunitarios de Bienestar existentes en el sector, y el número de Hogares Comunitarios que agrupan, con el fin de determinar la viabilidad de que asuman la ejecución y administración de los recursos de los nuevos Hogares, o si es necesario crear nuevas Asociaciones. En ningún caso el giro mensual a una Asociación de Padres podrá superar el equivalente a 50 salarios mínimos legales. </w:t>
      </w:r>
    </w:p>
    <w:p w14:paraId="333248B9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2B1C9E63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e) Los miembros de la Comunidad procederán: </w:t>
      </w:r>
    </w:p>
    <w:p w14:paraId="03F4FA62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683640D7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 xml:space="preserve">- Convocar a Asambleas de delegados de las Asociaciones de Padres existentes que vayan a administrar recursos de la modalidad a reunión extraordinaria, con el fin de vincular los </w:t>
      </w:r>
      <w:proofErr w:type="gramStart"/>
      <w:r w:rsidRPr="001B3877">
        <w:rPr>
          <w:rFonts w:ascii="Verdana" w:hAnsi="Verdana"/>
          <w:sz w:val="22"/>
          <w:szCs w:val="22"/>
        </w:rPr>
        <w:t>nuevos Hogares y los nuevos miembros</w:t>
      </w:r>
      <w:proofErr w:type="gramEnd"/>
      <w:r w:rsidRPr="001B3877">
        <w:rPr>
          <w:rFonts w:ascii="Verdana" w:hAnsi="Verdana"/>
          <w:sz w:val="22"/>
          <w:szCs w:val="22"/>
        </w:rPr>
        <w:t xml:space="preserve"> a la Asociación. </w:t>
      </w:r>
    </w:p>
    <w:p w14:paraId="04625DA3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4CAEEE69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- Para la constitución de nuevas Asociaciones se seguirán los siguientes pasos: </w:t>
      </w:r>
    </w:p>
    <w:p w14:paraId="6DFD14D3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2114C4F6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Conformar las Asambleas de constitución de las Asociaciones de Padres de Familia. </w:t>
      </w:r>
    </w:p>
    <w:p w14:paraId="34D4D0D5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635C4F72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Elegir una Junta Directiva provisional de la Asociación que se encargará: </w:t>
      </w:r>
    </w:p>
    <w:p w14:paraId="6760C0F9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05D7F444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a) Acordar el proyecto de estatutos, que se someterá a aprobación de la Asamblea y designar la Junta Directiva definitiva. </w:t>
      </w:r>
    </w:p>
    <w:p w14:paraId="48C28615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699EA200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b) Tramitar el reconocimiento de la Personería Jurídica ante las Regionales del ICBF. </w:t>
      </w:r>
    </w:p>
    <w:p w14:paraId="05B9DA0E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45EF0ED2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c) Inscribir a las personas que deseen participar en el taller que las capacitará como Madres Comunitarias. </w:t>
      </w:r>
    </w:p>
    <w:p w14:paraId="7F186FEB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678A7E35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d) Las demás actividades necesarias para la organización y puesta en marcha del programa. </w:t>
      </w:r>
    </w:p>
    <w:p w14:paraId="4718B090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193A6114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- Las Juntas Directivas de las Asociaciones de Padres seleccionarán las personas que se desempeñarán como Madres Comunitarias, entre aquellas que estén dispuestas a aportar su trabajo solidario, teniendo en cuenta los criterios establecidos para el efecto, conjuntamente entre el ICBF y la comunidad en la capacitación. </w:t>
      </w:r>
    </w:p>
    <w:p w14:paraId="6FAAEACB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0AFE663C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- Los usuarios que conformarán cada Hogar se inscribirán ante la Madre Comunitaria seleccionada. </w:t>
      </w:r>
    </w:p>
    <w:p w14:paraId="5CA4C245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bookmarkStart w:id="5" w:name="ver_30143656"/>
      <w:bookmarkEnd w:id="5"/>
    </w:p>
    <w:p w14:paraId="37BDACEE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b/>
          <w:bCs/>
          <w:sz w:val="22"/>
          <w:szCs w:val="22"/>
        </w:rPr>
        <w:lastRenderedPageBreak/>
        <w:t>ARTÍCULO SEXTO.</w:t>
      </w:r>
      <w:r w:rsidRPr="001B3877">
        <w:rPr>
          <w:rFonts w:ascii="Verdana" w:hAnsi="Verdana"/>
          <w:sz w:val="22"/>
          <w:szCs w:val="22"/>
        </w:rPr>
        <w:t> En cada Hogar Comunitario de Bienestar modalidad Atención a Mujeres Gestantes, Madres Lactantes y Menores de 2 años, debe conformarse una Junta de Padres de Familia, integrada por la Madre Comunitaria, las Mujeres Gestantes, las Madres Lactantes y los padres o responsables de los menores de 2 años usuarios de la modalidad. </w:t>
      </w:r>
    </w:p>
    <w:p w14:paraId="029FF477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bookmarkStart w:id="6" w:name="ver_30143657"/>
      <w:bookmarkEnd w:id="6"/>
    </w:p>
    <w:p w14:paraId="4D723014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b/>
          <w:bCs/>
          <w:sz w:val="22"/>
          <w:szCs w:val="22"/>
        </w:rPr>
        <w:t>ARTÍCULO SÉPTIMO.</w:t>
      </w:r>
      <w:r w:rsidRPr="001B3877">
        <w:rPr>
          <w:rFonts w:ascii="Verdana" w:hAnsi="Verdana"/>
          <w:sz w:val="22"/>
          <w:szCs w:val="22"/>
        </w:rPr>
        <w:t> Los Hogares funcionarán bajo la responsabilidad de la Madre Comunitaria, que se encargará de animar las reuniones educativas de los grupos educativos comunitarios; canalizar las Mujeres Gestantes, las Madres Lactantes y los Menores de 2 años a organismos de salud; realizar el seguimiento individual y la promoción de crecimiento y desarrollo de los niños; entregar mensualmente el complemento nutricional a las Mujeres Gestantes, Madres Lactantes y a los niños de 6 meses a 2 años; realizar visitas familiares. </w:t>
      </w:r>
    </w:p>
    <w:p w14:paraId="30AB479C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35E6FC12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A las reuniones de los grupos educativos comunitarios deben asistir las Mujeres Gestantes, las Madres Lactantes, los padres o personas responsables del menor y el encargado de su cuidado diario, en caso de que sean personas diferentes a sus padres, acompañados del respectivo menor de 2 años usuario de esta modalidad. </w:t>
      </w:r>
    </w:p>
    <w:p w14:paraId="7961148E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1C5E7982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En las reuniones educativas, a través de metodologías participativas de educación, se propiciará el análisis e identificación de sus propias necesidades en lo referente a las relaciones que se dan al interior de sus familias, patrones de crianza, valores y conceptos ligados a la maternidad, paternidad, derechos del niño, salud, nutrición, saneamiento ambiental y aspectos sociales, como grandes tópicos que tienen que ver con la calidad de vida y que inciden en el desarrollo humano. </w:t>
      </w:r>
    </w:p>
    <w:p w14:paraId="0BE06307" w14:textId="48BCA413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  <w:bookmarkStart w:id="7" w:name="ver_30143658"/>
      <w:bookmarkEnd w:id="7"/>
    </w:p>
    <w:p w14:paraId="3A43BF1D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b/>
          <w:bCs/>
          <w:sz w:val="22"/>
          <w:szCs w:val="22"/>
        </w:rPr>
        <w:t>ARTÍCULO OCTAVO.</w:t>
      </w:r>
      <w:r w:rsidRPr="001B3877">
        <w:rPr>
          <w:rFonts w:ascii="Verdana" w:hAnsi="Verdana"/>
          <w:sz w:val="22"/>
          <w:szCs w:val="22"/>
        </w:rPr>
        <w:t xml:space="preserve"> Con el objeto de fortalecer y promocionar las acciones de salud, la Madre Comunitaria fomentará el auto cuidado, canalizará a las Mujeres Gestantes, Madres Lactantes y a los niños Menores de 2 años a Organismos de Salud para ser inscritos en los programas de atención materna y perinatal y de crecimiento y desarrollo respectivamente. </w:t>
      </w:r>
      <w:proofErr w:type="gramStart"/>
      <w:r w:rsidRPr="001B3877">
        <w:rPr>
          <w:rFonts w:ascii="Verdana" w:hAnsi="Verdana"/>
          <w:sz w:val="22"/>
          <w:szCs w:val="22"/>
        </w:rPr>
        <w:t>Además</w:t>
      </w:r>
      <w:proofErr w:type="gramEnd"/>
      <w:r w:rsidRPr="001B3877">
        <w:rPr>
          <w:rFonts w:ascii="Verdana" w:hAnsi="Verdana"/>
          <w:sz w:val="22"/>
          <w:szCs w:val="22"/>
        </w:rPr>
        <w:t xml:space="preserve"> contribuirá en la promoción de la lactancia materna, realizará el seguimiento individual del crecimiento y desarrollo del niño mediante mediciones bimestrales de peso y talla. En coordinación con los Organismos de Salud desarrollará acciones de promoción de higiene individual y de saneamiento ambiental a nivel familiar y comunitario. </w:t>
      </w:r>
    </w:p>
    <w:p w14:paraId="54077E85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bookmarkStart w:id="8" w:name="ver_30143659"/>
      <w:bookmarkEnd w:id="8"/>
    </w:p>
    <w:p w14:paraId="3E8D9CFE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b/>
          <w:bCs/>
          <w:sz w:val="22"/>
          <w:szCs w:val="22"/>
        </w:rPr>
        <w:t>ARTÍCULO NOVENO.</w:t>
      </w:r>
      <w:r w:rsidRPr="001B3877">
        <w:rPr>
          <w:rFonts w:ascii="Verdana" w:hAnsi="Verdana"/>
          <w:sz w:val="22"/>
          <w:szCs w:val="22"/>
        </w:rPr>
        <w:t> El complemento nutricional será entregado mensualmente en las reuniones de los grupos educativos comunitarios y está constituido por dos tipos de raciones: </w:t>
      </w:r>
    </w:p>
    <w:p w14:paraId="59CC8C98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173A98A2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lastRenderedPageBreak/>
        <w:t xml:space="preserve">- Para mujeres Gestantes, Madres Lactantes y Madre Comunitaria, dos (2) </w:t>
      </w:r>
      <w:proofErr w:type="spellStart"/>
      <w:r w:rsidRPr="001B3877">
        <w:rPr>
          <w:rFonts w:ascii="Verdana" w:hAnsi="Verdana"/>
          <w:sz w:val="22"/>
          <w:szCs w:val="22"/>
        </w:rPr>
        <w:t>Kls</w:t>
      </w:r>
      <w:proofErr w:type="spellEnd"/>
      <w:r w:rsidRPr="001B3877">
        <w:rPr>
          <w:rFonts w:ascii="Verdana" w:hAnsi="Verdana"/>
          <w:sz w:val="22"/>
          <w:szCs w:val="22"/>
        </w:rPr>
        <w:t xml:space="preserve">. de </w:t>
      </w:r>
      <w:proofErr w:type="spellStart"/>
      <w:r w:rsidRPr="001B3877">
        <w:rPr>
          <w:rFonts w:ascii="Verdana" w:hAnsi="Verdana"/>
          <w:sz w:val="22"/>
          <w:szCs w:val="22"/>
        </w:rPr>
        <w:t>bienestarina</w:t>
      </w:r>
      <w:proofErr w:type="spellEnd"/>
      <w:r w:rsidRPr="001B3877">
        <w:rPr>
          <w:rFonts w:ascii="Verdana" w:hAnsi="Verdana"/>
          <w:sz w:val="22"/>
          <w:szCs w:val="22"/>
        </w:rPr>
        <w:t xml:space="preserve">, 1,5 </w:t>
      </w:r>
      <w:proofErr w:type="spellStart"/>
      <w:r w:rsidRPr="001B3877">
        <w:rPr>
          <w:rFonts w:ascii="Verdana" w:hAnsi="Verdana"/>
          <w:sz w:val="22"/>
          <w:szCs w:val="22"/>
        </w:rPr>
        <w:t>Kls</w:t>
      </w:r>
      <w:proofErr w:type="spellEnd"/>
      <w:r w:rsidRPr="001B3877">
        <w:rPr>
          <w:rFonts w:ascii="Verdana" w:hAnsi="Verdana"/>
          <w:sz w:val="22"/>
          <w:szCs w:val="22"/>
        </w:rPr>
        <w:t xml:space="preserve"> de arroz y 1.000 c.c. de aceite. </w:t>
      </w:r>
    </w:p>
    <w:p w14:paraId="3DFE4A88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5F7E086A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 xml:space="preserve">- Para niños de 6 meses a menores de 2 años, una libra de </w:t>
      </w:r>
      <w:proofErr w:type="spellStart"/>
      <w:r w:rsidRPr="001B3877">
        <w:rPr>
          <w:rFonts w:ascii="Verdana" w:hAnsi="Verdana"/>
          <w:sz w:val="22"/>
          <w:szCs w:val="22"/>
        </w:rPr>
        <w:t>bienestarina</w:t>
      </w:r>
      <w:proofErr w:type="spellEnd"/>
      <w:r w:rsidRPr="001B3877">
        <w:rPr>
          <w:rFonts w:ascii="Verdana" w:hAnsi="Verdana"/>
          <w:sz w:val="22"/>
          <w:szCs w:val="22"/>
        </w:rPr>
        <w:t>, una libra de arroz y 500 c.c. de aceite. </w:t>
      </w:r>
    </w:p>
    <w:p w14:paraId="0115AF84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37FB08BC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Este complemento aporta para estos dos grupos de población, aproximadamente el 30% de la recomendación diaria de calorías y proteínas. </w:t>
      </w:r>
    </w:p>
    <w:p w14:paraId="348AED77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50C4B304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 xml:space="preserve">En cada reunión de los grupos educativos comunitarios se brindará a todos los usuarios un refrigerio simple a base de </w:t>
      </w:r>
      <w:proofErr w:type="spellStart"/>
      <w:r w:rsidRPr="001B3877">
        <w:rPr>
          <w:rFonts w:ascii="Verdana" w:hAnsi="Verdana"/>
          <w:sz w:val="22"/>
          <w:szCs w:val="22"/>
        </w:rPr>
        <w:t>bienestarina</w:t>
      </w:r>
      <w:proofErr w:type="spellEnd"/>
      <w:r w:rsidRPr="001B3877">
        <w:rPr>
          <w:rFonts w:ascii="Verdana" w:hAnsi="Verdana"/>
          <w:sz w:val="22"/>
          <w:szCs w:val="22"/>
        </w:rPr>
        <w:t xml:space="preserve"> aportada por el ICBF (15 </w:t>
      </w:r>
      <w:proofErr w:type="spellStart"/>
      <w:r w:rsidRPr="001B3877">
        <w:rPr>
          <w:rFonts w:ascii="Verdana" w:hAnsi="Verdana"/>
          <w:sz w:val="22"/>
          <w:szCs w:val="22"/>
        </w:rPr>
        <w:t>grs</w:t>
      </w:r>
      <w:proofErr w:type="spellEnd"/>
      <w:r w:rsidRPr="001B3877">
        <w:rPr>
          <w:rFonts w:ascii="Verdana" w:hAnsi="Verdana"/>
          <w:sz w:val="22"/>
          <w:szCs w:val="22"/>
        </w:rPr>
        <w:t>. por usuario). Los usuarios deberán aportar los demás alimentos requeridos para su preparación y complementación, dicho aporte no está incluido dentro de la cuota de participación. </w:t>
      </w:r>
    </w:p>
    <w:p w14:paraId="2514708E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bookmarkStart w:id="9" w:name="ver_30143660"/>
      <w:bookmarkEnd w:id="9"/>
    </w:p>
    <w:p w14:paraId="1C2EB1BC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b/>
          <w:bCs/>
          <w:sz w:val="22"/>
          <w:szCs w:val="22"/>
        </w:rPr>
        <w:t>ARTÍCULO DÉCIMO.</w:t>
      </w:r>
      <w:r w:rsidRPr="001B3877">
        <w:rPr>
          <w:rFonts w:ascii="Verdana" w:hAnsi="Verdana"/>
          <w:sz w:val="22"/>
          <w:szCs w:val="22"/>
        </w:rPr>
        <w:t> La Madre Comunitaria deberá realizar visitas familiares de seguimiento, a las familias de las Mujeres Gestantes, Madres Lactantes y de los Menores de 2 años usuarios del programa, con el fin de vigilar y fortalecer la práctica de acciones que favorezcan el auto cuidado y la promoción de salud. Las visitas familiares deberán realizarse mensualmente y se programarán con prioridad a las familias con mayores factores de riesgo y en las que se haya observado inasistencia a las reuniones de los grupos educativos comunitarios. </w:t>
      </w:r>
    </w:p>
    <w:p w14:paraId="46652AF9" w14:textId="77777777" w:rsidR="001B3877" w:rsidRPr="001B3877" w:rsidRDefault="001B3877" w:rsidP="001B3877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  <w:bookmarkStart w:id="10" w:name="ver_30143661"/>
      <w:bookmarkEnd w:id="10"/>
    </w:p>
    <w:p w14:paraId="322E7CB5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b/>
          <w:bCs/>
          <w:sz w:val="22"/>
          <w:szCs w:val="22"/>
        </w:rPr>
        <w:t>ARTÍCULO DÉCIMO PRIMERO.</w:t>
      </w:r>
      <w:r w:rsidRPr="001B3877">
        <w:rPr>
          <w:rFonts w:ascii="Verdana" w:hAnsi="Verdana"/>
          <w:sz w:val="22"/>
          <w:szCs w:val="22"/>
        </w:rPr>
        <w:t> Para la vigencia fiscal de 1991, el valor usuario – mes que debe girarse a cada Asociación de Padres de Hogares de Bienestar, se determinará de acuerdo con los siguientes parámetros que constituyen la beca: </w:t>
      </w:r>
    </w:p>
    <w:p w14:paraId="488CF2BE" w14:textId="77777777" w:rsid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</w:p>
    <w:p w14:paraId="212C469A" w14:textId="5808114F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Ración para Mujeres Gestantes, Madres Lactantes y Madre Comunitaria hasta $1.375 usuario – mes. </w:t>
      </w:r>
    </w:p>
    <w:p w14:paraId="3A9D557E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40E58A8E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Ración para niño de 6 meses a 2 años hasta $625 usuario – mes. </w:t>
      </w:r>
    </w:p>
    <w:p w14:paraId="410143E0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6895BD7E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Material didáctico hasta $100 usuario – mes. </w:t>
      </w:r>
    </w:p>
    <w:p w14:paraId="539371CD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5A8195F2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Aseo y Combustible hasta $50 usuario – mes. </w:t>
      </w:r>
    </w:p>
    <w:p w14:paraId="386241E7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2C86FE5B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Madre Comunitaria hasta $744 usuario – mes. </w:t>
      </w:r>
    </w:p>
    <w:p w14:paraId="51D8AED1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00B765E4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b/>
          <w:bCs/>
          <w:sz w:val="22"/>
          <w:szCs w:val="22"/>
        </w:rPr>
        <w:t>PARÁGRAFO 1:</w:t>
      </w:r>
      <w:r w:rsidRPr="001B3877">
        <w:rPr>
          <w:rFonts w:ascii="Verdana" w:hAnsi="Verdana"/>
          <w:sz w:val="22"/>
          <w:szCs w:val="22"/>
        </w:rPr>
        <w:t> Para efecto de costos, los niños menores de 6 meses, no se contabilizan como usuarios. </w:t>
      </w:r>
    </w:p>
    <w:p w14:paraId="16CC86C4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3F5AC3C1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b/>
          <w:bCs/>
          <w:sz w:val="22"/>
          <w:szCs w:val="22"/>
        </w:rPr>
        <w:lastRenderedPageBreak/>
        <w:t>PARÁGRAFO 2:</w:t>
      </w:r>
      <w:r w:rsidRPr="001B3877">
        <w:rPr>
          <w:rFonts w:ascii="Verdana" w:hAnsi="Verdana"/>
          <w:sz w:val="22"/>
          <w:szCs w:val="22"/>
        </w:rPr>
        <w:t> Por concepto de dotación se girará a cada Asociación hasta $80.000 por cada Hogar que va a iniciar su funcionamiento. </w:t>
      </w:r>
    </w:p>
    <w:p w14:paraId="18148B16" w14:textId="77777777" w:rsidR="001B3877" w:rsidRPr="001B3877" w:rsidRDefault="001B3877" w:rsidP="001B3877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  <w:bookmarkStart w:id="11" w:name="ver_30143662"/>
      <w:bookmarkEnd w:id="11"/>
    </w:p>
    <w:p w14:paraId="67287D31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b/>
          <w:bCs/>
          <w:sz w:val="22"/>
          <w:szCs w:val="22"/>
        </w:rPr>
        <w:t>ARTÍCULO DÉCIMO SEGUNDO.</w:t>
      </w:r>
      <w:r w:rsidRPr="001B3877">
        <w:rPr>
          <w:rFonts w:ascii="Verdana" w:hAnsi="Verdana"/>
          <w:sz w:val="22"/>
          <w:szCs w:val="22"/>
        </w:rPr>
        <w:t xml:space="preserve"> Los </w:t>
      </w:r>
      <w:proofErr w:type="gramStart"/>
      <w:r w:rsidRPr="001B3877">
        <w:rPr>
          <w:rFonts w:ascii="Verdana" w:hAnsi="Verdana"/>
          <w:sz w:val="22"/>
          <w:szCs w:val="22"/>
        </w:rPr>
        <w:t>Directores Regionales</w:t>
      </w:r>
      <w:proofErr w:type="gramEnd"/>
      <w:r w:rsidRPr="001B3877">
        <w:rPr>
          <w:rFonts w:ascii="Verdana" w:hAnsi="Verdana"/>
          <w:sz w:val="22"/>
          <w:szCs w:val="22"/>
        </w:rPr>
        <w:t xml:space="preserve"> del ICBF con base en los costos establecidos mediante la presente resolución, expedirán resoluciones fijando el monto que debe girarse a cada Asociación, liquidando cada uno de los rubros </w:t>
      </w:r>
      <w:proofErr w:type="gramStart"/>
      <w:r w:rsidRPr="001B3877">
        <w:rPr>
          <w:rFonts w:ascii="Verdana" w:hAnsi="Verdana"/>
          <w:sz w:val="22"/>
          <w:szCs w:val="22"/>
        </w:rPr>
        <w:t>de acuerdo a</w:t>
      </w:r>
      <w:proofErr w:type="gramEnd"/>
      <w:r w:rsidRPr="001B3877">
        <w:rPr>
          <w:rFonts w:ascii="Verdana" w:hAnsi="Verdana"/>
          <w:sz w:val="22"/>
          <w:szCs w:val="22"/>
        </w:rPr>
        <w:t xml:space="preserve"> coberturas reales por Hogar, según informe que rindan para el efecto los Centros Zonales. </w:t>
      </w:r>
    </w:p>
    <w:p w14:paraId="1757B578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</w:p>
    <w:p w14:paraId="1AD968F4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bookmarkStart w:id="12" w:name="ver_30143663"/>
      <w:bookmarkEnd w:id="12"/>
    </w:p>
    <w:p w14:paraId="219C2080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b/>
          <w:bCs/>
          <w:sz w:val="22"/>
          <w:szCs w:val="22"/>
        </w:rPr>
        <w:t>ARTÍCULO DÉCIMO TERCERO</w:t>
      </w:r>
      <w:r w:rsidRPr="001B3877">
        <w:rPr>
          <w:rFonts w:ascii="Verdana" w:hAnsi="Verdana"/>
          <w:sz w:val="22"/>
          <w:szCs w:val="22"/>
        </w:rPr>
        <w:t>. Las Mujeres Gestantes, las Madres Lactantes y los Menores de 6 meses a 2 años pagarán una cuota de participación equivalente al 15% de un día de salario mínimo legal, la cual será cancelada en efectivo a la Junta Directiva de la Asociación de Padres a que pertenezca el respectivo Hogar, dentro de los primeros diez (10) días calendario de cada mes. </w:t>
      </w:r>
    </w:p>
    <w:p w14:paraId="397EB8B1" w14:textId="62494434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sz w:val="22"/>
          <w:szCs w:val="22"/>
        </w:rPr>
        <w:t>  </w:t>
      </w:r>
      <w:bookmarkStart w:id="13" w:name="ver_30143664"/>
      <w:bookmarkEnd w:id="13"/>
    </w:p>
    <w:p w14:paraId="4D801F6A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b/>
          <w:bCs/>
          <w:sz w:val="22"/>
          <w:szCs w:val="22"/>
        </w:rPr>
        <w:t>ARTÍCULO DÉCIMO CUARTO.</w:t>
      </w:r>
      <w:r w:rsidRPr="001B3877">
        <w:rPr>
          <w:rFonts w:ascii="Verdana" w:hAnsi="Verdana"/>
          <w:sz w:val="22"/>
          <w:szCs w:val="22"/>
        </w:rPr>
        <w:t xml:space="preserve"> Las Juntas Directivas de las Asociaciones de Padres de Hogares de Bienestar, destinarán el total de lo recaudado por cuotas de participación para cancelar la afiliación y aportes de las madres comunitarias al Instituto de Seguros Sociales o para atender gastos relacionados con la salud de </w:t>
      </w:r>
      <w:proofErr w:type="gramStart"/>
      <w:r w:rsidRPr="001B3877">
        <w:rPr>
          <w:rFonts w:ascii="Verdana" w:hAnsi="Verdana"/>
          <w:sz w:val="22"/>
          <w:szCs w:val="22"/>
        </w:rPr>
        <w:t>las mismas</w:t>
      </w:r>
      <w:proofErr w:type="gramEnd"/>
      <w:r w:rsidRPr="001B3877">
        <w:rPr>
          <w:rFonts w:ascii="Verdana" w:hAnsi="Verdana"/>
          <w:sz w:val="22"/>
          <w:szCs w:val="22"/>
        </w:rPr>
        <w:t xml:space="preserve"> hasta el monto de lo recaudado por el respectivo Hogar. </w:t>
      </w:r>
    </w:p>
    <w:p w14:paraId="4741F96D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bookmarkStart w:id="14" w:name="ver_30143665"/>
      <w:bookmarkEnd w:id="14"/>
    </w:p>
    <w:p w14:paraId="490AB538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b/>
          <w:bCs/>
          <w:sz w:val="22"/>
          <w:szCs w:val="22"/>
        </w:rPr>
        <w:t>ARTÍCULO DÉCIMO QUINTO.</w:t>
      </w:r>
      <w:r w:rsidRPr="001B3877">
        <w:rPr>
          <w:rFonts w:ascii="Verdana" w:hAnsi="Verdana"/>
          <w:sz w:val="22"/>
          <w:szCs w:val="22"/>
        </w:rPr>
        <w:t> Los aspectos no reglamentados en la presente resolución se regirán por el Decreto </w:t>
      </w:r>
      <w:r w:rsidRPr="001B3877">
        <w:rPr>
          <w:rFonts w:ascii="Verdana" w:hAnsi="Verdana"/>
          <w:sz w:val="22"/>
          <w:szCs w:val="22"/>
          <w:u w:val="single"/>
        </w:rPr>
        <w:t>2019</w:t>
      </w:r>
      <w:r w:rsidRPr="001B3877">
        <w:rPr>
          <w:rFonts w:ascii="Verdana" w:hAnsi="Verdana"/>
          <w:sz w:val="22"/>
          <w:szCs w:val="22"/>
        </w:rPr>
        <w:t> de 1989, Acuerdo </w:t>
      </w:r>
      <w:r w:rsidRPr="001B3877">
        <w:rPr>
          <w:rFonts w:ascii="Verdana" w:hAnsi="Verdana"/>
          <w:sz w:val="22"/>
          <w:szCs w:val="22"/>
          <w:u w:val="single"/>
        </w:rPr>
        <w:t>21</w:t>
      </w:r>
      <w:r w:rsidRPr="001B3877">
        <w:rPr>
          <w:rFonts w:ascii="Verdana" w:hAnsi="Verdana"/>
          <w:sz w:val="22"/>
          <w:szCs w:val="22"/>
        </w:rPr>
        <w:t> de 1989, Resolución Orgánica 012989 de la Contraloría General de la República, Acuerdo 0</w:t>
      </w:r>
      <w:r w:rsidRPr="001B3877">
        <w:rPr>
          <w:rFonts w:ascii="Verdana" w:hAnsi="Verdana"/>
          <w:sz w:val="22"/>
          <w:szCs w:val="22"/>
          <w:u w:val="single"/>
        </w:rPr>
        <w:t>4</w:t>
      </w:r>
      <w:r w:rsidRPr="001B3877">
        <w:rPr>
          <w:rFonts w:ascii="Verdana" w:hAnsi="Verdana"/>
          <w:sz w:val="22"/>
          <w:szCs w:val="22"/>
        </w:rPr>
        <w:t> de 1990 y demás normas concordantes. </w:t>
      </w:r>
    </w:p>
    <w:p w14:paraId="3AD71164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bookmarkStart w:id="15" w:name="ver_30143666"/>
      <w:bookmarkEnd w:id="15"/>
    </w:p>
    <w:p w14:paraId="67C30051" w14:textId="77777777" w:rsidR="001B3877" w:rsidRPr="001B3877" w:rsidRDefault="001B3877" w:rsidP="001B3877">
      <w:pPr>
        <w:spacing w:after="0"/>
        <w:jc w:val="both"/>
        <w:rPr>
          <w:rFonts w:ascii="Verdana" w:hAnsi="Verdana"/>
          <w:sz w:val="22"/>
          <w:szCs w:val="22"/>
        </w:rPr>
      </w:pPr>
      <w:r w:rsidRPr="001B3877">
        <w:rPr>
          <w:rFonts w:ascii="Verdana" w:hAnsi="Verdana"/>
          <w:b/>
          <w:bCs/>
          <w:sz w:val="22"/>
          <w:szCs w:val="22"/>
        </w:rPr>
        <w:t>ARTÍCULO DÉCIMO SEXTO.</w:t>
      </w:r>
      <w:r w:rsidRPr="001B3877">
        <w:rPr>
          <w:rFonts w:ascii="Verdana" w:hAnsi="Verdana"/>
          <w:sz w:val="22"/>
          <w:szCs w:val="22"/>
        </w:rPr>
        <w:t> La presente resolución rige a partir de la fecha de su expedición. </w:t>
      </w:r>
    </w:p>
    <w:p w14:paraId="7485B60B" w14:textId="77777777" w:rsidR="001B3877" w:rsidRDefault="001B3877" w:rsidP="00B43BA4">
      <w:pPr>
        <w:spacing w:after="0"/>
        <w:jc w:val="both"/>
        <w:rPr>
          <w:rFonts w:ascii="Verdana" w:hAnsi="Verdana"/>
          <w:b/>
          <w:bCs/>
          <w:sz w:val="22"/>
          <w:szCs w:val="22"/>
        </w:rPr>
      </w:pPr>
    </w:p>
    <w:p w14:paraId="1AEEA412" w14:textId="77777777" w:rsidR="001B3877" w:rsidRPr="000E2CD4" w:rsidRDefault="001B3877" w:rsidP="00B43BA4">
      <w:pPr>
        <w:spacing w:after="0"/>
        <w:jc w:val="both"/>
        <w:rPr>
          <w:rFonts w:ascii="Verdana" w:hAnsi="Verdana"/>
          <w:sz w:val="22"/>
          <w:szCs w:val="22"/>
          <w:lang w:val="es-ES"/>
        </w:rPr>
      </w:pPr>
    </w:p>
    <w:p w14:paraId="09FB3487" w14:textId="4D3EAA81" w:rsidR="00B43BA4" w:rsidRPr="005F32BF" w:rsidRDefault="00B43BA4" w:rsidP="00B43BA4">
      <w:pPr>
        <w:spacing w:after="0"/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5F32BF">
        <w:rPr>
          <w:rFonts w:ascii="Verdana" w:hAnsi="Verdana"/>
          <w:b/>
          <w:bCs/>
          <w:sz w:val="22"/>
          <w:szCs w:val="22"/>
          <w:lang w:val="es-ES"/>
        </w:rPr>
        <w:t>COMUNÍQUESE Y CÚMPLASE.</w:t>
      </w:r>
    </w:p>
    <w:p w14:paraId="781FF69E" w14:textId="77777777" w:rsidR="00B43BA4" w:rsidRPr="000E2CD4" w:rsidRDefault="00B43BA4" w:rsidP="00B43BA4">
      <w:pPr>
        <w:spacing w:after="0"/>
        <w:jc w:val="center"/>
        <w:rPr>
          <w:rFonts w:ascii="Verdana" w:hAnsi="Verdana"/>
          <w:sz w:val="22"/>
          <w:szCs w:val="22"/>
          <w:lang w:val="es-ES"/>
        </w:rPr>
      </w:pPr>
    </w:p>
    <w:p w14:paraId="051ADC30" w14:textId="55D1B78B" w:rsidR="00B43BA4" w:rsidRPr="000E2CD4" w:rsidRDefault="00B43BA4" w:rsidP="00B43BA4">
      <w:pPr>
        <w:spacing w:after="0"/>
        <w:jc w:val="center"/>
        <w:rPr>
          <w:rFonts w:ascii="Verdana" w:hAnsi="Verdana"/>
          <w:sz w:val="22"/>
          <w:szCs w:val="22"/>
          <w:lang w:val="es-ES"/>
        </w:rPr>
      </w:pPr>
      <w:r w:rsidRPr="000E2CD4">
        <w:rPr>
          <w:rFonts w:ascii="Verdana" w:hAnsi="Verdana"/>
          <w:sz w:val="22"/>
          <w:szCs w:val="22"/>
          <w:lang w:val="es-ES"/>
        </w:rPr>
        <w:t xml:space="preserve">Dada en Santafé de Bogotá, D. C. a los 5 </w:t>
      </w:r>
      <w:r w:rsidR="005F32BF">
        <w:rPr>
          <w:rFonts w:ascii="Verdana" w:hAnsi="Verdana"/>
          <w:sz w:val="22"/>
          <w:szCs w:val="22"/>
          <w:lang w:val="es-ES"/>
        </w:rPr>
        <w:t xml:space="preserve">días del mes de julio de </w:t>
      </w:r>
      <w:r w:rsidRPr="000E2CD4">
        <w:rPr>
          <w:rFonts w:ascii="Verdana" w:hAnsi="Verdana"/>
          <w:sz w:val="22"/>
          <w:szCs w:val="22"/>
          <w:lang w:val="es-ES"/>
        </w:rPr>
        <w:t>1994</w:t>
      </w:r>
    </w:p>
    <w:p w14:paraId="56ABFD90" w14:textId="1F2B5B5A" w:rsidR="00B43BA4" w:rsidRPr="000E2CD4" w:rsidRDefault="00B43BA4" w:rsidP="00B43BA4">
      <w:pPr>
        <w:spacing w:after="0"/>
        <w:jc w:val="center"/>
        <w:rPr>
          <w:rFonts w:ascii="Verdana" w:hAnsi="Verdana"/>
          <w:sz w:val="22"/>
          <w:szCs w:val="22"/>
          <w:lang w:val="es-ES"/>
        </w:rPr>
      </w:pPr>
    </w:p>
    <w:p w14:paraId="7F602203" w14:textId="77777777" w:rsidR="00B43BA4" w:rsidRPr="000E2CD4" w:rsidRDefault="00B43BA4" w:rsidP="00B43BA4">
      <w:pPr>
        <w:spacing w:after="0"/>
        <w:jc w:val="center"/>
        <w:rPr>
          <w:rFonts w:ascii="Verdana" w:hAnsi="Verdana"/>
          <w:sz w:val="22"/>
          <w:szCs w:val="22"/>
        </w:rPr>
      </w:pPr>
      <w:r w:rsidRPr="000E2CD4">
        <w:rPr>
          <w:rFonts w:ascii="Verdana" w:hAnsi="Verdana"/>
          <w:b/>
          <w:bCs/>
          <w:sz w:val="22"/>
          <w:szCs w:val="22"/>
        </w:rPr>
        <w:t>RAFAEL A. ORDUZ MEDINA</w:t>
      </w:r>
    </w:p>
    <w:p w14:paraId="5D5C3D99" w14:textId="462BD8CE" w:rsidR="00B43BA4" w:rsidRPr="000E2CD4" w:rsidRDefault="00B43BA4" w:rsidP="00B43BA4">
      <w:pPr>
        <w:spacing w:after="0"/>
        <w:jc w:val="center"/>
        <w:rPr>
          <w:rFonts w:ascii="Verdana" w:hAnsi="Verdana"/>
          <w:sz w:val="22"/>
          <w:szCs w:val="22"/>
          <w:lang w:val="es-ES"/>
        </w:rPr>
      </w:pPr>
    </w:p>
    <w:p w14:paraId="402FEB73" w14:textId="77777777" w:rsidR="00B43BA4" w:rsidRPr="000E2CD4" w:rsidRDefault="00B43BA4" w:rsidP="00B43BA4">
      <w:pPr>
        <w:spacing w:after="0"/>
        <w:jc w:val="center"/>
        <w:rPr>
          <w:rFonts w:ascii="Verdana" w:hAnsi="Verdana"/>
          <w:sz w:val="22"/>
          <w:szCs w:val="22"/>
        </w:rPr>
      </w:pPr>
      <w:r w:rsidRPr="000E2CD4">
        <w:rPr>
          <w:rFonts w:ascii="Verdana" w:hAnsi="Verdana"/>
          <w:sz w:val="22"/>
          <w:szCs w:val="22"/>
        </w:rPr>
        <w:t>DIRECTOR GENERAL</w:t>
      </w:r>
    </w:p>
    <w:p w14:paraId="1B2935D9" w14:textId="05C4D4CB" w:rsidR="00B43BA4" w:rsidRPr="000E2CD4" w:rsidRDefault="00B43BA4" w:rsidP="00B43BA4">
      <w:pPr>
        <w:spacing w:after="0"/>
        <w:jc w:val="center"/>
        <w:rPr>
          <w:rFonts w:ascii="Verdana" w:hAnsi="Verdana"/>
          <w:sz w:val="22"/>
          <w:szCs w:val="22"/>
          <w:lang w:val="es-ES"/>
        </w:rPr>
      </w:pPr>
    </w:p>
    <w:p w14:paraId="72D11D60" w14:textId="77777777" w:rsidR="00B43BA4" w:rsidRPr="000E2CD4" w:rsidRDefault="00B43BA4" w:rsidP="00B43BA4">
      <w:pPr>
        <w:spacing w:after="0"/>
        <w:jc w:val="center"/>
        <w:rPr>
          <w:rFonts w:ascii="Verdana" w:hAnsi="Verdana"/>
          <w:sz w:val="22"/>
          <w:szCs w:val="22"/>
        </w:rPr>
      </w:pPr>
      <w:r w:rsidRPr="000E2CD4">
        <w:rPr>
          <w:rFonts w:ascii="Verdana" w:hAnsi="Verdana"/>
          <w:b/>
          <w:bCs/>
          <w:sz w:val="22"/>
          <w:szCs w:val="22"/>
        </w:rPr>
        <w:t>JULIA COLLAZOS DE GÓMEZ</w:t>
      </w:r>
    </w:p>
    <w:p w14:paraId="6B2417E8" w14:textId="2C009E79" w:rsidR="00B43BA4" w:rsidRPr="000E2CD4" w:rsidRDefault="00B43BA4" w:rsidP="00B43BA4">
      <w:pPr>
        <w:spacing w:after="0"/>
        <w:jc w:val="center"/>
        <w:rPr>
          <w:rFonts w:ascii="Verdana" w:hAnsi="Verdana"/>
          <w:sz w:val="22"/>
          <w:szCs w:val="22"/>
          <w:lang w:val="es-ES"/>
        </w:rPr>
      </w:pPr>
    </w:p>
    <w:p w14:paraId="2ECC4074" w14:textId="262B15A7" w:rsidR="00B43BA4" w:rsidRPr="000E2CD4" w:rsidRDefault="00B43BA4" w:rsidP="00B43BA4">
      <w:pPr>
        <w:spacing w:after="0"/>
        <w:jc w:val="center"/>
        <w:rPr>
          <w:rFonts w:ascii="Verdana" w:hAnsi="Verdana"/>
          <w:sz w:val="22"/>
          <w:szCs w:val="22"/>
          <w:lang w:val="es-ES"/>
        </w:rPr>
      </w:pPr>
      <w:r w:rsidRPr="000E2CD4">
        <w:rPr>
          <w:rFonts w:ascii="Verdana" w:hAnsi="Verdana"/>
          <w:sz w:val="22"/>
          <w:szCs w:val="22"/>
        </w:rPr>
        <w:t>SECRETARIA GENERAL (E)</w:t>
      </w:r>
    </w:p>
    <w:p w14:paraId="0149E4B8" w14:textId="77777777" w:rsidR="00B43BA4" w:rsidRPr="000E2CD4" w:rsidRDefault="00B43BA4" w:rsidP="00B43BA4">
      <w:pPr>
        <w:spacing w:after="0"/>
        <w:jc w:val="both"/>
        <w:rPr>
          <w:rFonts w:ascii="Verdana" w:hAnsi="Verdana"/>
          <w:sz w:val="22"/>
          <w:szCs w:val="22"/>
          <w:lang w:val="es-ES"/>
        </w:rPr>
      </w:pPr>
    </w:p>
    <w:sectPr w:rsidR="00B43BA4" w:rsidRPr="000E2C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DED0" w14:textId="77777777" w:rsidR="00C212F6" w:rsidRDefault="00C212F6" w:rsidP="00B3429A">
      <w:pPr>
        <w:spacing w:after="0" w:line="240" w:lineRule="auto"/>
      </w:pPr>
      <w:r>
        <w:separator/>
      </w:r>
    </w:p>
  </w:endnote>
  <w:endnote w:type="continuationSeparator" w:id="0">
    <w:p w14:paraId="6C75B70D" w14:textId="77777777" w:rsidR="00C212F6" w:rsidRDefault="00C212F6" w:rsidP="00B34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7139C" w14:textId="77777777" w:rsidR="00C212F6" w:rsidRDefault="00C212F6" w:rsidP="00B3429A">
      <w:pPr>
        <w:spacing w:after="0" w:line="240" w:lineRule="auto"/>
      </w:pPr>
      <w:r>
        <w:separator/>
      </w:r>
    </w:p>
  </w:footnote>
  <w:footnote w:type="continuationSeparator" w:id="0">
    <w:p w14:paraId="6E51D6CC" w14:textId="77777777" w:rsidR="00C212F6" w:rsidRDefault="00C212F6" w:rsidP="00B34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3C1E"/>
    <w:multiLevelType w:val="hybridMultilevel"/>
    <w:tmpl w:val="949CA3A0"/>
    <w:lvl w:ilvl="0" w:tplc="D8A2363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F7CAF"/>
    <w:multiLevelType w:val="hybridMultilevel"/>
    <w:tmpl w:val="D55A935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47C4"/>
    <w:multiLevelType w:val="hybridMultilevel"/>
    <w:tmpl w:val="B7085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81DB7"/>
    <w:multiLevelType w:val="hybridMultilevel"/>
    <w:tmpl w:val="9C46B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7643"/>
    <w:multiLevelType w:val="hybridMultilevel"/>
    <w:tmpl w:val="619654E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55C28"/>
    <w:multiLevelType w:val="hybridMultilevel"/>
    <w:tmpl w:val="9D822D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23AEA"/>
    <w:multiLevelType w:val="hybridMultilevel"/>
    <w:tmpl w:val="AF56F4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C0E24"/>
    <w:multiLevelType w:val="hybridMultilevel"/>
    <w:tmpl w:val="E25A18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91056"/>
    <w:multiLevelType w:val="hybridMultilevel"/>
    <w:tmpl w:val="D8F83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163999">
    <w:abstractNumId w:val="0"/>
  </w:num>
  <w:num w:numId="2" w16cid:durableId="1277179874">
    <w:abstractNumId w:val="3"/>
  </w:num>
  <w:num w:numId="3" w16cid:durableId="97987790">
    <w:abstractNumId w:val="7"/>
  </w:num>
  <w:num w:numId="4" w16cid:durableId="1534725675">
    <w:abstractNumId w:val="8"/>
  </w:num>
  <w:num w:numId="5" w16cid:durableId="1475636703">
    <w:abstractNumId w:val="2"/>
  </w:num>
  <w:num w:numId="6" w16cid:durableId="302739799">
    <w:abstractNumId w:val="4"/>
  </w:num>
  <w:num w:numId="7" w16cid:durableId="923030746">
    <w:abstractNumId w:val="1"/>
  </w:num>
  <w:num w:numId="8" w16cid:durableId="1330402782">
    <w:abstractNumId w:val="6"/>
  </w:num>
  <w:num w:numId="9" w16cid:durableId="1593513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8B"/>
    <w:rsid w:val="000124F1"/>
    <w:rsid w:val="00050F65"/>
    <w:rsid w:val="00061B95"/>
    <w:rsid w:val="00077292"/>
    <w:rsid w:val="000D73BA"/>
    <w:rsid w:val="000E2CD4"/>
    <w:rsid w:val="000F55B9"/>
    <w:rsid w:val="001A7849"/>
    <w:rsid w:val="001B3877"/>
    <w:rsid w:val="001D2CDB"/>
    <w:rsid w:val="00223E8C"/>
    <w:rsid w:val="00245178"/>
    <w:rsid w:val="0026255C"/>
    <w:rsid w:val="002B6543"/>
    <w:rsid w:val="0030028A"/>
    <w:rsid w:val="00300C37"/>
    <w:rsid w:val="00315380"/>
    <w:rsid w:val="003A1658"/>
    <w:rsid w:val="00427680"/>
    <w:rsid w:val="004844AD"/>
    <w:rsid w:val="005027CC"/>
    <w:rsid w:val="005579B0"/>
    <w:rsid w:val="005F32BF"/>
    <w:rsid w:val="00633E7A"/>
    <w:rsid w:val="006C5841"/>
    <w:rsid w:val="006C6703"/>
    <w:rsid w:val="006E3518"/>
    <w:rsid w:val="007467B4"/>
    <w:rsid w:val="00794C8B"/>
    <w:rsid w:val="007E1851"/>
    <w:rsid w:val="007E430B"/>
    <w:rsid w:val="007E46F5"/>
    <w:rsid w:val="00846945"/>
    <w:rsid w:val="00953C3B"/>
    <w:rsid w:val="00A42548"/>
    <w:rsid w:val="00A519C9"/>
    <w:rsid w:val="00AF08EC"/>
    <w:rsid w:val="00B3429A"/>
    <w:rsid w:val="00B43BA4"/>
    <w:rsid w:val="00B445DD"/>
    <w:rsid w:val="00B619B1"/>
    <w:rsid w:val="00C212F6"/>
    <w:rsid w:val="00C4412C"/>
    <w:rsid w:val="00C73A05"/>
    <w:rsid w:val="00DA77D2"/>
    <w:rsid w:val="00DF65EA"/>
    <w:rsid w:val="00E45673"/>
    <w:rsid w:val="00E93D02"/>
    <w:rsid w:val="00EE3107"/>
    <w:rsid w:val="00F6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342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29A"/>
  </w:style>
  <w:style w:type="paragraph" w:styleId="Piedepgina">
    <w:name w:val="footer"/>
    <w:basedOn w:val="Normal"/>
    <w:link w:val="PiedepginaCar"/>
    <w:uiPriority w:val="99"/>
    <w:unhideWhenUsed/>
    <w:rsid w:val="00B342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29A"/>
  </w:style>
  <w:style w:type="paragraph" w:styleId="Sinespaciado">
    <w:name w:val="No Spacing"/>
    <w:uiPriority w:val="1"/>
    <w:qFormat/>
    <w:rsid w:val="002451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26DCE4-2909-47C0-87B0-F501289BED18}"/>
</file>

<file path=customXml/itemProps2.xml><?xml version="1.0" encoding="utf-8"?>
<ds:datastoreItem xmlns:ds="http://schemas.openxmlformats.org/officeDocument/2006/customXml" ds:itemID="{433B2DE0-CCA4-4954-87D7-65254C44D683}"/>
</file>

<file path=customXml/itemProps3.xml><?xml version="1.0" encoding="utf-8"?>
<ds:datastoreItem xmlns:ds="http://schemas.openxmlformats.org/officeDocument/2006/customXml" ds:itemID="{84214534-1E7E-406F-9670-7A7E98405A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1850</Words>
  <Characters>10178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4</cp:revision>
  <dcterms:created xsi:type="dcterms:W3CDTF">2025-12-01T14:46:00Z</dcterms:created>
  <dcterms:modified xsi:type="dcterms:W3CDTF">2026-01-15T20:44:00Z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