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602EB" w14:textId="6FA78496" w:rsidR="0081157B" w:rsidRPr="0081157B" w:rsidRDefault="0081157B" w:rsidP="0081157B">
      <w:pPr>
        <w:jc w:val="center"/>
        <w:rPr>
          <w:rFonts w:ascii="Verdana" w:hAnsi="Verdana"/>
          <w:b/>
          <w:bCs/>
          <w:sz w:val="22"/>
          <w:szCs w:val="22"/>
        </w:rPr>
      </w:pPr>
      <w:r w:rsidRPr="00975AF8">
        <w:rPr>
          <w:rFonts w:ascii="Verdana" w:hAnsi="Verdana"/>
          <w:b/>
          <w:bCs/>
          <w:sz w:val="22"/>
          <w:szCs w:val="22"/>
        </w:rPr>
        <w:t>RESOLUCIÓN 6684 DE 2013</w:t>
      </w:r>
    </w:p>
    <w:p w14:paraId="74C359E2" w14:textId="1E38FFB2" w:rsidR="00F75101" w:rsidRPr="0081157B" w:rsidRDefault="00F75101" w:rsidP="0042353E">
      <w:pPr>
        <w:rPr>
          <w:rFonts w:ascii="Verdana" w:hAnsi="Verdana"/>
          <w:sz w:val="20"/>
          <w:szCs w:val="20"/>
        </w:rPr>
      </w:pPr>
      <w:r w:rsidRPr="0081157B">
        <w:rPr>
          <w:rFonts w:ascii="Verdana" w:hAnsi="Verdana"/>
          <w:sz w:val="20"/>
          <w:szCs w:val="20"/>
        </w:rPr>
        <w:t xml:space="preserve">Fecha de Expedición: </w:t>
      </w:r>
      <w:r w:rsidR="0081157B" w:rsidRPr="0081157B">
        <w:rPr>
          <w:rFonts w:ascii="Verdana" w:hAnsi="Verdana"/>
          <w:sz w:val="20"/>
          <w:szCs w:val="20"/>
        </w:rPr>
        <w:t>15</w:t>
      </w:r>
      <w:r w:rsidRPr="0081157B">
        <w:rPr>
          <w:rFonts w:ascii="Verdana" w:hAnsi="Verdana"/>
          <w:sz w:val="20"/>
          <w:szCs w:val="20"/>
        </w:rPr>
        <w:t xml:space="preserve"> de agosto de 2013</w:t>
      </w:r>
    </w:p>
    <w:p w14:paraId="055C1988" w14:textId="037B354C" w:rsidR="00F75101" w:rsidRPr="0081157B" w:rsidRDefault="00F75101" w:rsidP="0042353E">
      <w:pPr>
        <w:rPr>
          <w:rFonts w:ascii="Verdana" w:hAnsi="Verdana"/>
          <w:sz w:val="20"/>
          <w:szCs w:val="20"/>
        </w:rPr>
      </w:pPr>
      <w:r w:rsidRPr="0081157B">
        <w:rPr>
          <w:rFonts w:ascii="Verdana" w:hAnsi="Verdana"/>
          <w:sz w:val="20"/>
          <w:szCs w:val="20"/>
        </w:rPr>
        <w:t xml:space="preserve">Fecha de </w:t>
      </w:r>
      <w:proofErr w:type="gramStart"/>
      <w:r w:rsidRPr="0081157B">
        <w:rPr>
          <w:rFonts w:ascii="Verdana" w:hAnsi="Verdana"/>
          <w:sz w:val="20"/>
          <w:szCs w:val="20"/>
        </w:rPr>
        <w:t>entrada en vigencia</w:t>
      </w:r>
      <w:proofErr w:type="gramEnd"/>
      <w:r w:rsidRPr="0081157B">
        <w:rPr>
          <w:rFonts w:ascii="Verdana" w:hAnsi="Verdana"/>
          <w:sz w:val="20"/>
          <w:szCs w:val="20"/>
        </w:rPr>
        <w:t xml:space="preserve">: </w:t>
      </w:r>
      <w:r w:rsidR="00975AF8" w:rsidRPr="0081157B">
        <w:rPr>
          <w:rFonts w:ascii="Verdana" w:hAnsi="Verdana"/>
          <w:sz w:val="20"/>
          <w:szCs w:val="20"/>
        </w:rPr>
        <w:t>11 de septiembre de 2013</w:t>
      </w:r>
    </w:p>
    <w:p w14:paraId="394C3592" w14:textId="77777777" w:rsidR="00F75101" w:rsidRPr="0081157B" w:rsidRDefault="00F75101" w:rsidP="0042353E">
      <w:pPr>
        <w:rPr>
          <w:rFonts w:ascii="Verdana" w:hAnsi="Verdana"/>
          <w:sz w:val="20"/>
          <w:szCs w:val="20"/>
        </w:rPr>
      </w:pPr>
      <w:r w:rsidRPr="0081157B">
        <w:rPr>
          <w:rFonts w:ascii="Verdana" w:hAnsi="Verdana"/>
          <w:sz w:val="20"/>
          <w:szCs w:val="20"/>
        </w:rPr>
        <w:t>Estado de la vigencia: vigente</w:t>
      </w:r>
    </w:p>
    <w:p w14:paraId="3BB00099" w14:textId="77777777" w:rsidR="00F75101" w:rsidRPr="0081157B" w:rsidRDefault="00F75101" w:rsidP="0042353E">
      <w:pPr>
        <w:rPr>
          <w:rFonts w:ascii="Verdana" w:hAnsi="Verdana"/>
          <w:sz w:val="20"/>
          <w:szCs w:val="20"/>
        </w:rPr>
      </w:pPr>
    </w:p>
    <w:p w14:paraId="6A13D043" w14:textId="6355309E" w:rsidR="00F75101" w:rsidRPr="0081157B" w:rsidRDefault="00F75101" w:rsidP="0042353E">
      <w:pPr>
        <w:rPr>
          <w:rFonts w:ascii="Verdana" w:hAnsi="Verdana"/>
          <w:sz w:val="20"/>
          <w:szCs w:val="20"/>
        </w:rPr>
      </w:pPr>
      <w:r w:rsidRPr="0081157B">
        <w:rPr>
          <w:rFonts w:ascii="Verdana" w:hAnsi="Verdana"/>
          <w:sz w:val="20"/>
          <w:szCs w:val="20"/>
        </w:rPr>
        <w:t xml:space="preserve">Fecha de publicación en Diario Oficial: </w:t>
      </w:r>
      <w:r w:rsidR="00975AF8" w:rsidRPr="0081157B">
        <w:rPr>
          <w:rFonts w:ascii="Verdana" w:hAnsi="Verdana"/>
          <w:sz w:val="20"/>
          <w:szCs w:val="20"/>
        </w:rPr>
        <w:t>11 de septiembre de 2013</w:t>
      </w:r>
    </w:p>
    <w:p w14:paraId="15297CA6" w14:textId="601B75D9" w:rsidR="00F75101" w:rsidRPr="0081157B" w:rsidRDefault="00F75101" w:rsidP="0042353E">
      <w:pPr>
        <w:rPr>
          <w:rFonts w:ascii="Verdana" w:hAnsi="Verdana"/>
          <w:sz w:val="20"/>
          <w:szCs w:val="20"/>
        </w:rPr>
      </w:pPr>
      <w:r w:rsidRPr="0081157B">
        <w:rPr>
          <w:rFonts w:ascii="Verdana" w:hAnsi="Verdana"/>
          <w:sz w:val="20"/>
          <w:szCs w:val="20"/>
        </w:rPr>
        <w:t xml:space="preserve">Número del Diario Oficial: </w:t>
      </w:r>
      <w:r w:rsidR="00975AF8" w:rsidRPr="0081157B">
        <w:rPr>
          <w:rFonts w:ascii="Verdana" w:hAnsi="Verdana"/>
          <w:sz w:val="20"/>
          <w:szCs w:val="20"/>
        </w:rPr>
        <w:t>No. 48.910</w:t>
      </w:r>
    </w:p>
    <w:p w14:paraId="7DF75667" w14:textId="4E8F7E13" w:rsidR="0042353E" w:rsidRPr="00975AF8" w:rsidRDefault="0042353E" w:rsidP="00975AF8">
      <w:pPr>
        <w:jc w:val="center"/>
        <w:rPr>
          <w:rFonts w:ascii="Verdana" w:hAnsi="Verdana"/>
          <w:b/>
          <w:bCs/>
          <w:sz w:val="22"/>
          <w:szCs w:val="22"/>
        </w:rPr>
      </w:pPr>
      <w:r w:rsidRPr="00975AF8">
        <w:rPr>
          <w:rFonts w:ascii="Verdana" w:hAnsi="Verdana"/>
          <w:b/>
          <w:bCs/>
          <w:sz w:val="22"/>
          <w:szCs w:val="22"/>
        </w:rPr>
        <w:t>RESOLUCIÓN 6684 DE 2013</w:t>
      </w:r>
    </w:p>
    <w:p w14:paraId="59167956" w14:textId="58A51773" w:rsidR="0042353E" w:rsidRPr="00975AF8" w:rsidRDefault="0042353E" w:rsidP="00975AF8">
      <w:pPr>
        <w:jc w:val="center"/>
        <w:rPr>
          <w:rFonts w:ascii="Verdana" w:hAnsi="Verdana"/>
          <w:b/>
          <w:bCs/>
          <w:sz w:val="22"/>
          <w:szCs w:val="22"/>
        </w:rPr>
      </w:pPr>
      <w:r w:rsidRPr="00975AF8">
        <w:rPr>
          <w:rFonts w:ascii="Verdana" w:hAnsi="Verdana"/>
          <w:b/>
          <w:bCs/>
          <w:sz w:val="22"/>
          <w:szCs w:val="22"/>
        </w:rPr>
        <w:t>(</w:t>
      </w:r>
      <w:r w:rsidR="00975AF8" w:rsidRPr="00975AF8">
        <w:rPr>
          <w:rFonts w:ascii="Verdana" w:hAnsi="Verdana"/>
          <w:b/>
          <w:bCs/>
          <w:sz w:val="22"/>
          <w:szCs w:val="22"/>
        </w:rPr>
        <w:t xml:space="preserve">15 de </w:t>
      </w:r>
      <w:r w:rsidRPr="00975AF8">
        <w:rPr>
          <w:rFonts w:ascii="Verdana" w:hAnsi="Verdana"/>
          <w:b/>
          <w:bCs/>
          <w:sz w:val="22"/>
          <w:szCs w:val="22"/>
        </w:rPr>
        <w:t>agosto)</w:t>
      </w:r>
    </w:p>
    <w:p w14:paraId="5D5CC0D4" w14:textId="58586CEC" w:rsidR="0042353E" w:rsidRPr="00975AF8" w:rsidRDefault="0042353E" w:rsidP="00975AF8">
      <w:pPr>
        <w:jc w:val="center"/>
        <w:rPr>
          <w:rFonts w:ascii="Verdana" w:hAnsi="Verdana"/>
          <w:b/>
          <w:bCs/>
          <w:sz w:val="22"/>
          <w:szCs w:val="22"/>
        </w:rPr>
      </w:pPr>
      <w:r w:rsidRPr="00975AF8">
        <w:rPr>
          <w:rFonts w:ascii="Verdana" w:hAnsi="Verdana"/>
          <w:b/>
          <w:bCs/>
          <w:sz w:val="22"/>
          <w:szCs w:val="22"/>
        </w:rPr>
        <w:t>INSTITUTO COLOMBIANO DE BIENESTAR FAMILIAR</w:t>
      </w:r>
    </w:p>
    <w:p w14:paraId="24DC4188" w14:textId="3D1FC29F" w:rsidR="0042353E" w:rsidRPr="00975AF8" w:rsidRDefault="0042353E" w:rsidP="00975AF8">
      <w:pPr>
        <w:jc w:val="center"/>
        <w:rPr>
          <w:rFonts w:ascii="Verdana" w:hAnsi="Verdana"/>
          <w:b/>
          <w:bCs/>
          <w:sz w:val="22"/>
          <w:szCs w:val="22"/>
        </w:rPr>
      </w:pPr>
      <w:r w:rsidRPr="00975AF8">
        <w:rPr>
          <w:rFonts w:ascii="Verdana" w:hAnsi="Verdana"/>
          <w:b/>
          <w:bCs/>
          <w:sz w:val="22"/>
          <w:szCs w:val="22"/>
        </w:rPr>
        <w:t>CECILIA DE LA FUENTE DE LLERAS</w:t>
      </w:r>
    </w:p>
    <w:p w14:paraId="6B255C20" w14:textId="6CA6DD3A" w:rsidR="0042353E" w:rsidRPr="00975AF8" w:rsidRDefault="0042353E" w:rsidP="00975AF8">
      <w:pPr>
        <w:jc w:val="center"/>
        <w:rPr>
          <w:rFonts w:ascii="Verdana" w:hAnsi="Verdana"/>
          <w:b/>
          <w:bCs/>
          <w:sz w:val="22"/>
          <w:szCs w:val="22"/>
        </w:rPr>
      </w:pPr>
      <w:r w:rsidRPr="00975AF8">
        <w:rPr>
          <w:rFonts w:ascii="Verdana" w:hAnsi="Verdana"/>
          <w:b/>
          <w:bCs/>
          <w:sz w:val="22"/>
          <w:szCs w:val="22"/>
        </w:rPr>
        <w:t>DIRECCIÓN GENERAL</w:t>
      </w:r>
    </w:p>
    <w:p w14:paraId="134C22C7" w14:textId="77DF9CD2" w:rsidR="0042353E" w:rsidRPr="0042353E" w:rsidRDefault="00975AF8" w:rsidP="00975AF8">
      <w:pPr>
        <w:jc w:val="center"/>
        <w:rPr>
          <w:rFonts w:ascii="Verdana" w:hAnsi="Verdana"/>
          <w:sz w:val="22"/>
          <w:szCs w:val="22"/>
        </w:rPr>
      </w:pPr>
      <w:r>
        <w:rPr>
          <w:rFonts w:ascii="Verdana" w:hAnsi="Verdana"/>
          <w:sz w:val="22"/>
          <w:szCs w:val="22"/>
        </w:rPr>
        <w:t>“</w:t>
      </w:r>
      <w:r w:rsidR="0042353E" w:rsidRPr="0042353E">
        <w:rPr>
          <w:rFonts w:ascii="Verdana" w:hAnsi="Verdana"/>
          <w:sz w:val="22"/>
          <w:szCs w:val="22"/>
        </w:rPr>
        <w:t>Por la cual se actualizan los informes que las Direcciones Regionales deben enviar a la Dirección General, se define un mecanismo para su remisión y se deroga una resolución.</w:t>
      </w:r>
      <w:r>
        <w:rPr>
          <w:rFonts w:ascii="Verdana" w:hAnsi="Verdana"/>
          <w:sz w:val="22"/>
          <w:szCs w:val="22"/>
        </w:rPr>
        <w:t>”</w:t>
      </w:r>
    </w:p>
    <w:p w14:paraId="1096283E" w14:textId="7E0FB20C" w:rsidR="0042353E" w:rsidRPr="00975AF8" w:rsidRDefault="0042353E" w:rsidP="00975AF8">
      <w:pPr>
        <w:jc w:val="center"/>
        <w:rPr>
          <w:rFonts w:ascii="Verdana" w:hAnsi="Verdana"/>
          <w:b/>
          <w:bCs/>
          <w:sz w:val="22"/>
          <w:szCs w:val="22"/>
        </w:rPr>
      </w:pPr>
      <w:r w:rsidRPr="00975AF8">
        <w:rPr>
          <w:rFonts w:ascii="Verdana" w:hAnsi="Verdana"/>
          <w:b/>
          <w:bCs/>
          <w:sz w:val="22"/>
          <w:szCs w:val="22"/>
        </w:rPr>
        <w:t>LA SUBDIRECTORA GENERAL ENCARGADA DE LAS FUNCIONES DEL DESPACHO DE LA DIRECCIÓN GENERAL DEL INSTITUTO COLOMBIANO DE BIENESTAR FAMILIAR, CECILIA DE LA FUENTE DE LLERAS,</w:t>
      </w:r>
    </w:p>
    <w:p w14:paraId="6DD84EEE" w14:textId="3685D922" w:rsidR="0042353E" w:rsidRPr="0042353E" w:rsidRDefault="0042353E" w:rsidP="00975AF8">
      <w:pPr>
        <w:jc w:val="center"/>
        <w:rPr>
          <w:rFonts w:ascii="Verdana" w:hAnsi="Verdana"/>
          <w:sz w:val="22"/>
          <w:szCs w:val="22"/>
        </w:rPr>
      </w:pPr>
      <w:r w:rsidRPr="0042353E">
        <w:rPr>
          <w:rFonts w:ascii="Verdana" w:hAnsi="Verdana"/>
          <w:sz w:val="22"/>
          <w:szCs w:val="22"/>
        </w:rPr>
        <w:t>en uso de sus facultades constitucionales y legales, en especial las consagradas en el artículo 78 de la Ley 489 de 1998 y el Decreto 987 de 2012 y</w:t>
      </w:r>
    </w:p>
    <w:p w14:paraId="558CE1BF" w14:textId="5C22943A" w:rsidR="0042353E" w:rsidRPr="00975AF8" w:rsidRDefault="0042353E" w:rsidP="00975AF8">
      <w:pPr>
        <w:jc w:val="center"/>
        <w:rPr>
          <w:rFonts w:ascii="Verdana" w:hAnsi="Verdana"/>
          <w:b/>
          <w:bCs/>
          <w:sz w:val="22"/>
          <w:szCs w:val="22"/>
        </w:rPr>
      </w:pPr>
      <w:r w:rsidRPr="00975AF8">
        <w:rPr>
          <w:rFonts w:ascii="Verdana" w:hAnsi="Verdana"/>
          <w:b/>
          <w:bCs/>
          <w:sz w:val="22"/>
          <w:szCs w:val="22"/>
        </w:rPr>
        <w:t>CONSIDERANDO:</w:t>
      </w:r>
    </w:p>
    <w:p w14:paraId="318D95F0" w14:textId="76D81EC7" w:rsidR="0042353E" w:rsidRPr="00975AF8" w:rsidRDefault="0042353E" w:rsidP="00975AF8">
      <w:pPr>
        <w:pStyle w:val="Prrafodelista"/>
        <w:numPr>
          <w:ilvl w:val="0"/>
          <w:numId w:val="6"/>
        </w:numPr>
        <w:jc w:val="both"/>
        <w:rPr>
          <w:rFonts w:ascii="Verdana" w:hAnsi="Verdana"/>
          <w:sz w:val="22"/>
          <w:szCs w:val="22"/>
        </w:rPr>
      </w:pPr>
      <w:r w:rsidRPr="00975AF8">
        <w:rPr>
          <w:rFonts w:ascii="Verdana" w:hAnsi="Verdana"/>
          <w:sz w:val="22"/>
          <w:szCs w:val="22"/>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51B64DD9" w14:textId="3571F985" w:rsidR="0042353E" w:rsidRPr="00975AF8" w:rsidRDefault="0042353E" w:rsidP="00975AF8">
      <w:pPr>
        <w:pStyle w:val="Prrafodelista"/>
        <w:numPr>
          <w:ilvl w:val="0"/>
          <w:numId w:val="6"/>
        </w:numPr>
        <w:jc w:val="both"/>
        <w:rPr>
          <w:rFonts w:ascii="Verdana" w:hAnsi="Verdana"/>
          <w:sz w:val="22"/>
          <w:szCs w:val="22"/>
        </w:rPr>
      </w:pPr>
      <w:r w:rsidRPr="00975AF8">
        <w:rPr>
          <w:rFonts w:ascii="Verdana" w:hAnsi="Verdana"/>
          <w:sz w:val="22"/>
          <w:szCs w:val="22"/>
        </w:rPr>
        <w:t>Que el ICBF implementó un Sistema de Gestión de la Calidad orientado a mejorar la prestación de los servicios a la ciudadanía, para dar cumplimiento a lo dispuesto por las Leyes 87 de 1993 y 872 de 2003 y a los Decretos Reglamentarios número 4110 de 2004 por el cual se reglamenta la Ley 872 de 2003 y se adopta la Norma Técnica de Calidad en la Gestión Pública, los cuales fueron expedidos por el Gobierno Nacional.</w:t>
      </w:r>
    </w:p>
    <w:p w14:paraId="69FE42BB" w14:textId="021076BD" w:rsidR="0042353E" w:rsidRPr="00975AF8" w:rsidRDefault="0042353E" w:rsidP="00975AF8">
      <w:pPr>
        <w:pStyle w:val="Prrafodelista"/>
        <w:numPr>
          <w:ilvl w:val="0"/>
          <w:numId w:val="6"/>
        </w:numPr>
        <w:jc w:val="both"/>
        <w:rPr>
          <w:rFonts w:ascii="Verdana" w:hAnsi="Verdana"/>
          <w:sz w:val="22"/>
          <w:szCs w:val="22"/>
        </w:rPr>
      </w:pPr>
      <w:r w:rsidRPr="00975AF8">
        <w:rPr>
          <w:rFonts w:ascii="Verdana" w:hAnsi="Verdana"/>
          <w:sz w:val="22"/>
          <w:szCs w:val="22"/>
        </w:rPr>
        <w:t xml:space="preserve">Que mediante el Decreto número 4155 de 2011 y de conformidad con lo establecido en el inciso 2o del artículo 170 de la Ley 1448 de 2011, se transformó el establecimiento público Agencia Presidencial para la Acción </w:t>
      </w:r>
      <w:r w:rsidRPr="00975AF8">
        <w:rPr>
          <w:rFonts w:ascii="Verdana" w:hAnsi="Verdana"/>
          <w:sz w:val="22"/>
          <w:szCs w:val="22"/>
        </w:rPr>
        <w:lastRenderedPageBreak/>
        <w:t>Social y la Cooperación Internacional (Acción Social) en Departamento Administrativo, el cual se denominará Departamento Administrativo para la Prosperidad Social, como organismo principal de la administración pública del Sector Administrativo de Inclusión Social y Reconciliación.</w:t>
      </w:r>
    </w:p>
    <w:p w14:paraId="39761BB6" w14:textId="25C0EF9C" w:rsidR="0042353E" w:rsidRPr="00975AF8" w:rsidRDefault="0042353E" w:rsidP="00975AF8">
      <w:pPr>
        <w:pStyle w:val="Prrafodelista"/>
        <w:numPr>
          <w:ilvl w:val="0"/>
          <w:numId w:val="6"/>
        </w:numPr>
        <w:jc w:val="both"/>
        <w:rPr>
          <w:rFonts w:ascii="Verdana" w:hAnsi="Verdana"/>
          <w:sz w:val="22"/>
          <w:szCs w:val="22"/>
        </w:rPr>
      </w:pPr>
      <w:r w:rsidRPr="00975AF8">
        <w:rPr>
          <w:rFonts w:ascii="Verdana" w:hAnsi="Verdana"/>
          <w:sz w:val="22"/>
          <w:szCs w:val="22"/>
        </w:rPr>
        <w:t>Que mediante Decreto número 4156 de 2011, se determinó la adscripción del ICBF al Departamento Administrativo para la Prosperidad Social (DPS).</w:t>
      </w:r>
    </w:p>
    <w:p w14:paraId="61E3A05B" w14:textId="262194DE" w:rsidR="0042353E" w:rsidRPr="00975AF8" w:rsidRDefault="0042353E" w:rsidP="00975AF8">
      <w:pPr>
        <w:pStyle w:val="Prrafodelista"/>
        <w:numPr>
          <w:ilvl w:val="0"/>
          <w:numId w:val="6"/>
        </w:numPr>
        <w:jc w:val="both"/>
        <w:rPr>
          <w:rFonts w:ascii="Verdana" w:hAnsi="Verdana"/>
          <w:sz w:val="22"/>
          <w:szCs w:val="22"/>
        </w:rPr>
      </w:pPr>
      <w:r w:rsidRPr="00975AF8">
        <w:rPr>
          <w:rFonts w:ascii="Verdana" w:hAnsi="Verdana"/>
          <w:sz w:val="22"/>
          <w:szCs w:val="22"/>
        </w:rPr>
        <w:t>Que mediante Decreto número 987 de 2012, por el cual se modifica la estructura del Instituto Colombiano de Bienestar Familiar, Cecilia de la Fuente de Lleras y se determinan las funciones de sus dependencias, se estableció en el numeral 13 del artículo 42 como función de las Direcciones Regionales, además de las contenidas en los Decretos 2388 de 1979, y 1137 de 1999 y, en los estatutos del Instituto entre otras, la de Preparar y presentar informes de seguimiento y gestión de los procesos a su cargo.</w:t>
      </w:r>
    </w:p>
    <w:p w14:paraId="2D4552C1" w14:textId="4E4BDF00" w:rsidR="0042353E" w:rsidRPr="00975AF8" w:rsidRDefault="0042353E" w:rsidP="00975AF8">
      <w:pPr>
        <w:pStyle w:val="Prrafodelista"/>
        <w:numPr>
          <w:ilvl w:val="0"/>
          <w:numId w:val="6"/>
        </w:numPr>
        <w:jc w:val="both"/>
        <w:rPr>
          <w:rFonts w:ascii="Verdana" w:hAnsi="Verdana"/>
          <w:sz w:val="22"/>
          <w:szCs w:val="22"/>
        </w:rPr>
      </w:pPr>
      <w:r w:rsidRPr="00975AF8">
        <w:rPr>
          <w:rFonts w:ascii="Verdana" w:hAnsi="Verdana"/>
          <w:sz w:val="22"/>
          <w:szCs w:val="22"/>
        </w:rPr>
        <w:t>Que mediante la Resolución número 4094 de 2010, se establecen los informes que las Direcciones Regionales deben enviar a la Dirección General, se define un mecanismo para su remisión y se derogan unas resoluciones.</w:t>
      </w:r>
    </w:p>
    <w:p w14:paraId="113D7037" w14:textId="705D113B" w:rsidR="0042353E" w:rsidRPr="00975AF8" w:rsidRDefault="0042353E" w:rsidP="00975AF8">
      <w:pPr>
        <w:pStyle w:val="Prrafodelista"/>
        <w:numPr>
          <w:ilvl w:val="0"/>
          <w:numId w:val="6"/>
        </w:numPr>
        <w:jc w:val="both"/>
        <w:rPr>
          <w:rFonts w:ascii="Verdana" w:hAnsi="Verdana"/>
          <w:sz w:val="22"/>
          <w:szCs w:val="22"/>
        </w:rPr>
      </w:pPr>
      <w:r w:rsidRPr="00975AF8">
        <w:rPr>
          <w:rFonts w:ascii="Verdana" w:hAnsi="Verdana"/>
          <w:sz w:val="22"/>
          <w:szCs w:val="22"/>
        </w:rPr>
        <w:t>Que para el cumplimento de las funciones de la Dirección General, además de las señaladas en la Ley 7ª de 1979, el Acuerdo 102 de 1979 aprobado por el Decreto 334 de 1980, artículo 78 de la Ley 489 de 1998 y demás normas que las adicionen o modifiquen, se requiere de manera periódica la información que debe ser reportada por las Direcciones Regionales.</w:t>
      </w:r>
    </w:p>
    <w:p w14:paraId="04558132" w14:textId="77F788BF" w:rsidR="0042353E" w:rsidRPr="00975AF8" w:rsidRDefault="0042353E" w:rsidP="00975AF8">
      <w:pPr>
        <w:pStyle w:val="Prrafodelista"/>
        <w:numPr>
          <w:ilvl w:val="0"/>
          <w:numId w:val="6"/>
        </w:numPr>
        <w:jc w:val="both"/>
        <w:rPr>
          <w:rFonts w:ascii="Verdana" w:hAnsi="Verdana"/>
          <w:sz w:val="22"/>
          <w:szCs w:val="22"/>
        </w:rPr>
      </w:pPr>
      <w:r w:rsidRPr="00975AF8">
        <w:rPr>
          <w:rFonts w:ascii="Verdana" w:hAnsi="Verdana"/>
          <w:sz w:val="22"/>
          <w:szCs w:val="22"/>
        </w:rPr>
        <w:t xml:space="preserve">Que para mejorar el flujo y oportunidad de la información que las Direcciones Regionales reportan a la Dirección General, se requiere determinar y actualizar cuáles son los informes que estas deben reportar, su periodicidad, destino y fecha de envío, </w:t>
      </w:r>
      <w:proofErr w:type="gramStart"/>
      <w:r w:rsidRPr="00975AF8">
        <w:rPr>
          <w:rFonts w:ascii="Verdana" w:hAnsi="Verdana"/>
          <w:sz w:val="22"/>
          <w:szCs w:val="22"/>
        </w:rPr>
        <w:t>y</w:t>
      </w:r>
      <w:proofErr w:type="gramEnd"/>
      <w:r w:rsidRPr="00975AF8">
        <w:rPr>
          <w:rFonts w:ascii="Verdana" w:hAnsi="Verdana"/>
          <w:sz w:val="22"/>
          <w:szCs w:val="22"/>
        </w:rPr>
        <w:t xml:space="preserve"> en consecuencia, se debe derogar la Resolución número 4094 de 2010.</w:t>
      </w:r>
    </w:p>
    <w:p w14:paraId="358E0D5B" w14:textId="680DF713" w:rsidR="0042353E" w:rsidRPr="00975AF8" w:rsidRDefault="0042353E" w:rsidP="00975AF8">
      <w:pPr>
        <w:pStyle w:val="Prrafodelista"/>
        <w:numPr>
          <w:ilvl w:val="0"/>
          <w:numId w:val="6"/>
        </w:numPr>
        <w:jc w:val="both"/>
        <w:rPr>
          <w:rFonts w:ascii="Verdana" w:hAnsi="Verdana"/>
          <w:sz w:val="22"/>
          <w:szCs w:val="22"/>
        </w:rPr>
      </w:pPr>
      <w:r w:rsidRPr="00975AF8">
        <w:rPr>
          <w:rFonts w:ascii="Verdana" w:hAnsi="Verdana"/>
          <w:sz w:val="22"/>
          <w:szCs w:val="22"/>
        </w:rPr>
        <w:t>Que para alcanzar estos propósitos es necesario definir las responsabilidades frente a la organización y el flujo de información.</w:t>
      </w:r>
    </w:p>
    <w:p w14:paraId="017FC86C" w14:textId="373D2B06" w:rsidR="0042353E" w:rsidRPr="00975AF8" w:rsidRDefault="0042353E" w:rsidP="00975AF8">
      <w:pPr>
        <w:pStyle w:val="Prrafodelista"/>
        <w:numPr>
          <w:ilvl w:val="0"/>
          <w:numId w:val="6"/>
        </w:numPr>
        <w:jc w:val="both"/>
        <w:rPr>
          <w:rFonts w:ascii="Verdana" w:hAnsi="Verdana"/>
          <w:sz w:val="22"/>
          <w:szCs w:val="22"/>
        </w:rPr>
      </w:pPr>
      <w:proofErr w:type="gramStart"/>
      <w:r w:rsidRPr="00975AF8">
        <w:rPr>
          <w:rFonts w:ascii="Verdana" w:hAnsi="Verdana"/>
          <w:sz w:val="22"/>
          <w:szCs w:val="22"/>
        </w:rPr>
        <w:t>Que</w:t>
      </w:r>
      <w:proofErr w:type="gramEnd"/>
      <w:r w:rsidRPr="00975AF8">
        <w:rPr>
          <w:rFonts w:ascii="Verdana" w:hAnsi="Verdana"/>
          <w:sz w:val="22"/>
          <w:szCs w:val="22"/>
        </w:rPr>
        <w:t xml:space="preserve"> en mérito de lo anterior,</w:t>
      </w:r>
    </w:p>
    <w:p w14:paraId="77375BEE" w14:textId="7E999ABF" w:rsidR="0042353E" w:rsidRPr="00975AF8" w:rsidRDefault="0042353E" w:rsidP="00975AF8">
      <w:pPr>
        <w:jc w:val="center"/>
        <w:rPr>
          <w:rFonts w:ascii="Verdana" w:hAnsi="Verdana"/>
          <w:b/>
          <w:bCs/>
          <w:sz w:val="22"/>
          <w:szCs w:val="22"/>
        </w:rPr>
      </w:pPr>
      <w:r w:rsidRPr="00975AF8">
        <w:rPr>
          <w:rFonts w:ascii="Verdana" w:hAnsi="Verdana"/>
          <w:b/>
          <w:bCs/>
          <w:sz w:val="22"/>
          <w:szCs w:val="22"/>
        </w:rPr>
        <w:t>RESUELVE:</w:t>
      </w:r>
    </w:p>
    <w:p w14:paraId="10AEA7E3" w14:textId="276F4356" w:rsidR="0042353E" w:rsidRPr="0042353E" w:rsidRDefault="0042353E" w:rsidP="0042353E">
      <w:pPr>
        <w:rPr>
          <w:rFonts w:ascii="Verdana" w:hAnsi="Verdana"/>
          <w:sz w:val="22"/>
          <w:szCs w:val="22"/>
        </w:rPr>
      </w:pPr>
      <w:r w:rsidRPr="00975AF8">
        <w:rPr>
          <w:rFonts w:ascii="Verdana" w:hAnsi="Verdana"/>
          <w:b/>
          <w:bCs/>
          <w:sz w:val="22"/>
          <w:szCs w:val="22"/>
        </w:rPr>
        <w:t>ARTÍCULO 1o.</w:t>
      </w:r>
      <w:r w:rsidRPr="0042353E">
        <w:rPr>
          <w:rFonts w:ascii="Verdana" w:hAnsi="Verdana"/>
          <w:sz w:val="22"/>
          <w:szCs w:val="22"/>
        </w:rPr>
        <w:t xml:space="preserve"> Adoptar los formatos en los cuales las Direcciones Regionales reportarán sus informes a la Dirección General.</w:t>
      </w:r>
    </w:p>
    <w:p w14:paraId="117CBE29" w14:textId="77EF116C" w:rsidR="0042353E" w:rsidRPr="0042353E" w:rsidRDefault="0042353E" w:rsidP="0042353E">
      <w:pPr>
        <w:rPr>
          <w:rFonts w:ascii="Verdana" w:hAnsi="Verdana"/>
          <w:sz w:val="22"/>
          <w:szCs w:val="22"/>
        </w:rPr>
      </w:pPr>
      <w:r w:rsidRPr="00975AF8">
        <w:rPr>
          <w:rFonts w:ascii="Verdana" w:hAnsi="Verdana"/>
          <w:b/>
          <w:bCs/>
          <w:sz w:val="22"/>
          <w:szCs w:val="22"/>
        </w:rPr>
        <w:t>PARÁGRAFO.</w:t>
      </w:r>
      <w:r w:rsidRPr="0042353E">
        <w:rPr>
          <w:rFonts w:ascii="Verdana" w:hAnsi="Verdana"/>
          <w:sz w:val="22"/>
          <w:szCs w:val="22"/>
        </w:rPr>
        <w:t xml:space="preserve"> Para el diligenciamiento de los formatos se tendrán en cuenta las siguientes instrucciones:</w:t>
      </w:r>
    </w:p>
    <w:p w14:paraId="7997E6AF" w14:textId="77777777" w:rsidR="0042353E" w:rsidRPr="0042353E" w:rsidRDefault="0042353E" w:rsidP="0042353E">
      <w:pPr>
        <w:rPr>
          <w:rFonts w:ascii="Verdana" w:hAnsi="Verdana"/>
          <w:sz w:val="22"/>
          <w:szCs w:val="22"/>
        </w:rPr>
      </w:pPr>
      <w:r w:rsidRPr="0042353E">
        <w:rPr>
          <w:rFonts w:ascii="Verdana" w:hAnsi="Verdana"/>
          <w:sz w:val="22"/>
          <w:szCs w:val="22"/>
        </w:rPr>
        <w:t>El nombre de los formatos está conformado por los siguientes campos que permiten su identificación, dando cuenta de la dependencia que solicita, fecha de reporte, periodicidad y grupo de la Dirección Regional que reporta, así:</w:t>
      </w:r>
    </w:p>
    <w:tbl>
      <w:tblPr>
        <w:tblStyle w:val="Tablaconcuadrcula"/>
        <w:tblW w:w="5050" w:type="pct"/>
        <w:tblLook w:val="04A0" w:firstRow="1" w:lastRow="0" w:firstColumn="1" w:lastColumn="0" w:noHBand="0" w:noVBand="1"/>
      </w:tblPr>
      <w:tblGrid>
        <w:gridCol w:w="3878"/>
        <w:gridCol w:w="1195"/>
        <w:gridCol w:w="1748"/>
        <w:gridCol w:w="2095"/>
      </w:tblGrid>
      <w:tr w:rsidR="00C567A3" w:rsidRPr="00C567A3" w14:paraId="0CC177E4" w14:textId="77777777" w:rsidTr="00975AF8">
        <w:tc>
          <w:tcPr>
            <w:tcW w:w="2200" w:type="pct"/>
            <w:hideMark/>
          </w:tcPr>
          <w:p w14:paraId="0AB1BEAF" w14:textId="77777777" w:rsidR="00C567A3" w:rsidRPr="00C567A3" w:rsidRDefault="00C567A3" w:rsidP="00C567A3">
            <w:pPr>
              <w:spacing w:after="160"/>
              <w:rPr>
                <w:rFonts w:ascii="Verdana" w:hAnsi="Verdana"/>
                <w:sz w:val="22"/>
                <w:szCs w:val="22"/>
              </w:rPr>
            </w:pPr>
            <w:r w:rsidRPr="00C567A3">
              <w:rPr>
                <w:rFonts w:ascii="Verdana" w:hAnsi="Verdana"/>
                <w:b/>
                <w:bCs/>
                <w:sz w:val="22"/>
                <w:szCs w:val="22"/>
              </w:rPr>
              <w:lastRenderedPageBreak/>
              <w:t>Consecutivo Formato por proceso</w:t>
            </w:r>
          </w:p>
        </w:tc>
        <w:tc>
          <w:tcPr>
            <w:tcW w:w="650" w:type="pct"/>
            <w:hideMark/>
          </w:tcPr>
          <w:p w14:paraId="5FECE915" w14:textId="77777777" w:rsidR="00C567A3" w:rsidRPr="00C567A3" w:rsidRDefault="00C567A3" w:rsidP="00C567A3">
            <w:pPr>
              <w:spacing w:after="160"/>
              <w:rPr>
                <w:rFonts w:ascii="Verdana" w:hAnsi="Verdana"/>
                <w:sz w:val="22"/>
                <w:szCs w:val="22"/>
              </w:rPr>
            </w:pPr>
            <w:r w:rsidRPr="00C567A3">
              <w:rPr>
                <w:rFonts w:ascii="Verdana" w:hAnsi="Verdana"/>
                <w:b/>
                <w:bCs/>
                <w:sz w:val="22"/>
                <w:szCs w:val="22"/>
              </w:rPr>
              <w:t>Proceso</w:t>
            </w:r>
          </w:p>
        </w:tc>
        <w:tc>
          <w:tcPr>
            <w:tcW w:w="950" w:type="pct"/>
            <w:hideMark/>
          </w:tcPr>
          <w:p w14:paraId="1EB6BC99" w14:textId="77777777" w:rsidR="00C567A3" w:rsidRPr="00C567A3" w:rsidRDefault="00C567A3" w:rsidP="00C567A3">
            <w:pPr>
              <w:spacing w:after="160"/>
              <w:rPr>
                <w:rFonts w:ascii="Verdana" w:hAnsi="Verdana"/>
                <w:sz w:val="22"/>
                <w:szCs w:val="22"/>
              </w:rPr>
            </w:pPr>
            <w:r w:rsidRPr="00C567A3">
              <w:rPr>
                <w:rFonts w:ascii="Verdana" w:hAnsi="Verdana"/>
                <w:b/>
                <w:bCs/>
                <w:sz w:val="22"/>
                <w:szCs w:val="22"/>
              </w:rPr>
              <w:t>Periodicidad</w:t>
            </w:r>
          </w:p>
        </w:tc>
        <w:tc>
          <w:tcPr>
            <w:tcW w:w="1200" w:type="pct"/>
            <w:hideMark/>
          </w:tcPr>
          <w:p w14:paraId="636DF79F" w14:textId="77777777" w:rsidR="00C567A3" w:rsidRPr="00C567A3" w:rsidRDefault="00C567A3" w:rsidP="00C567A3">
            <w:pPr>
              <w:spacing w:after="160"/>
              <w:rPr>
                <w:rFonts w:ascii="Verdana" w:hAnsi="Verdana"/>
                <w:sz w:val="22"/>
                <w:szCs w:val="22"/>
              </w:rPr>
            </w:pPr>
            <w:r w:rsidRPr="00C567A3">
              <w:rPr>
                <w:rFonts w:ascii="Verdana" w:hAnsi="Verdana"/>
                <w:b/>
                <w:bCs/>
                <w:sz w:val="22"/>
                <w:szCs w:val="22"/>
              </w:rPr>
              <w:t>versión</w:t>
            </w:r>
          </w:p>
        </w:tc>
      </w:tr>
      <w:tr w:rsidR="00C567A3" w:rsidRPr="00C567A3" w14:paraId="07AA9E62" w14:textId="77777777" w:rsidTr="00975AF8">
        <w:tc>
          <w:tcPr>
            <w:tcW w:w="2200" w:type="pct"/>
            <w:hideMark/>
          </w:tcPr>
          <w:p w14:paraId="7521133B" w14:textId="77777777" w:rsidR="00C567A3" w:rsidRPr="00C567A3" w:rsidRDefault="00C567A3" w:rsidP="00C567A3">
            <w:pPr>
              <w:spacing w:after="160"/>
              <w:rPr>
                <w:rFonts w:ascii="Verdana" w:hAnsi="Verdana"/>
                <w:sz w:val="22"/>
                <w:szCs w:val="22"/>
              </w:rPr>
            </w:pPr>
            <w:r w:rsidRPr="00C567A3">
              <w:rPr>
                <w:rFonts w:ascii="Verdana" w:hAnsi="Verdana"/>
                <w:sz w:val="22"/>
                <w:szCs w:val="22"/>
              </w:rPr>
              <w:t xml:space="preserve">2 </w:t>
            </w:r>
            <w:proofErr w:type="gramStart"/>
            <w:r w:rsidRPr="00C567A3">
              <w:rPr>
                <w:rFonts w:ascii="Verdana" w:hAnsi="Verdana"/>
                <w:sz w:val="22"/>
                <w:szCs w:val="22"/>
              </w:rPr>
              <w:t>Letras</w:t>
            </w:r>
            <w:proofErr w:type="gramEnd"/>
          </w:p>
        </w:tc>
        <w:tc>
          <w:tcPr>
            <w:tcW w:w="650" w:type="pct"/>
            <w:hideMark/>
          </w:tcPr>
          <w:p w14:paraId="10EBC17D" w14:textId="77777777" w:rsidR="00C567A3" w:rsidRPr="00C567A3" w:rsidRDefault="00C567A3" w:rsidP="00C567A3">
            <w:pPr>
              <w:spacing w:after="160"/>
              <w:rPr>
                <w:rFonts w:ascii="Verdana" w:hAnsi="Verdana"/>
                <w:sz w:val="22"/>
                <w:szCs w:val="22"/>
              </w:rPr>
            </w:pPr>
            <w:r w:rsidRPr="00C567A3">
              <w:rPr>
                <w:rFonts w:ascii="Verdana" w:hAnsi="Verdana"/>
                <w:sz w:val="22"/>
                <w:szCs w:val="22"/>
              </w:rPr>
              <w:t xml:space="preserve">2 </w:t>
            </w:r>
            <w:proofErr w:type="gramStart"/>
            <w:r w:rsidRPr="00C567A3">
              <w:rPr>
                <w:rFonts w:ascii="Verdana" w:hAnsi="Verdana"/>
                <w:sz w:val="22"/>
                <w:szCs w:val="22"/>
              </w:rPr>
              <w:t>Dígitos</w:t>
            </w:r>
            <w:proofErr w:type="gramEnd"/>
          </w:p>
        </w:tc>
        <w:tc>
          <w:tcPr>
            <w:tcW w:w="950" w:type="pct"/>
            <w:hideMark/>
          </w:tcPr>
          <w:p w14:paraId="3F6A800C" w14:textId="77777777" w:rsidR="00C567A3" w:rsidRPr="00C567A3" w:rsidRDefault="00C567A3" w:rsidP="00C567A3">
            <w:pPr>
              <w:spacing w:after="160"/>
              <w:rPr>
                <w:rFonts w:ascii="Verdana" w:hAnsi="Verdana"/>
                <w:sz w:val="22"/>
                <w:szCs w:val="22"/>
              </w:rPr>
            </w:pPr>
            <w:r w:rsidRPr="00C567A3">
              <w:rPr>
                <w:rFonts w:ascii="Verdana" w:hAnsi="Verdana"/>
                <w:sz w:val="22"/>
                <w:szCs w:val="22"/>
              </w:rPr>
              <w:t>1 o 2 Letras</w:t>
            </w:r>
          </w:p>
        </w:tc>
        <w:tc>
          <w:tcPr>
            <w:tcW w:w="1200" w:type="pct"/>
            <w:hideMark/>
          </w:tcPr>
          <w:p w14:paraId="73BF2991" w14:textId="77777777" w:rsidR="00C567A3" w:rsidRPr="00C567A3" w:rsidRDefault="00C567A3" w:rsidP="00C567A3">
            <w:pPr>
              <w:spacing w:after="160"/>
              <w:rPr>
                <w:rFonts w:ascii="Verdana" w:hAnsi="Verdana"/>
                <w:sz w:val="22"/>
                <w:szCs w:val="22"/>
              </w:rPr>
            </w:pPr>
            <w:r w:rsidRPr="00C567A3">
              <w:rPr>
                <w:rFonts w:ascii="Verdana" w:hAnsi="Verdana"/>
                <w:sz w:val="22"/>
                <w:szCs w:val="22"/>
              </w:rPr>
              <w:t>Versión v 2 Dígitos</w:t>
            </w:r>
          </w:p>
        </w:tc>
      </w:tr>
    </w:tbl>
    <w:p w14:paraId="378ACF13" w14:textId="77777777" w:rsidR="00C567A3" w:rsidRPr="00C567A3" w:rsidRDefault="00C567A3" w:rsidP="00C567A3">
      <w:pPr>
        <w:rPr>
          <w:rFonts w:ascii="Verdana" w:hAnsi="Verdana"/>
          <w:sz w:val="22"/>
          <w:szCs w:val="22"/>
        </w:rPr>
      </w:pPr>
      <w:r w:rsidRPr="00C567A3">
        <w:rPr>
          <w:rFonts w:ascii="Verdana" w:hAnsi="Verdana"/>
          <w:sz w:val="22"/>
          <w:szCs w:val="22"/>
        </w:rPr>
        <w:t>Ejemplo: F01.PA</w:t>
      </w:r>
      <w:proofErr w:type="gramStart"/>
      <w:r w:rsidRPr="00C567A3">
        <w:rPr>
          <w:rFonts w:ascii="Verdana" w:hAnsi="Verdana"/>
          <w:sz w:val="22"/>
          <w:szCs w:val="22"/>
        </w:rPr>
        <w:t>03.A</w:t>
      </w:r>
      <w:proofErr w:type="gramEnd"/>
      <w:r w:rsidRPr="00C567A3">
        <w:rPr>
          <w:rFonts w:ascii="Verdana" w:hAnsi="Verdana"/>
          <w:sz w:val="22"/>
          <w:szCs w:val="22"/>
        </w:rPr>
        <w:t xml:space="preserve"> Versión 1.0</w:t>
      </w:r>
    </w:p>
    <w:tbl>
      <w:tblPr>
        <w:tblStyle w:val="Tablaconcuadrcula"/>
        <w:tblW w:w="4700" w:type="pct"/>
        <w:tblLook w:val="04A0" w:firstRow="1" w:lastRow="0" w:firstColumn="1" w:lastColumn="0" w:noHBand="0" w:noVBand="1"/>
      </w:tblPr>
      <w:tblGrid>
        <w:gridCol w:w="4005"/>
        <w:gridCol w:w="1195"/>
        <w:gridCol w:w="1748"/>
        <w:gridCol w:w="1350"/>
      </w:tblGrid>
      <w:tr w:rsidR="00C567A3" w:rsidRPr="00C567A3" w14:paraId="140FB50A" w14:textId="77777777" w:rsidTr="00975AF8">
        <w:tc>
          <w:tcPr>
            <w:tcW w:w="2450" w:type="pct"/>
            <w:hideMark/>
          </w:tcPr>
          <w:p w14:paraId="6336CB97" w14:textId="77777777" w:rsidR="00C567A3" w:rsidRPr="00C567A3" w:rsidRDefault="00C567A3" w:rsidP="00C567A3">
            <w:pPr>
              <w:spacing w:after="160"/>
              <w:rPr>
                <w:rFonts w:ascii="Verdana" w:hAnsi="Verdana"/>
                <w:sz w:val="22"/>
                <w:szCs w:val="22"/>
              </w:rPr>
            </w:pPr>
            <w:r w:rsidRPr="00C567A3">
              <w:rPr>
                <w:rFonts w:ascii="Verdana" w:hAnsi="Verdana"/>
                <w:b/>
                <w:bCs/>
                <w:sz w:val="22"/>
                <w:szCs w:val="22"/>
              </w:rPr>
              <w:t>Consecutivo Formato por Proceso</w:t>
            </w:r>
          </w:p>
        </w:tc>
        <w:tc>
          <w:tcPr>
            <w:tcW w:w="700" w:type="pct"/>
            <w:hideMark/>
          </w:tcPr>
          <w:p w14:paraId="482D48D4" w14:textId="77777777" w:rsidR="00C567A3" w:rsidRPr="00C567A3" w:rsidRDefault="00C567A3" w:rsidP="00C567A3">
            <w:pPr>
              <w:spacing w:after="160"/>
              <w:rPr>
                <w:rFonts w:ascii="Verdana" w:hAnsi="Verdana"/>
                <w:sz w:val="22"/>
                <w:szCs w:val="22"/>
              </w:rPr>
            </w:pPr>
            <w:r w:rsidRPr="00C567A3">
              <w:rPr>
                <w:rFonts w:ascii="Verdana" w:hAnsi="Verdana"/>
                <w:b/>
                <w:bCs/>
                <w:sz w:val="22"/>
                <w:szCs w:val="22"/>
              </w:rPr>
              <w:t>Proceso</w:t>
            </w:r>
          </w:p>
        </w:tc>
        <w:tc>
          <w:tcPr>
            <w:tcW w:w="1000" w:type="pct"/>
            <w:hideMark/>
          </w:tcPr>
          <w:p w14:paraId="0C4FD937" w14:textId="77777777" w:rsidR="00C567A3" w:rsidRPr="00C567A3" w:rsidRDefault="00C567A3" w:rsidP="00C567A3">
            <w:pPr>
              <w:spacing w:after="160"/>
              <w:rPr>
                <w:rFonts w:ascii="Verdana" w:hAnsi="Verdana"/>
                <w:sz w:val="22"/>
                <w:szCs w:val="22"/>
              </w:rPr>
            </w:pPr>
            <w:r w:rsidRPr="00C567A3">
              <w:rPr>
                <w:rFonts w:ascii="Verdana" w:hAnsi="Verdana"/>
                <w:b/>
                <w:bCs/>
                <w:sz w:val="22"/>
                <w:szCs w:val="22"/>
              </w:rPr>
              <w:t>Periodicidad</w:t>
            </w:r>
          </w:p>
        </w:tc>
        <w:tc>
          <w:tcPr>
            <w:tcW w:w="850" w:type="pct"/>
            <w:hideMark/>
          </w:tcPr>
          <w:p w14:paraId="6E4CD18B" w14:textId="77777777" w:rsidR="00C567A3" w:rsidRPr="00C567A3" w:rsidRDefault="00C567A3" w:rsidP="00C567A3">
            <w:pPr>
              <w:spacing w:after="160"/>
              <w:rPr>
                <w:rFonts w:ascii="Verdana" w:hAnsi="Verdana"/>
                <w:sz w:val="22"/>
                <w:szCs w:val="22"/>
              </w:rPr>
            </w:pPr>
            <w:r w:rsidRPr="00C567A3">
              <w:rPr>
                <w:rFonts w:ascii="Verdana" w:hAnsi="Verdana"/>
                <w:b/>
                <w:bCs/>
                <w:sz w:val="22"/>
                <w:szCs w:val="22"/>
              </w:rPr>
              <w:t>Versión</w:t>
            </w:r>
          </w:p>
        </w:tc>
      </w:tr>
      <w:tr w:rsidR="00C567A3" w:rsidRPr="00C567A3" w14:paraId="5E9E1F23" w14:textId="77777777" w:rsidTr="00975AF8">
        <w:tc>
          <w:tcPr>
            <w:tcW w:w="2450" w:type="pct"/>
            <w:hideMark/>
          </w:tcPr>
          <w:p w14:paraId="39A0F7B5" w14:textId="77777777" w:rsidR="00C567A3" w:rsidRPr="00C567A3" w:rsidRDefault="00C567A3" w:rsidP="00C567A3">
            <w:pPr>
              <w:spacing w:after="160"/>
              <w:rPr>
                <w:rFonts w:ascii="Verdana" w:hAnsi="Verdana"/>
                <w:sz w:val="22"/>
                <w:szCs w:val="22"/>
              </w:rPr>
            </w:pPr>
            <w:r w:rsidRPr="00C567A3">
              <w:rPr>
                <w:rFonts w:ascii="Verdana" w:hAnsi="Verdana"/>
                <w:sz w:val="22"/>
                <w:szCs w:val="22"/>
              </w:rPr>
              <w:t>F01</w:t>
            </w:r>
          </w:p>
        </w:tc>
        <w:tc>
          <w:tcPr>
            <w:tcW w:w="700" w:type="pct"/>
            <w:hideMark/>
          </w:tcPr>
          <w:p w14:paraId="6F4BA1A2" w14:textId="77777777" w:rsidR="00C567A3" w:rsidRPr="00C567A3" w:rsidRDefault="00C567A3" w:rsidP="00C567A3">
            <w:pPr>
              <w:spacing w:after="160"/>
              <w:rPr>
                <w:rFonts w:ascii="Verdana" w:hAnsi="Verdana"/>
                <w:sz w:val="22"/>
                <w:szCs w:val="22"/>
              </w:rPr>
            </w:pPr>
            <w:r w:rsidRPr="00C567A3">
              <w:rPr>
                <w:rFonts w:ascii="Verdana" w:hAnsi="Verdana"/>
                <w:sz w:val="22"/>
                <w:szCs w:val="22"/>
              </w:rPr>
              <w:t>PA01</w:t>
            </w:r>
          </w:p>
        </w:tc>
        <w:tc>
          <w:tcPr>
            <w:tcW w:w="1000" w:type="pct"/>
            <w:hideMark/>
          </w:tcPr>
          <w:p w14:paraId="4384BD9C" w14:textId="77777777" w:rsidR="00C567A3" w:rsidRPr="00C567A3" w:rsidRDefault="00C567A3" w:rsidP="00C567A3">
            <w:pPr>
              <w:spacing w:after="160"/>
              <w:rPr>
                <w:rFonts w:ascii="Verdana" w:hAnsi="Verdana"/>
                <w:sz w:val="22"/>
                <w:szCs w:val="22"/>
              </w:rPr>
            </w:pPr>
            <w:r w:rsidRPr="00C567A3">
              <w:rPr>
                <w:rFonts w:ascii="Verdana" w:hAnsi="Verdana"/>
                <w:sz w:val="22"/>
                <w:szCs w:val="22"/>
              </w:rPr>
              <w:t>A</w:t>
            </w:r>
          </w:p>
        </w:tc>
        <w:tc>
          <w:tcPr>
            <w:tcW w:w="850" w:type="pct"/>
            <w:hideMark/>
          </w:tcPr>
          <w:p w14:paraId="566AE9F4" w14:textId="77777777" w:rsidR="00C567A3" w:rsidRPr="00C567A3" w:rsidRDefault="00C567A3" w:rsidP="00C567A3">
            <w:pPr>
              <w:spacing w:after="160"/>
              <w:rPr>
                <w:rFonts w:ascii="Verdana" w:hAnsi="Verdana"/>
                <w:sz w:val="22"/>
                <w:szCs w:val="22"/>
              </w:rPr>
            </w:pPr>
            <w:r w:rsidRPr="00C567A3">
              <w:rPr>
                <w:rFonts w:ascii="Verdana" w:hAnsi="Verdana"/>
                <w:sz w:val="22"/>
                <w:szCs w:val="22"/>
              </w:rPr>
              <w:t>Versión 1.0</w:t>
            </w:r>
          </w:p>
        </w:tc>
      </w:tr>
    </w:tbl>
    <w:p w14:paraId="731D7853" w14:textId="77777777" w:rsidR="00C567A3" w:rsidRPr="00C567A3" w:rsidRDefault="00C567A3" w:rsidP="00C567A3">
      <w:pPr>
        <w:rPr>
          <w:rFonts w:ascii="Verdana" w:hAnsi="Verdana"/>
          <w:sz w:val="22"/>
          <w:szCs w:val="22"/>
        </w:rPr>
      </w:pPr>
      <w:r w:rsidRPr="00C567A3">
        <w:rPr>
          <w:rFonts w:ascii="Verdana" w:hAnsi="Verdana"/>
          <w:sz w:val="22"/>
          <w:szCs w:val="22"/>
        </w:rPr>
        <w:t>Se lee como:</w:t>
      </w:r>
    </w:p>
    <w:p w14:paraId="4C9DF699" w14:textId="77777777" w:rsidR="00C567A3" w:rsidRPr="00C567A3" w:rsidRDefault="00C567A3" w:rsidP="00C567A3">
      <w:pPr>
        <w:rPr>
          <w:rFonts w:ascii="Verdana" w:hAnsi="Verdana"/>
          <w:sz w:val="22"/>
          <w:szCs w:val="22"/>
        </w:rPr>
      </w:pPr>
      <w:r w:rsidRPr="00C567A3">
        <w:rPr>
          <w:rFonts w:ascii="Verdana" w:hAnsi="Verdana"/>
          <w:sz w:val="22"/>
          <w:szCs w:val="22"/>
        </w:rPr>
        <w:t>Formato 1 del proceso Gestión Humana, periodicidad de entrega anual. Versión 1.0 (Plan de Bienestar social y estímulos).</w:t>
      </w:r>
    </w:p>
    <w:p w14:paraId="630A1B87" w14:textId="77777777" w:rsidR="00C567A3" w:rsidRPr="00C567A3" w:rsidRDefault="00C567A3" w:rsidP="00C567A3">
      <w:pPr>
        <w:rPr>
          <w:rFonts w:ascii="Verdana" w:hAnsi="Verdana"/>
          <w:sz w:val="22"/>
          <w:szCs w:val="22"/>
        </w:rPr>
      </w:pPr>
      <w:r w:rsidRPr="00C567A3">
        <w:rPr>
          <w:rFonts w:ascii="Verdana" w:hAnsi="Verdana"/>
          <w:b/>
          <w:bCs/>
          <w:sz w:val="22"/>
          <w:szCs w:val="22"/>
        </w:rPr>
        <w:t>Periodicidad</w:t>
      </w:r>
      <w:r w:rsidRPr="00C567A3">
        <w:rPr>
          <w:rFonts w:ascii="Verdana" w:hAnsi="Verdana"/>
          <w:sz w:val="22"/>
          <w:szCs w:val="22"/>
        </w:rPr>
        <w:t>:</w:t>
      </w:r>
    </w:p>
    <w:tbl>
      <w:tblPr>
        <w:tblStyle w:val="Tablaconcuadrcula"/>
        <w:tblW w:w="5050" w:type="pct"/>
        <w:tblLook w:val="04A0" w:firstRow="1" w:lastRow="0" w:firstColumn="1" w:lastColumn="0" w:noHBand="0" w:noVBand="1"/>
      </w:tblPr>
      <w:tblGrid>
        <w:gridCol w:w="923"/>
        <w:gridCol w:w="1460"/>
        <w:gridCol w:w="1905"/>
        <w:gridCol w:w="1492"/>
        <w:gridCol w:w="1400"/>
        <w:gridCol w:w="1237"/>
        <w:gridCol w:w="1447"/>
        <w:gridCol w:w="1278"/>
        <w:gridCol w:w="957"/>
        <w:gridCol w:w="1719"/>
        <w:gridCol w:w="1292"/>
      </w:tblGrid>
      <w:tr w:rsidR="00C567A3" w:rsidRPr="00C567A3" w14:paraId="1D5FFBAF" w14:textId="77777777" w:rsidTr="00975AF8">
        <w:tc>
          <w:tcPr>
            <w:tcW w:w="250" w:type="pct"/>
            <w:hideMark/>
          </w:tcPr>
          <w:p w14:paraId="15CF02FB" w14:textId="77777777" w:rsidR="00C567A3" w:rsidRPr="00C567A3" w:rsidRDefault="00C567A3" w:rsidP="00C567A3">
            <w:pPr>
              <w:spacing w:after="160"/>
              <w:rPr>
                <w:rFonts w:ascii="Verdana" w:hAnsi="Verdana"/>
                <w:sz w:val="22"/>
                <w:szCs w:val="22"/>
              </w:rPr>
            </w:pPr>
            <w:r w:rsidRPr="00C567A3">
              <w:rPr>
                <w:rFonts w:ascii="Verdana" w:hAnsi="Verdana"/>
                <w:b/>
                <w:bCs/>
                <w:sz w:val="22"/>
                <w:szCs w:val="22"/>
              </w:rPr>
              <w:t>Anual</w:t>
            </w:r>
          </w:p>
        </w:tc>
        <w:tc>
          <w:tcPr>
            <w:tcW w:w="500" w:type="pct"/>
            <w:hideMark/>
          </w:tcPr>
          <w:p w14:paraId="41B2111A" w14:textId="77777777" w:rsidR="00C567A3" w:rsidRPr="00C567A3" w:rsidRDefault="00C567A3" w:rsidP="00C567A3">
            <w:pPr>
              <w:spacing w:after="160"/>
              <w:rPr>
                <w:rFonts w:ascii="Verdana" w:hAnsi="Verdana"/>
                <w:sz w:val="22"/>
                <w:szCs w:val="22"/>
              </w:rPr>
            </w:pPr>
            <w:r w:rsidRPr="00C567A3">
              <w:rPr>
                <w:rFonts w:ascii="Verdana" w:hAnsi="Verdana"/>
                <w:b/>
                <w:bCs/>
                <w:sz w:val="22"/>
                <w:szCs w:val="22"/>
              </w:rPr>
              <w:t>Semestral</w:t>
            </w:r>
          </w:p>
        </w:tc>
        <w:tc>
          <w:tcPr>
            <w:tcW w:w="600" w:type="pct"/>
            <w:hideMark/>
          </w:tcPr>
          <w:p w14:paraId="6746FBF1" w14:textId="77777777" w:rsidR="00C567A3" w:rsidRPr="00C567A3" w:rsidRDefault="00C567A3" w:rsidP="00C567A3">
            <w:pPr>
              <w:spacing w:after="160"/>
              <w:rPr>
                <w:rFonts w:ascii="Verdana" w:hAnsi="Verdana"/>
                <w:sz w:val="22"/>
                <w:szCs w:val="22"/>
              </w:rPr>
            </w:pPr>
            <w:r w:rsidRPr="00C567A3">
              <w:rPr>
                <w:rFonts w:ascii="Verdana" w:hAnsi="Verdana"/>
                <w:b/>
                <w:bCs/>
                <w:sz w:val="22"/>
                <w:szCs w:val="22"/>
              </w:rPr>
              <w:t>Cuatrimestral</w:t>
            </w:r>
          </w:p>
        </w:tc>
        <w:tc>
          <w:tcPr>
            <w:tcW w:w="500" w:type="pct"/>
            <w:hideMark/>
          </w:tcPr>
          <w:p w14:paraId="293C432A" w14:textId="77777777" w:rsidR="00C567A3" w:rsidRPr="00C567A3" w:rsidRDefault="00C567A3" w:rsidP="00C567A3">
            <w:pPr>
              <w:spacing w:after="160"/>
              <w:rPr>
                <w:rFonts w:ascii="Verdana" w:hAnsi="Verdana"/>
                <w:sz w:val="22"/>
                <w:szCs w:val="22"/>
              </w:rPr>
            </w:pPr>
            <w:r w:rsidRPr="00C567A3">
              <w:rPr>
                <w:rFonts w:ascii="Verdana" w:hAnsi="Verdana"/>
                <w:b/>
                <w:bCs/>
                <w:sz w:val="22"/>
                <w:szCs w:val="22"/>
              </w:rPr>
              <w:t>Trimestral</w:t>
            </w:r>
          </w:p>
        </w:tc>
        <w:tc>
          <w:tcPr>
            <w:tcW w:w="450" w:type="pct"/>
            <w:hideMark/>
          </w:tcPr>
          <w:p w14:paraId="07E96A58" w14:textId="77777777" w:rsidR="00C567A3" w:rsidRPr="00C567A3" w:rsidRDefault="00C567A3" w:rsidP="00C567A3">
            <w:pPr>
              <w:spacing w:after="160"/>
              <w:rPr>
                <w:rFonts w:ascii="Verdana" w:hAnsi="Verdana"/>
                <w:sz w:val="22"/>
                <w:szCs w:val="22"/>
              </w:rPr>
            </w:pPr>
            <w:r w:rsidRPr="00C567A3">
              <w:rPr>
                <w:rFonts w:ascii="Verdana" w:hAnsi="Verdana"/>
                <w:b/>
                <w:bCs/>
                <w:sz w:val="22"/>
                <w:szCs w:val="22"/>
              </w:rPr>
              <w:t>Bimestral</w:t>
            </w:r>
          </w:p>
        </w:tc>
        <w:tc>
          <w:tcPr>
            <w:tcW w:w="450" w:type="pct"/>
            <w:hideMark/>
          </w:tcPr>
          <w:p w14:paraId="20A15B68" w14:textId="77777777" w:rsidR="00C567A3" w:rsidRPr="00C567A3" w:rsidRDefault="00C567A3" w:rsidP="00C567A3">
            <w:pPr>
              <w:spacing w:after="160"/>
              <w:rPr>
                <w:rFonts w:ascii="Verdana" w:hAnsi="Verdana"/>
                <w:sz w:val="22"/>
                <w:szCs w:val="22"/>
              </w:rPr>
            </w:pPr>
            <w:r w:rsidRPr="00C567A3">
              <w:rPr>
                <w:rFonts w:ascii="Verdana" w:hAnsi="Verdana"/>
                <w:b/>
                <w:bCs/>
                <w:sz w:val="22"/>
                <w:szCs w:val="22"/>
              </w:rPr>
              <w:t>Mensual</w:t>
            </w:r>
          </w:p>
        </w:tc>
        <w:tc>
          <w:tcPr>
            <w:tcW w:w="500" w:type="pct"/>
            <w:hideMark/>
          </w:tcPr>
          <w:p w14:paraId="693C696A" w14:textId="77777777" w:rsidR="00C567A3" w:rsidRPr="00C567A3" w:rsidRDefault="00C567A3" w:rsidP="00C567A3">
            <w:pPr>
              <w:spacing w:after="160"/>
              <w:rPr>
                <w:rFonts w:ascii="Verdana" w:hAnsi="Verdana"/>
                <w:sz w:val="22"/>
                <w:szCs w:val="22"/>
              </w:rPr>
            </w:pPr>
            <w:r w:rsidRPr="00C567A3">
              <w:rPr>
                <w:rFonts w:ascii="Verdana" w:hAnsi="Verdana"/>
                <w:b/>
                <w:bCs/>
                <w:sz w:val="22"/>
                <w:szCs w:val="22"/>
              </w:rPr>
              <w:t>Quincenal</w:t>
            </w:r>
          </w:p>
        </w:tc>
        <w:tc>
          <w:tcPr>
            <w:tcW w:w="450" w:type="pct"/>
            <w:hideMark/>
          </w:tcPr>
          <w:p w14:paraId="4DA4F008" w14:textId="77777777" w:rsidR="00C567A3" w:rsidRPr="00C567A3" w:rsidRDefault="00C567A3" w:rsidP="00C567A3">
            <w:pPr>
              <w:spacing w:after="160"/>
              <w:rPr>
                <w:rFonts w:ascii="Verdana" w:hAnsi="Verdana"/>
                <w:sz w:val="22"/>
                <w:szCs w:val="22"/>
              </w:rPr>
            </w:pPr>
            <w:r w:rsidRPr="00C567A3">
              <w:rPr>
                <w:rFonts w:ascii="Verdana" w:hAnsi="Verdana"/>
                <w:b/>
                <w:bCs/>
                <w:sz w:val="22"/>
                <w:szCs w:val="22"/>
              </w:rPr>
              <w:t>Semanal</w:t>
            </w:r>
          </w:p>
        </w:tc>
        <w:tc>
          <w:tcPr>
            <w:tcW w:w="350" w:type="pct"/>
            <w:hideMark/>
          </w:tcPr>
          <w:p w14:paraId="4B994BA8" w14:textId="77777777" w:rsidR="00C567A3" w:rsidRPr="00C567A3" w:rsidRDefault="00C567A3" w:rsidP="00C567A3">
            <w:pPr>
              <w:spacing w:after="160"/>
              <w:rPr>
                <w:rFonts w:ascii="Verdana" w:hAnsi="Verdana"/>
                <w:sz w:val="22"/>
                <w:szCs w:val="22"/>
              </w:rPr>
            </w:pPr>
            <w:r w:rsidRPr="00C567A3">
              <w:rPr>
                <w:rFonts w:ascii="Verdana" w:hAnsi="Verdana"/>
                <w:b/>
                <w:bCs/>
                <w:sz w:val="22"/>
                <w:szCs w:val="22"/>
              </w:rPr>
              <w:t>Diario</w:t>
            </w:r>
          </w:p>
        </w:tc>
        <w:tc>
          <w:tcPr>
            <w:tcW w:w="550" w:type="pct"/>
            <w:hideMark/>
          </w:tcPr>
          <w:p w14:paraId="52F84352" w14:textId="77777777" w:rsidR="00C567A3" w:rsidRPr="00C567A3" w:rsidRDefault="00C567A3" w:rsidP="00C567A3">
            <w:pPr>
              <w:spacing w:after="160"/>
              <w:rPr>
                <w:rFonts w:ascii="Verdana" w:hAnsi="Verdana"/>
                <w:sz w:val="22"/>
                <w:szCs w:val="22"/>
              </w:rPr>
            </w:pPr>
            <w:r w:rsidRPr="00C567A3">
              <w:rPr>
                <w:rFonts w:ascii="Verdana" w:hAnsi="Verdana"/>
                <w:b/>
                <w:bCs/>
                <w:sz w:val="22"/>
                <w:szCs w:val="22"/>
              </w:rPr>
              <w:t>Permanente</w:t>
            </w:r>
          </w:p>
        </w:tc>
        <w:tc>
          <w:tcPr>
            <w:tcW w:w="450" w:type="pct"/>
            <w:hideMark/>
          </w:tcPr>
          <w:p w14:paraId="193B9215" w14:textId="77777777" w:rsidR="00C567A3" w:rsidRPr="00C567A3" w:rsidRDefault="00C567A3" w:rsidP="00C567A3">
            <w:pPr>
              <w:spacing w:after="160"/>
              <w:rPr>
                <w:rFonts w:ascii="Verdana" w:hAnsi="Verdana"/>
                <w:sz w:val="22"/>
                <w:szCs w:val="22"/>
              </w:rPr>
            </w:pPr>
            <w:r w:rsidRPr="00C567A3">
              <w:rPr>
                <w:rFonts w:ascii="Verdana" w:hAnsi="Verdana"/>
                <w:b/>
                <w:bCs/>
                <w:sz w:val="22"/>
                <w:szCs w:val="22"/>
              </w:rPr>
              <w:t>Eventual</w:t>
            </w:r>
          </w:p>
        </w:tc>
      </w:tr>
      <w:tr w:rsidR="00C567A3" w:rsidRPr="00C567A3" w14:paraId="1DD5614C" w14:textId="77777777" w:rsidTr="00975AF8">
        <w:tc>
          <w:tcPr>
            <w:tcW w:w="250" w:type="pct"/>
            <w:hideMark/>
          </w:tcPr>
          <w:p w14:paraId="06472A11" w14:textId="77777777" w:rsidR="00C567A3" w:rsidRPr="00C567A3" w:rsidRDefault="00C567A3" w:rsidP="00C567A3">
            <w:pPr>
              <w:spacing w:after="160"/>
              <w:rPr>
                <w:rFonts w:ascii="Verdana" w:hAnsi="Verdana"/>
                <w:sz w:val="22"/>
                <w:szCs w:val="22"/>
              </w:rPr>
            </w:pPr>
            <w:r w:rsidRPr="00C567A3">
              <w:rPr>
                <w:rFonts w:ascii="Verdana" w:hAnsi="Verdana"/>
                <w:sz w:val="22"/>
                <w:szCs w:val="22"/>
              </w:rPr>
              <w:t>A</w:t>
            </w:r>
          </w:p>
        </w:tc>
        <w:tc>
          <w:tcPr>
            <w:tcW w:w="500" w:type="pct"/>
            <w:hideMark/>
          </w:tcPr>
          <w:p w14:paraId="73257835" w14:textId="77777777" w:rsidR="00C567A3" w:rsidRPr="00C567A3" w:rsidRDefault="00C567A3" w:rsidP="00C567A3">
            <w:pPr>
              <w:spacing w:after="160"/>
              <w:rPr>
                <w:rFonts w:ascii="Verdana" w:hAnsi="Verdana"/>
                <w:sz w:val="22"/>
                <w:szCs w:val="22"/>
              </w:rPr>
            </w:pPr>
            <w:r w:rsidRPr="00C567A3">
              <w:rPr>
                <w:rFonts w:ascii="Verdana" w:hAnsi="Verdana"/>
                <w:sz w:val="22"/>
                <w:szCs w:val="22"/>
              </w:rPr>
              <w:t>SM</w:t>
            </w:r>
          </w:p>
        </w:tc>
        <w:tc>
          <w:tcPr>
            <w:tcW w:w="600" w:type="pct"/>
            <w:hideMark/>
          </w:tcPr>
          <w:p w14:paraId="7F8185A2" w14:textId="77777777" w:rsidR="00C567A3" w:rsidRPr="00C567A3" w:rsidRDefault="00C567A3" w:rsidP="00C567A3">
            <w:pPr>
              <w:spacing w:after="160"/>
              <w:rPr>
                <w:rFonts w:ascii="Verdana" w:hAnsi="Verdana"/>
                <w:sz w:val="22"/>
                <w:szCs w:val="22"/>
              </w:rPr>
            </w:pPr>
            <w:r w:rsidRPr="00C567A3">
              <w:rPr>
                <w:rFonts w:ascii="Verdana" w:hAnsi="Verdana"/>
                <w:sz w:val="22"/>
                <w:szCs w:val="22"/>
              </w:rPr>
              <w:t>C</w:t>
            </w:r>
          </w:p>
        </w:tc>
        <w:tc>
          <w:tcPr>
            <w:tcW w:w="500" w:type="pct"/>
            <w:hideMark/>
          </w:tcPr>
          <w:p w14:paraId="26F085C6" w14:textId="77777777" w:rsidR="00C567A3" w:rsidRPr="00C567A3" w:rsidRDefault="00C567A3" w:rsidP="00C567A3">
            <w:pPr>
              <w:spacing w:after="160"/>
              <w:rPr>
                <w:rFonts w:ascii="Verdana" w:hAnsi="Verdana"/>
                <w:sz w:val="22"/>
                <w:szCs w:val="22"/>
              </w:rPr>
            </w:pPr>
            <w:r w:rsidRPr="00C567A3">
              <w:rPr>
                <w:rFonts w:ascii="Verdana" w:hAnsi="Verdana"/>
                <w:sz w:val="22"/>
                <w:szCs w:val="22"/>
              </w:rPr>
              <w:t>T</w:t>
            </w:r>
          </w:p>
        </w:tc>
        <w:tc>
          <w:tcPr>
            <w:tcW w:w="450" w:type="pct"/>
            <w:hideMark/>
          </w:tcPr>
          <w:p w14:paraId="7448C263" w14:textId="77777777" w:rsidR="00C567A3" w:rsidRPr="00C567A3" w:rsidRDefault="00C567A3" w:rsidP="00C567A3">
            <w:pPr>
              <w:spacing w:after="160"/>
              <w:rPr>
                <w:rFonts w:ascii="Verdana" w:hAnsi="Verdana"/>
                <w:sz w:val="22"/>
                <w:szCs w:val="22"/>
              </w:rPr>
            </w:pPr>
            <w:r w:rsidRPr="00C567A3">
              <w:rPr>
                <w:rFonts w:ascii="Verdana" w:hAnsi="Verdana"/>
                <w:sz w:val="22"/>
                <w:szCs w:val="22"/>
              </w:rPr>
              <w:t>B</w:t>
            </w:r>
          </w:p>
        </w:tc>
        <w:tc>
          <w:tcPr>
            <w:tcW w:w="450" w:type="pct"/>
            <w:hideMark/>
          </w:tcPr>
          <w:p w14:paraId="2656386B" w14:textId="77777777" w:rsidR="00C567A3" w:rsidRPr="00C567A3" w:rsidRDefault="00C567A3" w:rsidP="00C567A3">
            <w:pPr>
              <w:spacing w:after="160"/>
              <w:rPr>
                <w:rFonts w:ascii="Verdana" w:hAnsi="Verdana"/>
                <w:sz w:val="22"/>
                <w:szCs w:val="22"/>
              </w:rPr>
            </w:pPr>
            <w:r w:rsidRPr="00C567A3">
              <w:rPr>
                <w:rFonts w:ascii="Verdana" w:hAnsi="Verdana"/>
                <w:sz w:val="22"/>
                <w:szCs w:val="22"/>
              </w:rPr>
              <w:t>M</w:t>
            </w:r>
          </w:p>
        </w:tc>
        <w:tc>
          <w:tcPr>
            <w:tcW w:w="500" w:type="pct"/>
            <w:hideMark/>
          </w:tcPr>
          <w:p w14:paraId="54BF1C70" w14:textId="77777777" w:rsidR="00C567A3" w:rsidRPr="00C567A3" w:rsidRDefault="00C567A3" w:rsidP="00C567A3">
            <w:pPr>
              <w:spacing w:after="160"/>
              <w:rPr>
                <w:rFonts w:ascii="Verdana" w:hAnsi="Verdana"/>
                <w:sz w:val="22"/>
                <w:szCs w:val="22"/>
              </w:rPr>
            </w:pPr>
            <w:r w:rsidRPr="00C567A3">
              <w:rPr>
                <w:rFonts w:ascii="Verdana" w:hAnsi="Verdana"/>
                <w:sz w:val="22"/>
                <w:szCs w:val="22"/>
              </w:rPr>
              <w:t>Q</w:t>
            </w:r>
          </w:p>
        </w:tc>
        <w:tc>
          <w:tcPr>
            <w:tcW w:w="450" w:type="pct"/>
            <w:hideMark/>
          </w:tcPr>
          <w:p w14:paraId="42B2DE09" w14:textId="77777777" w:rsidR="00C567A3" w:rsidRPr="00C567A3" w:rsidRDefault="00C567A3" w:rsidP="00C567A3">
            <w:pPr>
              <w:spacing w:after="160"/>
              <w:rPr>
                <w:rFonts w:ascii="Verdana" w:hAnsi="Verdana"/>
                <w:sz w:val="22"/>
                <w:szCs w:val="22"/>
              </w:rPr>
            </w:pPr>
            <w:r w:rsidRPr="00C567A3">
              <w:rPr>
                <w:rFonts w:ascii="Verdana" w:hAnsi="Verdana"/>
                <w:sz w:val="22"/>
                <w:szCs w:val="22"/>
              </w:rPr>
              <w:t>SE</w:t>
            </w:r>
          </w:p>
        </w:tc>
        <w:tc>
          <w:tcPr>
            <w:tcW w:w="350" w:type="pct"/>
            <w:hideMark/>
          </w:tcPr>
          <w:p w14:paraId="62FCE7F1" w14:textId="77777777" w:rsidR="00C567A3" w:rsidRPr="00C567A3" w:rsidRDefault="00C567A3" w:rsidP="00C567A3">
            <w:pPr>
              <w:spacing w:after="160"/>
              <w:rPr>
                <w:rFonts w:ascii="Verdana" w:hAnsi="Verdana"/>
                <w:sz w:val="22"/>
                <w:szCs w:val="22"/>
              </w:rPr>
            </w:pPr>
            <w:r w:rsidRPr="00C567A3">
              <w:rPr>
                <w:rFonts w:ascii="Verdana" w:hAnsi="Verdana"/>
                <w:sz w:val="22"/>
                <w:szCs w:val="22"/>
              </w:rPr>
              <w:t>D</w:t>
            </w:r>
          </w:p>
        </w:tc>
        <w:tc>
          <w:tcPr>
            <w:tcW w:w="550" w:type="pct"/>
            <w:hideMark/>
          </w:tcPr>
          <w:p w14:paraId="1B5AFF3D" w14:textId="77777777" w:rsidR="00C567A3" w:rsidRPr="00C567A3" w:rsidRDefault="00C567A3" w:rsidP="00C567A3">
            <w:pPr>
              <w:spacing w:after="160"/>
              <w:rPr>
                <w:rFonts w:ascii="Verdana" w:hAnsi="Verdana"/>
                <w:sz w:val="22"/>
                <w:szCs w:val="22"/>
              </w:rPr>
            </w:pPr>
            <w:r w:rsidRPr="00C567A3">
              <w:rPr>
                <w:rFonts w:ascii="Verdana" w:hAnsi="Verdana"/>
                <w:sz w:val="22"/>
                <w:szCs w:val="22"/>
              </w:rPr>
              <w:t>P</w:t>
            </w:r>
          </w:p>
        </w:tc>
        <w:tc>
          <w:tcPr>
            <w:tcW w:w="450" w:type="pct"/>
            <w:hideMark/>
          </w:tcPr>
          <w:p w14:paraId="0CFE9637" w14:textId="77777777" w:rsidR="00C567A3" w:rsidRPr="00C567A3" w:rsidRDefault="00C567A3" w:rsidP="00C567A3">
            <w:pPr>
              <w:spacing w:after="160"/>
              <w:rPr>
                <w:rFonts w:ascii="Verdana" w:hAnsi="Verdana"/>
                <w:sz w:val="22"/>
                <w:szCs w:val="22"/>
              </w:rPr>
            </w:pPr>
            <w:r w:rsidRPr="00C567A3">
              <w:rPr>
                <w:rFonts w:ascii="Verdana" w:hAnsi="Verdana"/>
                <w:sz w:val="22"/>
                <w:szCs w:val="22"/>
              </w:rPr>
              <w:t>E</w:t>
            </w:r>
          </w:p>
        </w:tc>
      </w:tr>
    </w:tbl>
    <w:p w14:paraId="1E02659F" w14:textId="77777777" w:rsidR="00C567A3" w:rsidRPr="00C567A3" w:rsidRDefault="00C567A3" w:rsidP="00C567A3">
      <w:pPr>
        <w:rPr>
          <w:rFonts w:ascii="Verdana" w:hAnsi="Verdana"/>
          <w:sz w:val="22"/>
          <w:szCs w:val="22"/>
        </w:rPr>
      </w:pPr>
      <w:r w:rsidRPr="00C567A3">
        <w:rPr>
          <w:rFonts w:ascii="Verdana" w:hAnsi="Verdana"/>
          <w:sz w:val="22"/>
          <w:szCs w:val="22"/>
        </w:rPr>
        <w:t>La siguiente tabla relaciona los códigos que identifican los procesos del ICBF y que hacen parte del código dado a los formatos que encontrará relacionados en el artículo segundo de la presente resolución:</w:t>
      </w:r>
    </w:p>
    <w:tbl>
      <w:tblPr>
        <w:tblStyle w:val="Tablaconcuadrcula"/>
        <w:tblW w:w="4900" w:type="pct"/>
        <w:tblLook w:val="04A0" w:firstRow="1" w:lastRow="0" w:firstColumn="1" w:lastColumn="0" w:noHBand="0" w:noVBand="1"/>
      </w:tblPr>
      <w:tblGrid>
        <w:gridCol w:w="2336"/>
        <w:gridCol w:w="6315"/>
      </w:tblGrid>
      <w:tr w:rsidR="00C567A3" w:rsidRPr="00C567A3" w14:paraId="17CD5F7B" w14:textId="77777777" w:rsidTr="00975AF8">
        <w:tc>
          <w:tcPr>
            <w:tcW w:w="1350" w:type="pct"/>
            <w:hideMark/>
          </w:tcPr>
          <w:p w14:paraId="5D014366" w14:textId="77777777" w:rsidR="00C567A3" w:rsidRPr="00C567A3" w:rsidRDefault="00C567A3" w:rsidP="00C567A3">
            <w:pPr>
              <w:spacing w:after="160"/>
              <w:rPr>
                <w:rFonts w:ascii="Verdana" w:hAnsi="Verdana"/>
                <w:sz w:val="22"/>
                <w:szCs w:val="22"/>
              </w:rPr>
            </w:pPr>
            <w:r w:rsidRPr="00C567A3">
              <w:rPr>
                <w:rFonts w:ascii="Verdana" w:hAnsi="Verdana"/>
                <w:b/>
                <w:bCs/>
                <w:sz w:val="22"/>
                <w:szCs w:val="22"/>
              </w:rPr>
              <w:t>Código del Proceso</w:t>
            </w:r>
          </w:p>
        </w:tc>
        <w:tc>
          <w:tcPr>
            <w:tcW w:w="3650" w:type="pct"/>
            <w:hideMark/>
          </w:tcPr>
          <w:p w14:paraId="14839A91" w14:textId="77777777" w:rsidR="00C567A3" w:rsidRPr="00C567A3" w:rsidRDefault="00C567A3" w:rsidP="00C567A3">
            <w:pPr>
              <w:spacing w:after="160"/>
              <w:rPr>
                <w:rFonts w:ascii="Verdana" w:hAnsi="Verdana"/>
                <w:sz w:val="22"/>
                <w:szCs w:val="22"/>
              </w:rPr>
            </w:pPr>
            <w:r w:rsidRPr="00C567A3">
              <w:rPr>
                <w:rFonts w:ascii="Verdana" w:hAnsi="Verdana"/>
                <w:b/>
                <w:bCs/>
                <w:sz w:val="22"/>
                <w:szCs w:val="22"/>
              </w:rPr>
              <w:t>Nombre del Proceso</w:t>
            </w:r>
          </w:p>
        </w:tc>
      </w:tr>
      <w:tr w:rsidR="00C567A3" w:rsidRPr="00C567A3" w14:paraId="36C4C28A" w14:textId="77777777" w:rsidTr="00975AF8">
        <w:tc>
          <w:tcPr>
            <w:tcW w:w="1350" w:type="pct"/>
            <w:hideMark/>
          </w:tcPr>
          <w:p w14:paraId="3CD4AB01" w14:textId="77777777" w:rsidR="00C567A3" w:rsidRPr="00C567A3" w:rsidRDefault="00C567A3" w:rsidP="00C567A3">
            <w:pPr>
              <w:spacing w:after="160"/>
              <w:rPr>
                <w:rFonts w:ascii="Verdana" w:hAnsi="Verdana"/>
                <w:sz w:val="22"/>
                <w:szCs w:val="22"/>
              </w:rPr>
            </w:pPr>
            <w:r w:rsidRPr="00C567A3">
              <w:rPr>
                <w:rFonts w:ascii="Verdana" w:hAnsi="Verdana"/>
                <w:sz w:val="22"/>
                <w:szCs w:val="22"/>
              </w:rPr>
              <w:t>PM04</w:t>
            </w:r>
          </w:p>
        </w:tc>
        <w:tc>
          <w:tcPr>
            <w:tcW w:w="3650" w:type="pct"/>
            <w:hideMark/>
          </w:tcPr>
          <w:p w14:paraId="45B11D7B" w14:textId="77777777" w:rsidR="00C567A3" w:rsidRPr="00C567A3" w:rsidRDefault="00C567A3" w:rsidP="00C567A3">
            <w:pPr>
              <w:spacing w:after="160"/>
              <w:rPr>
                <w:rFonts w:ascii="Verdana" w:hAnsi="Verdana"/>
                <w:sz w:val="22"/>
                <w:szCs w:val="22"/>
              </w:rPr>
            </w:pPr>
            <w:r w:rsidRPr="00C567A3">
              <w:rPr>
                <w:rFonts w:ascii="Verdana" w:hAnsi="Verdana"/>
                <w:sz w:val="22"/>
                <w:szCs w:val="22"/>
              </w:rPr>
              <w:t>Coordinación y Articulación del SNBF</w:t>
            </w:r>
          </w:p>
        </w:tc>
      </w:tr>
      <w:tr w:rsidR="00C567A3" w:rsidRPr="00C567A3" w14:paraId="11895AAB" w14:textId="77777777" w:rsidTr="00975AF8">
        <w:tc>
          <w:tcPr>
            <w:tcW w:w="1350" w:type="pct"/>
            <w:hideMark/>
          </w:tcPr>
          <w:p w14:paraId="3567ED38" w14:textId="77777777" w:rsidR="00C567A3" w:rsidRPr="00C567A3" w:rsidRDefault="00C567A3" w:rsidP="00C567A3">
            <w:pPr>
              <w:spacing w:after="160"/>
              <w:rPr>
                <w:rFonts w:ascii="Verdana" w:hAnsi="Verdana"/>
                <w:sz w:val="22"/>
                <w:szCs w:val="22"/>
              </w:rPr>
            </w:pPr>
            <w:r w:rsidRPr="00C567A3">
              <w:rPr>
                <w:rFonts w:ascii="Verdana" w:hAnsi="Verdana"/>
                <w:sz w:val="22"/>
                <w:szCs w:val="22"/>
              </w:rPr>
              <w:t>PA02</w:t>
            </w:r>
          </w:p>
        </w:tc>
        <w:tc>
          <w:tcPr>
            <w:tcW w:w="3650" w:type="pct"/>
            <w:hideMark/>
          </w:tcPr>
          <w:p w14:paraId="6F0442F3" w14:textId="77777777" w:rsidR="00C567A3" w:rsidRPr="00C567A3" w:rsidRDefault="00C567A3" w:rsidP="00C567A3">
            <w:pPr>
              <w:spacing w:after="160"/>
              <w:rPr>
                <w:rFonts w:ascii="Verdana" w:hAnsi="Verdana"/>
                <w:sz w:val="22"/>
                <w:szCs w:val="22"/>
              </w:rPr>
            </w:pPr>
            <w:r w:rsidRPr="00C567A3">
              <w:rPr>
                <w:rFonts w:ascii="Verdana" w:hAnsi="Verdana"/>
                <w:sz w:val="22"/>
                <w:szCs w:val="22"/>
              </w:rPr>
              <w:t>Gestión Financiera</w:t>
            </w:r>
          </w:p>
        </w:tc>
      </w:tr>
      <w:tr w:rsidR="00C567A3" w:rsidRPr="00C567A3" w14:paraId="69B03F70" w14:textId="77777777" w:rsidTr="00975AF8">
        <w:tc>
          <w:tcPr>
            <w:tcW w:w="1350" w:type="pct"/>
            <w:hideMark/>
          </w:tcPr>
          <w:p w14:paraId="5D68054C" w14:textId="77777777" w:rsidR="00C567A3" w:rsidRPr="00C567A3" w:rsidRDefault="00C567A3" w:rsidP="00C567A3">
            <w:pPr>
              <w:spacing w:after="160"/>
              <w:rPr>
                <w:rFonts w:ascii="Verdana" w:hAnsi="Verdana"/>
                <w:sz w:val="22"/>
                <w:szCs w:val="22"/>
              </w:rPr>
            </w:pPr>
            <w:r w:rsidRPr="00C567A3">
              <w:rPr>
                <w:rFonts w:ascii="Verdana" w:hAnsi="Verdana"/>
                <w:sz w:val="22"/>
                <w:szCs w:val="22"/>
              </w:rPr>
              <w:t>PA03</w:t>
            </w:r>
          </w:p>
        </w:tc>
        <w:tc>
          <w:tcPr>
            <w:tcW w:w="3650" w:type="pct"/>
            <w:hideMark/>
          </w:tcPr>
          <w:p w14:paraId="7AA010C5" w14:textId="77777777" w:rsidR="00C567A3" w:rsidRPr="00C567A3" w:rsidRDefault="00C567A3" w:rsidP="00C567A3">
            <w:pPr>
              <w:spacing w:after="160"/>
              <w:rPr>
                <w:rFonts w:ascii="Verdana" w:hAnsi="Verdana"/>
                <w:sz w:val="22"/>
                <w:szCs w:val="22"/>
              </w:rPr>
            </w:pPr>
            <w:r w:rsidRPr="00C567A3">
              <w:rPr>
                <w:rFonts w:ascii="Verdana" w:hAnsi="Verdana"/>
                <w:sz w:val="22"/>
                <w:szCs w:val="22"/>
              </w:rPr>
              <w:t>Gestión Administrativa</w:t>
            </w:r>
          </w:p>
        </w:tc>
      </w:tr>
      <w:tr w:rsidR="00C567A3" w:rsidRPr="00C567A3" w14:paraId="2E70DDEA" w14:textId="77777777" w:rsidTr="00975AF8">
        <w:tc>
          <w:tcPr>
            <w:tcW w:w="1350" w:type="pct"/>
            <w:hideMark/>
          </w:tcPr>
          <w:p w14:paraId="297E9EDB" w14:textId="77777777" w:rsidR="00C567A3" w:rsidRPr="00C567A3" w:rsidRDefault="00C567A3" w:rsidP="00C567A3">
            <w:pPr>
              <w:spacing w:after="160"/>
              <w:rPr>
                <w:rFonts w:ascii="Verdana" w:hAnsi="Verdana"/>
                <w:sz w:val="22"/>
                <w:szCs w:val="22"/>
              </w:rPr>
            </w:pPr>
            <w:r w:rsidRPr="00C567A3">
              <w:rPr>
                <w:rFonts w:ascii="Verdana" w:hAnsi="Verdana"/>
                <w:sz w:val="22"/>
                <w:szCs w:val="22"/>
              </w:rPr>
              <w:t>PA04</w:t>
            </w:r>
          </w:p>
        </w:tc>
        <w:tc>
          <w:tcPr>
            <w:tcW w:w="3650" w:type="pct"/>
            <w:hideMark/>
          </w:tcPr>
          <w:p w14:paraId="79A0F200" w14:textId="77777777" w:rsidR="00C567A3" w:rsidRPr="00C567A3" w:rsidRDefault="00C567A3" w:rsidP="00C567A3">
            <w:pPr>
              <w:spacing w:after="160"/>
              <w:rPr>
                <w:rFonts w:ascii="Verdana" w:hAnsi="Verdana"/>
                <w:sz w:val="22"/>
                <w:szCs w:val="22"/>
              </w:rPr>
            </w:pPr>
            <w:r w:rsidRPr="00C567A3">
              <w:rPr>
                <w:rFonts w:ascii="Verdana" w:hAnsi="Verdana"/>
                <w:sz w:val="22"/>
                <w:szCs w:val="22"/>
              </w:rPr>
              <w:t>Gestión Jurídico Administrativa</w:t>
            </w:r>
          </w:p>
        </w:tc>
      </w:tr>
      <w:tr w:rsidR="00C567A3" w:rsidRPr="00C567A3" w14:paraId="3F997741" w14:textId="77777777" w:rsidTr="00975AF8">
        <w:tc>
          <w:tcPr>
            <w:tcW w:w="1350" w:type="pct"/>
            <w:hideMark/>
          </w:tcPr>
          <w:p w14:paraId="3AFE33D9" w14:textId="77777777" w:rsidR="00C567A3" w:rsidRPr="00C567A3" w:rsidRDefault="00C567A3" w:rsidP="00C567A3">
            <w:pPr>
              <w:spacing w:after="160"/>
              <w:rPr>
                <w:rFonts w:ascii="Verdana" w:hAnsi="Verdana"/>
                <w:sz w:val="22"/>
                <w:szCs w:val="22"/>
              </w:rPr>
            </w:pPr>
            <w:r w:rsidRPr="00C567A3">
              <w:rPr>
                <w:rFonts w:ascii="Verdana" w:hAnsi="Verdana"/>
                <w:sz w:val="22"/>
                <w:szCs w:val="22"/>
              </w:rPr>
              <w:t>PEV02</w:t>
            </w:r>
          </w:p>
        </w:tc>
        <w:tc>
          <w:tcPr>
            <w:tcW w:w="3650" w:type="pct"/>
            <w:hideMark/>
          </w:tcPr>
          <w:p w14:paraId="4517DD81" w14:textId="77777777" w:rsidR="00C567A3" w:rsidRPr="00C567A3" w:rsidRDefault="00C567A3" w:rsidP="00C567A3">
            <w:pPr>
              <w:spacing w:after="160"/>
              <w:rPr>
                <w:rFonts w:ascii="Verdana" w:hAnsi="Verdana"/>
                <w:sz w:val="22"/>
                <w:szCs w:val="22"/>
              </w:rPr>
            </w:pPr>
            <w:r w:rsidRPr="00C567A3">
              <w:rPr>
                <w:rFonts w:ascii="Verdana" w:hAnsi="Verdana"/>
                <w:sz w:val="22"/>
                <w:szCs w:val="22"/>
              </w:rPr>
              <w:t>Evaluación Independiente del Sistema de Control Interno</w:t>
            </w:r>
          </w:p>
        </w:tc>
      </w:tr>
    </w:tbl>
    <w:p w14:paraId="7D80C6D6" w14:textId="0A3B2D64" w:rsidR="00C567A3" w:rsidRPr="00C567A3" w:rsidRDefault="00C567A3" w:rsidP="00C567A3">
      <w:pPr>
        <w:rPr>
          <w:rFonts w:ascii="Verdana" w:hAnsi="Verdana"/>
          <w:sz w:val="22"/>
          <w:szCs w:val="22"/>
        </w:rPr>
      </w:pPr>
    </w:p>
    <w:p w14:paraId="5058F1DB" w14:textId="77777777" w:rsidR="00C567A3" w:rsidRPr="00C567A3" w:rsidRDefault="00C567A3" w:rsidP="00C567A3">
      <w:pPr>
        <w:rPr>
          <w:rFonts w:ascii="Verdana" w:hAnsi="Verdana"/>
          <w:sz w:val="22"/>
          <w:szCs w:val="22"/>
        </w:rPr>
      </w:pPr>
      <w:bookmarkStart w:id="0" w:name="2"/>
      <w:r w:rsidRPr="00C567A3">
        <w:rPr>
          <w:rFonts w:ascii="Verdana" w:hAnsi="Verdana"/>
          <w:b/>
          <w:bCs/>
          <w:sz w:val="22"/>
          <w:szCs w:val="22"/>
        </w:rPr>
        <w:t>ARTÍCULO 2o.</w:t>
      </w:r>
      <w:bookmarkEnd w:id="0"/>
      <w:r w:rsidRPr="00C567A3">
        <w:rPr>
          <w:rFonts w:ascii="Verdana" w:hAnsi="Verdana"/>
          <w:sz w:val="22"/>
          <w:szCs w:val="22"/>
        </w:rPr>
        <w:t> Los informes que las Direcciones Regionales deben reportar a la Dirección General que no se encuentren establecidos en los procedimientos del Sistema Integrado de Gestión son los siguientes:</w:t>
      </w:r>
    </w:p>
    <w:p w14:paraId="5486484F" w14:textId="77777777" w:rsidR="00C567A3" w:rsidRPr="00C567A3" w:rsidRDefault="00C567A3" w:rsidP="00C567A3">
      <w:pPr>
        <w:rPr>
          <w:rFonts w:ascii="Verdana" w:hAnsi="Verdana"/>
          <w:sz w:val="22"/>
          <w:szCs w:val="22"/>
        </w:rPr>
      </w:pPr>
      <w:r w:rsidRPr="00C567A3">
        <w:rPr>
          <w:rFonts w:ascii="Verdana" w:hAnsi="Verdana"/>
          <w:b/>
          <w:bCs/>
          <w:sz w:val="22"/>
          <w:szCs w:val="22"/>
        </w:rPr>
        <w:t>PROCESO GESTIÓN FINANCIERA</w:t>
      </w:r>
    </w:p>
    <w:p w14:paraId="3E90CF3F" w14:textId="77777777" w:rsidR="00C567A3" w:rsidRPr="00C567A3" w:rsidRDefault="00C567A3" w:rsidP="00C567A3">
      <w:pPr>
        <w:rPr>
          <w:rFonts w:ascii="Verdana" w:hAnsi="Verdana"/>
          <w:sz w:val="22"/>
          <w:szCs w:val="22"/>
        </w:rPr>
      </w:pPr>
      <w:r w:rsidRPr="00C567A3">
        <w:rPr>
          <w:rFonts w:ascii="Verdana" w:hAnsi="Verdana"/>
          <w:b/>
          <w:bCs/>
          <w:sz w:val="22"/>
          <w:szCs w:val="22"/>
        </w:rPr>
        <w:t>Grupo de Tesorería</w:t>
      </w:r>
    </w:p>
    <w:tbl>
      <w:tblPr>
        <w:tblStyle w:val="Tablaconcuadrcula"/>
        <w:tblW w:w="5050" w:type="pct"/>
        <w:tblLook w:val="04A0" w:firstRow="1" w:lastRow="0" w:firstColumn="1" w:lastColumn="0" w:noHBand="0" w:noVBand="1"/>
      </w:tblPr>
      <w:tblGrid>
        <w:gridCol w:w="1630"/>
        <w:gridCol w:w="3379"/>
        <w:gridCol w:w="1240"/>
        <w:gridCol w:w="2667"/>
      </w:tblGrid>
      <w:tr w:rsidR="00C567A3" w:rsidRPr="00C567A3" w14:paraId="4EBD5C5D" w14:textId="77777777" w:rsidTr="00C567A3">
        <w:tc>
          <w:tcPr>
            <w:tcW w:w="900" w:type="pct"/>
            <w:hideMark/>
          </w:tcPr>
          <w:p w14:paraId="546B87D7" w14:textId="77777777" w:rsidR="00C567A3" w:rsidRPr="00C567A3" w:rsidRDefault="00C567A3" w:rsidP="00C567A3">
            <w:pPr>
              <w:spacing w:after="160"/>
              <w:rPr>
                <w:rFonts w:ascii="Verdana" w:hAnsi="Verdana"/>
                <w:sz w:val="22"/>
                <w:szCs w:val="22"/>
              </w:rPr>
            </w:pPr>
            <w:r w:rsidRPr="00C567A3">
              <w:rPr>
                <w:rFonts w:ascii="Verdana" w:hAnsi="Verdana"/>
                <w:sz w:val="22"/>
                <w:szCs w:val="22"/>
              </w:rPr>
              <w:t>F19.PA02.SE</w:t>
            </w:r>
          </w:p>
        </w:tc>
        <w:tc>
          <w:tcPr>
            <w:tcW w:w="1900" w:type="pct"/>
            <w:hideMark/>
          </w:tcPr>
          <w:p w14:paraId="3C4728C9" w14:textId="77777777" w:rsidR="00C567A3" w:rsidRPr="00C567A3" w:rsidRDefault="00C567A3" w:rsidP="00C567A3">
            <w:pPr>
              <w:spacing w:after="160"/>
              <w:rPr>
                <w:rFonts w:ascii="Verdana" w:hAnsi="Verdana"/>
                <w:sz w:val="22"/>
                <w:szCs w:val="22"/>
              </w:rPr>
            </w:pPr>
            <w:r w:rsidRPr="00C567A3">
              <w:rPr>
                <w:rFonts w:ascii="Verdana" w:hAnsi="Verdana"/>
                <w:sz w:val="22"/>
                <w:szCs w:val="22"/>
              </w:rPr>
              <w:t>Proyección de pagos semanales</w:t>
            </w:r>
          </w:p>
        </w:tc>
        <w:tc>
          <w:tcPr>
            <w:tcW w:w="700" w:type="pct"/>
            <w:hideMark/>
          </w:tcPr>
          <w:p w14:paraId="10F46D28" w14:textId="77777777" w:rsidR="00C567A3" w:rsidRPr="00C567A3" w:rsidRDefault="00C567A3" w:rsidP="00C567A3">
            <w:pPr>
              <w:spacing w:after="160"/>
              <w:rPr>
                <w:rFonts w:ascii="Verdana" w:hAnsi="Verdana"/>
                <w:sz w:val="22"/>
                <w:szCs w:val="22"/>
              </w:rPr>
            </w:pPr>
            <w:r w:rsidRPr="00C567A3">
              <w:rPr>
                <w:rFonts w:ascii="Verdana" w:hAnsi="Verdana"/>
                <w:sz w:val="22"/>
                <w:szCs w:val="22"/>
              </w:rPr>
              <w:t>Versión 1.0</w:t>
            </w:r>
          </w:p>
        </w:tc>
        <w:tc>
          <w:tcPr>
            <w:tcW w:w="1500" w:type="pct"/>
            <w:hideMark/>
          </w:tcPr>
          <w:p w14:paraId="0C0C4B9C" w14:textId="77777777" w:rsidR="00C567A3" w:rsidRPr="00C567A3" w:rsidRDefault="00C567A3" w:rsidP="00C567A3">
            <w:pPr>
              <w:spacing w:after="160"/>
              <w:rPr>
                <w:rFonts w:ascii="Verdana" w:hAnsi="Verdana"/>
                <w:sz w:val="22"/>
                <w:szCs w:val="22"/>
              </w:rPr>
            </w:pPr>
            <w:r w:rsidRPr="00C567A3">
              <w:rPr>
                <w:rFonts w:ascii="Verdana" w:hAnsi="Verdana"/>
                <w:sz w:val="22"/>
                <w:szCs w:val="22"/>
              </w:rPr>
              <w:t>2 días hábiles después de cada mes</w:t>
            </w:r>
          </w:p>
        </w:tc>
      </w:tr>
      <w:tr w:rsidR="00C567A3" w:rsidRPr="00C567A3" w14:paraId="3EA7FCAD" w14:textId="77777777" w:rsidTr="00C567A3">
        <w:tc>
          <w:tcPr>
            <w:tcW w:w="900" w:type="pct"/>
            <w:hideMark/>
          </w:tcPr>
          <w:p w14:paraId="518D3A92" w14:textId="77777777" w:rsidR="00C567A3" w:rsidRPr="00C567A3" w:rsidRDefault="00C567A3" w:rsidP="00C567A3">
            <w:pPr>
              <w:spacing w:after="160"/>
              <w:rPr>
                <w:rFonts w:ascii="Verdana" w:hAnsi="Verdana"/>
                <w:sz w:val="22"/>
                <w:szCs w:val="22"/>
              </w:rPr>
            </w:pPr>
            <w:r w:rsidRPr="00C567A3">
              <w:rPr>
                <w:rFonts w:ascii="Verdana" w:hAnsi="Verdana"/>
                <w:sz w:val="22"/>
                <w:szCs w:val="22"/>
              </w:rPr>
              <w:lastRenderedPageBreak/>
              <w:t>F20.PA02.M</w:t>
            </w:r>
          </w:p>
        </w:tc>
        <w:tc>
          <w:tcPr>
            <w:tcW w:w="1900" w:type="pct"/>
            <w:hideMark/>
          </w:tcPr>
          <w:p w14:paraId="320CC443" w14:textId="77777777" w:rsidR="00C567A3" w:rsidRPr="00C567A3" w:rsidRDefault="00C567A3" w:rsidP="00C567A3">
            <w:pPr>
              <w:spacing w:after="160"/>
              <w:rPr>
                <w:rFonts w:ascii="Verdana" w:hAnsi="Verdana"/>
                <w:sz w:val="22"/>
                <w:szCs w:val="22"/>
              </w:rPr>
            </w:pPr>
            <w:r w:rsidRPr="00C567A3">
              <w:rPr>
                <w:rFonts w:ascii="Verdana" w:hAnsi="Verdana"/>
                <w:sz w:val="22"/>
                <w:szCs w:val="22"/>
              </w:rPr>
              <w:t>Arqueo Caja Fuerte</w:t>
            </w:r>
          </w:p>
        </w:tc>
        <w:tc>
          <w:tcPr>
            <w:tcW w:w="700" w:type="pct"/>
            <w:hideMark/>
          </w:tcPr>
          <w:p w14:paraId="2ED21449" w14:textId="77777777" w:rsidR="00C567A3" w:rsidRPr="00C567A3" w:rsidRDefault="00C567A3" w:rsidP="00C567A3">
            <w:pPr>
              <w:spacing w:after="160"/>
              <w:rPr>
                <w:rFonts w:ascii="Verdana" w:hAnsi="Verdana"/>
                <w:sz w:val="22"/>
                <w:szCs w:val="22"/>
              </w:rPr>
            </w:pPr>
            <w:r w:rsidRPr="00C567A3">
              <w:rPr>
                <w:rFonts w:ascii="Verdana" w:hAnsi="Verdana"/>
                <w:sz w:val="22"/>
                <w:szCs w:val="22"/>
              </w:rPr>
              <w:t>Versión 1.0</w:t>
            </w:r>
          </w:p>
        </w:tc>
        <w:tc>
          <w:tcPr>
            <w:tcW w:w="1500" w:type="pct"/>
            <w:hideMark/>
          </w:tcPr>
          <w:p w14:paraId="4C60F51B" w14:textId="77777777" w:rsidR="00C567A3" w:rsidRPr="00C567A3" w:rsidRDefault="00C567A3" w:rsidP="00C567A3">
            <w:pPr>
              <w:spacing w:after="160"/>
              <w:rPr>
                <w:rFonts w:ascii="Verdana" w:hAnsi="Verdana"/>
                <w:sz w:val="22"/>
                <w:szCs w:val="22"/>
              </w:rPr>
            </w:pPr>
            <w:r w:rsidRPr="00C567A3">
              <w:rPr>
                <w:rFonts w:ascii="Verdana" w:hAnsi="Verdana"/>
                <w:sz w:val="22"/>
                <w:szCs w:val="22"/>
              </w:rPr>
              <w:t>4 primeros días hábiles</w:t>
            </w:r>
          </w:p>
        </w:tc>
      </w:tr>
      <w:tr w:rsidR="00C567A3" w:rsidRPr="00C567A3" w14:paraId="3C78FAEB" w14:textId="77777777" w:rsidTr="00C567A3">
        <w:tc>
          <w:tcPr>
            <w:tcW w:w="900" w:type="pct"/>
            <w:hideMark/>
          </w:tcPr>
          <w:p w14:paraId="4D9559F4" w14:textId="77777777" w:rsidR="00C567A3" w:rsidRPr="00C567A3" w:rsidRDefault="00C567A3" w:rsidP="00C567A3">
            <w:pPr>
              <w:spacing w:after="160"/>
              <w:rPr>
                <w:rFonts w:ascii="Verdana" w:hAnsi="Verdana"/>
                <w:sz w:val="22"/>
                <w:szCs w:val="22"/>
              </w:rPr>
            </w:pPr>
            <w:r w:rsidRPr="00C567A3">
              <w:rPr>
                <w:rFonts w:ascii="Verdana" w:hAnsi="Verdana"/>
                <w:sz w:val="22"/>
                <w:szCs w:val="22"/>
              </w:rPr>
              <w:t>F21.PA</w:t>
            </w:r>
            <w:proofErr w:type="gramStart"/>
            <w:r w:rsidRPr="00C567A3">
              <w:rPr>
                <w:rFonts w:ascii="Verdana" w:hAnsi="Verdana"/>
                <w:sz w:val="22"/>
                <w:szCs w:val="22"/>
              </w:rPr>
              <w:t>02.B</w:t>
            </w:r>
            <w:proofErr w:type="gramEnd"/>
          </w:p>
        </w:tc>
        <w:tc>
          <w:tcPr>
            <w:tcW w:w="1900" w:type="pct"/>
            <w:hideMark/>
          </w:tcPr>
          <w:p w14:paraId="75A8CF10" w14:textId="77777777" w:rsidR="00C567A3" w:rsidRPr="00C567A3" w:rsidRDefault="00C567A3" w:rsidP="00C567A3">
            <w:pPr>
              <w:spacing w:after="160"/>
              <w:rPr>
                <w:rFonts w:ascii="Verdana" w:hAnsi="Verdana"/>
                <w:sz w:val="22"/>
                <w:szCs w:val="22"/>
              </w:rPr>
            </w:pPr>
            <w:r w:rsidRPr="00C567A3">
              <w:rPr>
                <w:rFonts w:ascii="Verdana" w:hAnsi="Verdana"/>
                <w:sz w:val="22"/>
                <w:szCs w:val="22"/>
              </w:rPr>
              <w:t>Control de cuentas bancarias</w:t>
            </w:r>
          </w:p>
        </w:tc>
        <w:tc>
          <w:tcPr>
            <w:tcW w:w="700" w:type="pct"/>
            <w:hideMark/>
          </w:tcPr>
          <w:p w14:paraId="681C8874" w14:textId="77777777" w:rsidR="00C567A3" w:rsidRPr="00C567A3" w:rsidRDefault="00C567A3" w:rsidP="00C567A3">
            <w:pPr>
              <w:spacing w:after="160"/>
              <w:rPr>
                <w:rFonts w:ascii="Verdana" w:hAnsi="Verdana"/>
                <w:sz w:val="22"/>
                <w:szCs w:val="22"/>
              </w:rPr>
            </w:pPr>
            <w:r w:rsidRPr="00C567A3">
              <w:rPr>
                <w:rFonts w:ascii="Verdana" w:hAnsi="Verdana"/>
                <w:sz w:val="22"/>
                <w:szCs w:val="22"/>
              </w:rPr>
              <w:t>Versión 1.0</w:t>
            </w:r>
          </w:p>
        </w:tc>
        <w:tc>
          <w:tcPr>
            <w:tcW w:w="1500" w:type="pct"/>
            <w:hideMark/>
          </w:tcPr>
          <w:p w14:paraId="29ABBCDC" w14:textId="77777777" w:rsidR="00C567A3" w:rsidRPr="00C567A3" w:rsidRDefault="00C567A3" w:rsidP="00C567A3">
            <w:pPr>
              <w:spacing w:after="160"/>
              <w:rPr>
                <w:rFonts w:ascii="Verdana" w:hAnsi="Verdana"/>
                <w:sz w:val="22"/>
                <w:szCs w:val="22"/>
              </w:rPr>
            </w:pPr>
            <w:r w:rsidRPr="00C567A3">
              <w:rPr>
                <w:rFonts w:ascii="Verdana" w:hAnsi="Verdana"/>
                <w:sz w:val="22"/>
                <w:szCs w:val="22"/>
              </w:rPr>
              <w:t>7 primeros días hábiles</w:t>
            </w:r>
          </w:p>
        </w:tc>
      </w:tr>
      <w:tr w:rsidR="00C567A3" w:rsidRPr="00C567A3" w14:paraId="07250EE9" w14:textId="77777777" w:rsidTr="00C567A3">
        <w:tc>
          <w:tcPr>
            <w:tcW w:w="900" w:type="pct"/>
            <w:hideMark/>
          </w:tcPr>
          <w:p w14:paraId="083EEFA7" w14:textId="77777777" w:rsidR="00C567A3" w:rsidRPr="00C567A3" w:rsidRDefault="00C567A3" w:rsidP="00C567A3">
            <w:pPr>
              <w:spacing w:after="160"/>
              <w:rPr>
                <w:rFonts w:ascii="Verdana" w:hAnsi="Verdana"/>
                <w:sz w:val="22"/>
                <w:szCs w:val="22"/>
              </w:rPr>
            </w:pPr>
            <w:r w:rsidRPr="00C567A3">
              <w:rPr>
                <w:rFonts w:ascii="Verdana" w:hAnsi="Verdana"/>
                <w:sz w:val="22"/>
                <w:szCs w:val="22"/>
              </w:rPr>
              <w:t>F22.PA02.SE</w:t>
            </w:r>
          </w:p>
        </w:tc>
        <w:tc>
          <w:tcPr>
            <w:tcW w:w="1900" w:type="pct"/>
            <w:hideMark/>
          </w:tcPr>
          <w:p w14:paraId="717C8AD1" w14:textId="77777777" w:rsidR="00C567A3" w:rsidRPr="00C567A3" w:rsidRDefault="00C567A3" w:rsidP="00C567A3">
            <w:pPr>
              <w:spacing w:after="160"/>
              <w:rPr>
                <w:rFonts w:ascii="Verdana" w:hAnsi="Verdana"/>
                <w:sz w:val="22"/>
                <w:szCs w:val="22"/>
              </w:rPr>
            </w:pPr>
            <w:r w:rsidRPr="00C567A3">
              <w:rPr>
                <w:rFonts w:ascii="Verdana" w:hAnsi="Verdana"/>
                <w:sz w:val="22"/>
                <w:szCs w:val="22"/>
              </w:rPr>
              <w:t>Solicitud de efectivo</w:t>
            </w:r>
          </w:p>
        </w:tc>
        <w:tc>
          <w:tcPr>
            <w:tcW w:w="700" w:type="pct"/>
            <w:hideMark/>
          </w:tcPr>
          <w:p w14:paraId="51E67A1F" w14:textId="77777777" w:rsidR="00C567A3" w:rsidRPr="00C567A3" w:rsidRDefault="00C567A3" w:rsidP="00C567A3">
            <w:pPr>
              <w:spacing w:after="160"/>
              <w:rPr>
                <w:rFonts w:ascii="Verdana" w:hAnsi="Verdana"/>
                <w:sz w:val="22"/>
                <w:szCs w:val="22"/>
              </w:rPr>
            </w:pPr>
            <w:r w:rsidRPr="00C567A3">
              <w:rPr>
                <w:rFonts w:ascii="Verdana" w:hAnsi="Verdana"/>
                <w:sz w:val="22"/>
                <w:szCs w:val="22"/>
              </w:rPr>
              <w:t>Versión 1.0</w:t>
            </w:r>
          </w:p>
        </w:tc>
        <w:tc>
          <w:tcPr>
            <w:tcW w:w="1500" w:type="pct"/>
            <w:hideMark/>
          </w:tcPr>
          <w:p w14:paraId="11E7DD64" w14:textId="77777777" w:rsidR="00C567A3" w:rsidRPr="00C567A3" w:rsidRDefault="00C567A3" w:rsidP="00C567A3">
            <w:pPr>
              <w:spacing w:after="160"/>
              <w:rPr>
                <w:rFonts w:ascii="Verdana" w:hAnsi="Verdana"/>
                <w:sz w:val="22"/>
                <w:szCs w:val="22"/>
              </w:rPr>
            </w:pPr>
            <w:r w:rsidRPr="00C567A3">
              <w:rPr>
                <w:rFonts w:ascii="Verdana" w:hAnsi="Verdana"/>
                <w:sz w:val="22"/>
                <w:szCs w:val="22"/>
              </w:rPr>
              <w:t>Jueves de cada semana</w:t>
            </w:r>
          </w:p>
        </w:tc>
      </w:tr>
      <w:tr w:rsidR="00C567A3" w:rsidRPr="00C567A3" w14:paraId="792B8CFC" w14:textId="77777777" w:rsidTr="00C567A3">
        <w:tc>
          <w:tcPr>
            <w:tcW w:w="900" w:type="pct"/>
            <w:hideMark/>
          </w:tcPr>
          <w:p w14:paraId="33B9C25C" w14:textId="77777777" w:rsidR="00C567A3" w:rsidRPr="00C567A3" w:rsidRDefault="00C567A3" w:rsidP="00C567A3">
            <w:pPr>
              <w:spacing w:after="160"/>
              <w:rPr>
                <w:rFonts w:ascii="Verdana" w:hAnsi="Verdana"/>
                <w:sz w:val="22"/>
                <w:szCs w:val="22"/>
              </w:rPr>
            </w:pPr>
            <w:r w:rsidRPr="00C567A3">
              <w:rPr>
                <w:rFonts w:ascii="Verdana" w:hAnsi="Verdana"/>
                <w:sz w:val="22"/>
                <w:szCs w:val="22"/>
              </w:rPr>
              <w:t>F23.PA</w:t>
            </w:r>
            <w:proofErr w:type="gramStart"/>
            <w:r w:rsidRPr="00C567A3">
              <w:rPr>
                <w:rFonts w:ascii="Verdana" w:hAnsi="Verdana"/>
                <w:sz w:val="22"/>
                <w:szCs w:val="22"/>
              </w:rPr>
              <w:t>02.D</w:t>
            </w:r>
            <w:proofErr w:type="gramEnd"/>
          </w:p>
        </w:tc>
        <w:tc>
          <w:tcPr>
            <w:tcW w:w="1900" w:type="pct"/>
            <w:hideMark/>
          </w:tcPr>
          <w:p w14:paraId="7862025C" w14:textId="77777777" w:rsidR="00C567A3" w:rsidRPr="00C567A3" w:rsidRDefault="00C567A3" w:rsidP="00C567A3">
            <w:pPr>
              <w:spacing w:after="160"/>
              <w:rPr>
                <w:rFonts w:ascii="Verdana" w:hAnsi="Verdana"/>
                <w:sz w:val="22"/>
                <w:szCs w:val="22"/>
              </w:rPr>
            </w:pPr>
            <w:r w:rsidRPr="00C567A3">
              <w:rPr>
                <w:rFonts w:ascii="Verdana" w:hAnsi="Verdana"/>
                <w:sz w:val="22"/>
                <w:szCs w:val="22"/>
              </w:rPr>
              <w:t>Relación de consignación y traslados al nivel nacional</w:t>
            </w:r>
          </w:p>
        </w:tc>
        <w:tc>
          <w:tcPr>
            <w:tcW w:w="700" w:type="pct"/>
            <w:hideMark/>
          </w:tcPr>
          <w:p w14:paraId="63017370" w14:textId="77777777" w:rsidR="00C567A3" w:rsidRPr="00C567A3" w:rsidRDefault="00C567A3" w:rsidP="00C567A3">
            <w:pPr>
              <w:spacing w:after="160"/>
              <w:rPr>
                <w:rFonts w:ascii="Verdana" w:hAnsi="Verdana"/>
                <w:sz w:val="22"/>
                <w:szCs w:val="22"/>
              </w:rPr>
            </w:pPr>
            <w:r w:rsidRPr="00C567A3">
              <w:rPr>
                <w:rFonts w:ascii="Verdana" w:hAnsi="Verdana"/>
                <w:sz w:val="22"/>
                <w:szCs w:val="22"/>
              </w:rPr>
              <w:t>Versión 1.0</w:t>
            </w:r>
          </w:p>
        </w:tc>
        <w:tc>
          <w:tcPr>
            <w:tcW w:w="1500" w:type="pct"/>
            <w:hideMark/>
          </w:tcPr>
          <w:p w14:paraId="49B67ECE" w14:textId="77777777" w:rsidR="00C567A3" w:rsidRPr="00C567A3" w:rsidRDefault="00C567A3" w:rsidP="00C567A3">
            <w:pPr>
              <w:spacing w:after="160"/>
              <w:rPr>
                <w:rFonts w:ascii="Verdana" w:hAnsi="Verdana"/>
                <w:sz w:val="22"/>
                <w:szCs w:val="22"/>
              </w:rPr>
            </w:pPr>
            <w:r w:rsidRPr="00C567A3">
              <w:rPr>
                <w:rFonts w:ascii="Verdana" w:hAnsi="Verdana"/>
                <w:sz w:val="22"/>
                <w:szCs w:val="22"/>
              </w:rPr>
              <w:t>Todos los días hábiles antes de las 5: p. m.</w:t>
            </w:r>
          </w:p>
        </w:tc>
      </w:tr>
    </w:tbl>
    <w:p w14:paraId="16CC8BD2" w14:textId="77777777" w:rsidR="00C567A3" w:rsidRPr="00C567A3" w:rsidRDefault="00C567A3" w:rsidP="00C567A3">
      <w:pPr>
        <w:rPr>
          <w:rFonts w:ascii="Verdana" w:hAnsi="Verdana"/>
          <w:sz w:val="22"/>
          <w:szCs w:val="22"/>
        </w:rPr>
      </w:pPr>
      <w:r w:rsidRPr="00C567A3">
        <w:rPr>
          <w:rFonts w:ascii="Verdana" w:hAnsi="Verdana"/>
          <w:b/>
          <w:bCs/>
          <w:sz w:val="22"/>
          <w:szCs w:val="22"/>
        </w:rPr>
        <w:t>Grupo de Contabilidad</w:t>
      </w:r>
    </w:p>
    <w:tbl>
      <w:tblPr>
        <w:tblStyle w:val="Tablaconcuadrcula"/>
        <w:tblW w:w="5050" w:type="pct"/>
        <w:tblLook w:val="04A0" w:firstRow="1" w:lastRow="0" w:firstColumn="1" w:lastColumn="0" w:noHBand="0" w:noVBand="1"/>
      </w:tblPr>
      <w:tblGrid>
        <w:gridCol w:w="1476"/>
        <w:gridCol w:w="2034"/>
        <w:gridCol w:w="1231"/>
        <w:gridCol w:w="4175"/>
      </w:tblGrid>
      <w:tr w:rsidR="00C567A3" w:rsidRPr="00C567A3" w14:paraId="5EFC2C02" w14:textId="77777777" w:rsidTr="00C567A3">
        <w:tc>
          <w:tcPr>
            <w:tcW w:w="800" w:type="pct"/>
            <w:hideMark/>
          </w:tcPr>
          <w:p w14:paraId="401CBCE6" w14:textId="77777777" w:rsidR="00C567A3" w:rsidRPr="00C567A3" w:rsidRDefault="00C567A3" w:rsidP="00C567A3">
            <w:pPr>
              <w:spacing w:after="160"/>
              <w:rPr>
                <w:rFonts w:ascii="Verdana" w:hAnsi="Verdana"/>
                <w:sz w:val="22"/>
                <w:szCs w:val="22"/>
              </w:rPr>
            </w:pPr>
            <w:r w:rsidRPr="00C567A3">
              <w:rPr>
                <w:rFonts w:ascii="Verdana" w:hAnsi="Verdana"/>
                <w:sz w:val="22"/>
                <w:szCs w:val="22"/>
              </w:rPr>
              <w:t>F25.PA</w:t>
            </w:r>
            <w:proofErr w:type="gramStart"/>
            <w:r w:rsidRPr="00C567A3">
              <w:rPr>
                <w:rFonts w:ascii="Verdana" w:hAnsi="Verdana"/>
                <w:sz w:val="22"/>
                <w:szCs w:val="22"/>
              </w:rPr>
              <w:t>02.T</w:t>
            </w:r>
            <w:proofErr w:type="gramEnd"/>
          </w:p>
        </w:tc>
        <w:tc>
          <w:tcPr>
            <w:tcW w:w="1150" w:type="pct"/>
            <w:hideMark/>
          </w:tcPr>
          <w:p w14:paraId="29879394" w14:textId="77777777" w:rsidR="00C567A3" w:rsidRPr="00C567A3" w:rsidRDefault="00C567A3" w:rsidP="00C567A3">
            <w:pPr>
              <w:spacing w:after="160"/>
              <w:rPr>
                <w:rFonts w:ascii="Verdana" w:hAnsi="Verdana"/>
                <w:sz w:val="22"/>
                <w:szCs w:val="22"/>
              </w:rPr>
            </w:pPr>
            <w:r w:rsidRPr="00C567A3">
              <w:rPr>
                <w:rFonts w:ascii="Verdana" w:hAnsi="Verdana"/>
                <w:sz w:val="22"/>
                <w:szCs w:val="22"/>
              </w:rPr>
              <w:t>Conciliación Interáreas</w:t>
            </w:r>
          </w:p>
        </w:tc>
        <w:tc>
          <w:tcPr>
            <w:tcW w:w="700" w:type="pct"/>
            <w:hideMark/>
          </w:tcPr>
          <w:p w14:paraId="51356E4E" w14:textId="77777777" w:rsidR="00C567A3" w:rsidRPr="00C567A3" w:rsidRDefault="00C567A3" w:rsidP="00C567A3">
            <w:pPr>
              <w:spacing w:after="160"/>
              <w:rPr>
                <w:rFonts w:ascii="Verdana" w:hAnsi="Verdana"/>
                <w:sz w:val="22"/>
                <w:szCs w:val="22"/>
              </w:rPr>
            </w:pPr>
            <w:r w:rsidRPr="00C567A3">
              <w:rPr>
                <w:rFonts w:ascii="Verdana" w:hAnsi="Verdana"/>
                <w:sz w:val="22"/>
                <w:szCs w:val="22"/>
              </w:rPr>
              <w:t>Versión 1.0</w:t>
            </w:r>
          </w:p>
        </w:tc>
        <w:tc>
          <w:tcPr>
            <w:tcW w:w="2400" w:type="pct"/>
            <w:hideMark/>
          </w:tcPr>
          <w:p w14:paraId="09D58280" w14:textId="77777777" w:rsidR="00C567A3" w:rsidRPr="00C567A3" w:rsidRDefault="00C567A3" w:rsidP="00C567A3">
            <w:pPr>
              <w:spacing w:after="160"/>
              <w:rPr>
                <w:rFonts w:ascii="Verdana" w:hAnsi="Verdana"/>
                <w:sz w:val="22"/>
                <w:szCs w:val="22"/>
              </w:rPr>
            </w:pPr>
            <w:r w:rsidRPr="00C567A3">
              <w:rPr>
                <w:rFonts w:ascii="Verdana" w:hAnsi="Verdana"/>
                <w:sz w:val="22"/>
                <w:szCs w:val="22"/>
              </w:rPr>
              <w:t>5 días calendario del mes siguiente a la fecha de corte establecida</w:t>
            </w:r>
          </w:p>
        </w:tc>
      </w:tr>
    </w:tbl>
    <w:p w14:paraId="0B313BD2" w14:textId="77777777" w:rsidR="00C567A3" w:rsidRPr="00C567A3" w:rsidRDefault="00C567A3" w:rsidP="00C567A3">
      <w:pPr>
        <w:rPr>
          <w:rFonts w:ascii="Verdana" w:hAnsi="Verdana"/>
          <w:sz w:val="22"/>
          <w:szCs w:val="22"/>
        </w:rPr>
      </w:pPr>
      <w:r w:rsidRPr="00C567A3">
        <w:rPr>
          <w:rFonts w:ascii="Verdana" w:hAnsi="Verdana"/>
          <w:b/>
          <w:bCs/>
          <w:sz w:val="22"/>
          <w:szCs w:val="22"/>
        </w:rPr>
        <w:t>PROCESO GESTIÓN ADMINISTRATIVA</w:t>
      </w:r>
    </w:p>
    <w:tbl>
      <w:tblPr>
        <w:tblStyle w:val="Tablaconcuadrcula"/>
        <w:tblW w:w="5050" w:type="pct"/>
        <w:tblLook w:val="04A0" w:firstRow="1" w:lastRow="0" w:firstColumn="1" w:lastColumn="0" w:noHBand="0" w:noVBand="1"/>
      </w:tblPr>
      <w:tblGrid>
        <w:gridCol w:w="1526"/>
        <w:gridCol w:w="3801"/>
        <w:gridCol w:w="1215"/>
        <w:gridCol w:w="2374"/>
      </w:tblGrid>
      <w:tr w:rsidR="00C567A3" w:rsidRPr="00C567A3" w14:paraId="49F4587F" w14:textId="77777777" w:rsidTr="00C567A3">
        <w:tc>
          <w:tcPr>
            <w:tcW w:w="800" w:type="pct"/>
            <w:hideMark/>
          </w:tcPr>
          <w:p w14:paraId="7AD09AC3" w14:textId="77777777" w:rsidR="00C567A3" w:rsidRPr="00C567A3" w:rsidRDefault="00C567A3" w:rsidP="00C567A3">
            <w:pPr>
              <w:spacing w:after="160"/>
              <w:rPr>
                <w:rFonts w:ascii="Verdana" w:hAnsi="Verdana"/>
                <w:sz w:val="22"/>
                <w:szCs w:val="22"/>
              </w:rPr>
            </w:pPr>
            <w:r w:rsidRPr="00C567A3">
              <w:rPr>
                <w:rFonts w:ascii="Verdana" w:hAnsi="Verdana"/>
                <w:sz w:val="22"/>
                <w:szCs w:val="22"/>
              </w:rPr>
              <w:t>F01.PA03.M</w:t>
            </w:r>
          </w:p>
        </w:tc>
        <w:tc>
          <w:tcPr>
            <w:tcW w:w="2150" w:type="pct"/>
            <w:hideMark/>
          </w:tcPr>
          <w:p w14:paraId="2FCE22E0" w14:textId="77777777" w:rsidR="00C567A3" w:rsidRPr="00C567A3" w:rsidRDefault="00C567A3" w:rsidP="00C567A3">
            <w:pPr>
              <w:spacing w:after="160"/>
              <w:rPr>
                <w:rFonts w:ascii="Verdana" w:hAnsi="Verdana"/>
                <w:sz w:val="22"/>
                <w:szCs w:val="22"/>
              </w:rPr>
            </w:pPr>
            <w:r w:rsidRPr="00C567A3">
              <w:rPr>
                <w:rFonts w:ascii="Verdana" w:hAnsi="Verdana"/>
                <w:sz w:val="22"/>
                <w:szCs w:val="22"/>
              </w:rPr>
              <w:t>Informe de servicios públicos</w:t>
            </w:r>
          </w:p>
        </w:tc>
        <w:tc>
          <w:tcPr>
            <w:tcW w:w="700" w:type="pct"/>
            <w:hideMark/>
          </w:tcPr>
          <w:p w14:paraId="121CC4EB" w14:textId="77777777" w:rsidR="00C567A3" w:rsidRPr="00C567A3" w:rsidRDefault="00C567A3" w:rsidP="00C567A3">
            <w:pPr>
              <w:spacing w:after="160"/>
              <w:rPr>
                <w:rFonts w:ascii="Verdana" w:hAnsi="Verdana"/>
                <w:sz w:val="22"/>
                <w:szCs w:val="22"/>
              </w:rPr>
            </w:pPr>
            <w:r w:rsidRPr="00C567A3">
              <w:rPr>
                <w:rFonts w:ascii="Verdana" w:hAnsi="Verdana"/>
                <w:sz w:val="22"/>
                <w:szCs w:val="22"/>
              </w:rPr>
              <w:t>Versión 1.0</w:t>
            </w:r>
          </w:p>
        </w:tc>
        <w:tc>
          <w:tcPr>
            <w:tcW w:w="1350" w:type="pct"/>
            <w:hideMark/>
          </w:tcPr>
          <w:p w14:paraId="74BB212B" w14:textId="77777777" w:rsidR="00C567A3" w:rsidRPr="00C567A3" w:rsidRDefault="00C567A3" w:rsidP="00C567A3">
            <w:pPr>
              <w:spacing w:after="160"/>
              <w:rPr>
                <w:rFonts w:ascii="Verdana" w:hAnsi="Verdana"/>
                <w:sz w:val="22"/>
                <w:szCs w:val="22"/>
              </w:rPr>
            </w:pPr>
            <w:r w:rsidRPr="00C567A3">
              <w:rPr>
                <w:rFonts w:ascii="Verdana" w:hAnsi="Verdana"/>
                <w:sz w:val="22"/>
                <w:szCs w:val="22"/>
              </w:rPr>
              <w:t>5 primeros días de cada mes</w:t>
            </w:r>
          </w:p>
        </w:tc>
      </w:tr>
      <w:tr w:rsidR="00C567A3" w:rsidRPr="00C567A3" w14:paraId="7C0A7797" w14:textId="77777777" w:rsidTr="00C567A3">
        <w:tc>
          <w:tcPr>
            <w:tcW w:w="800" w:type="pct"/>
            <w:hideMark/>
          </w:tcPr>
          <w:p w14:paraId="3DF3CCF0" w14:textId="77777777" w:rsidR="00C567A3" w:rsidRPr="00C567A3" w:rsidRDefault="00C567A3" w:rsidP="00C567A3">
            <w:pPr>
              <w:spacing w:after="160"/>
              <w:rPr>
                <w:rFonts w:ascii="Verdana" w:hAnsi="Verdana"/>
                <w:sz w:val="22"/>
                <w:szCs w:val="22"/>
              </w:rPr>
            </w:pPr>
            <w:r w:rsidRPr="00C567A3">
              <w:rPr>
                <w:rFonts w:ascii="Verdana" w:hAnsi="Verdana"/>
                <w:sz w:val="22"/>
                <w:szCs w:val="22"/>
              </w:rPr>
              <w:t>F03.PA</w:t>
            </w:r>
            <w:proofErr w:type="gramStart"/>
            <w:r w:rsidRPr="00C567A3">
              <w:rPr>
                <w:rFonts w:ascii="Verdana" w:hAnsi="Verdana"/>
                <w:sz w:val="22"/>
                <w:szCs w:val="22"/>
              </w:rPr>
              <w:t>03.T</w:t>
            </w:r>
            <w:proofErr w:type="gramEnd"/>
          </w:p>
        </w:tc>
        <w:tc>
          <w:tcPr>
            <w:tcW w:w="2150" w:type="pct"/>
            <w:hideMark/>
          </w:tcPr>
          <w:p w14:paraId="4D09F3FF" w14:textId="77777777" w:rsidR="00C567A3" w:rsidRPr="00C567A3" w:rsidRDefault="00C567A3" w:rsidP="00C567A3">
            <w:pPr>
              <w:spacing w:after="160"/>
              <w:rPr>
                <w:rFonts w:ascii="Verdana" w:hAnsi="Verdana"/>
                <w:sz w:val="22"/>
                <w:szCs w:val="22"/>
              </w:rPr>
            </w:pPr>
            <w:r w:rsidRPr="00C567A3">
              <w:rPr>
                <w:rFonts w:ascii="Verdana" w:hAnsi="Verdana"/>
                <w:sz w:val="22"/>
                <w:szCs w:val="22"/>
              </w:rPr>
              <w:t>Reporte trimestral de responsabilidades en proceso</w:t>
            </w:r>
          </w:p>
        </w:tc>
        <w:tc>
          <w:tcPr>
            <w:tcW w:w="700" w:type="pct"/>
            <w:hideMark/>
          </w:tcPr>
          <w:p w14:paraId="11E24B31" w14:textId="77777777" w:rsidR="00C567A3" w:rsidRPr="00C567A3" w:rsidRDefault="00C567A3" w:rsidP="00C567A3">
            <w:pPr>
              <w:spacing w:after="160"/>
              <w:rPr>
                <w:rFonts w:ascii="Verdana" w:hAnsi="Verdana"/>
                <w:sz w:val="22"/>
                <w:szCs w:val="22"/>
              </w:rPr>
            </w:pPr>
            <w:r w:rsidRPr="00C567A3">
              <w:rPr>
                <w:rFonts w:ascii="Verdana" w:hAnsi="Verdana"/>
                <w:sz w:val="22"/>
                <w:szCs w:val="22"/>
              </w:rPr>
              <w:t>Versión 1.0</w:t>
            </w:r>
          </w:p>
        </w:tc>
        <w:tc>
          <w:tcPr>
            <w:tcW w:w="1350" w:type="pct"/>
            <w:hideMark/>
          </w:tcPr>
          <w:p w14:paraId="316B4A34" w14:textId="77777777" w:rsidR="00C567A3" w:rsidRPr="00C567A3" w:rsidRDefault="00C567A3" w:rsidP="00C567A3">
            <w:pPr>
              <w:spacing w:after="160"/>
              <w:rPr>
                <w:rFonts w:ascii="Verdana" w:hAnsi="Verdana"/>
                <w:sz w:val="22"/>
                <w:szCs w:val="22"/>
              </w:rPr>
            </w:pPr>
            <w:r w:rsidRPr="00C567A3">
              <w:rPr>
                <w:rFonts w:ascii="Verdana" w:hAnsi="Verdana"/>
                <w:sz w:val="22"/>
                <w:szCs w:val="22"/>
              </w:rPr>
              <w:t>10 primeros días del mes siguiente</w:t>
            </w:r>
          </w:p>
        </w:tc>
      </w:tr>
      <w:tr w:rsidR="00C567A3" w:rsidRPr="00C567A3" w14:paraId="5B753906" w14:textId="77777777" w:rsidTr="00C567A3">
        <w:tc>
          <w:tcPr>
            <w:tcW w:w="800" w:type="pct"/>
            <w:hideMark/>
          </w:tcPr>
          <w:p w14:paraId="389ADFBB" w14:textId="77777777" w:rsidR="00C567A3" w:rsidRPr="00C567A3" w:rsidRDefault="00C567A3" w:rsidP="00C567A3">
            <w:pPr>
              <w:spacing w:after="160"/>
              <w:rPr>
                <w:rFonts w:ascii="Verdana" w:hAnsi="Verdana"/>
                <w:sz w:val="22"/>
                <w:szCs w:val="22"/>
              </w:rPr>
            </w:pPr>
            <w:r w:rsidRPr="00C567A3">
              <w:rPr>
                <w:rFonts w:ascii="Verdana" w:hAnsi="Verdana"/>
                <w:sz w:val="22"/>
                <w:szCs w:val="22"/>
              </w:rPr>
              <w:t>F08.PA03.M</w:t>
            </w:r>
          </w:p>
        </w:tc>
        <w:tc>
          <w:tcPr>
            <w:tcW w:w="2150" w:type="pct"/>
            <w:hideMark/>
          </w:tcPr>
          <w:p w14:paraId="2885D6C9" w14:textId="77777777" w:rsidR="00C567A3" w:rsidRPr="00C567A3" w:rsidRDefault="00C567A3" w:rsidP="00C567A3">
            <w:pPr>
              <w:spacing w:after="160"/>
              <w:rPr>
                <w:rFonts w:ascii="Verdana" w:hAnsi="Verdana"/>
                <w:sz w:val="22"/>
                <w:szCs w:val="22"/>
              </w:rPr>
            </w:pPr>
            <w:r w:rsidRPr="00C567A3">
              <w:rPr>
                <w:rFonts w:ascii="Verdana" w:hAnsi="Verdana"/>
                <w:sz w:val="22"/>
                <w:szCs w:val="22"/>
              </w:rPr>
              <w:t>Informe propiedad planta y equipo</w:t>
            </w:r>
          </w:p>
        </w:tc>
        <w:tc>
          <w:tcPr>
            <w:tcW w:w="700" w:type="pct"/>
            <w:hideMark/>
          </w:tcPr>
          <w:p w14:paraId="318DAC4B" w14:textId="77777777" w:rsidR="00C567A3" w:rsidRPr="00C567A3" w:rsidRDefault="00C567A3" w:rsidP="00C567A3">
            <w:pPr>
              <w:spacing w:after="160"/>
              <w:rPr>
                <w:rFonts w:ascii="Verdana" w:hAnsi="Verdana"/>
                <w:sz w:val="22"/>
                <w:szCs w:val="22"/>
              </w:rPr>
            </w:pPr>
            <w:r w:rsidRPr="00C567A3">
              <w:rPr>
                <w:rFonts w:ascii="Verdana" w:hAnsi="Verdana"/>
                <w:sz w:val="22"/>
                <w:szCs w:val="22"/>
              </w:rPr>
              <w:t>Versión 1.0</w:t>
            </w:r>
          </w:p>
        </w:tc>
        <w:tc>
          <w:tcPr>
            <w:tcW w:w="1350" w:type="pct"/>
            <w:hideMark/>
          </w:tcPr>
          <w:p w14:paraId="231799D5" w14:textId="77777777" w:rsidR="00C567A3" w:rsidRPr="00C567A3" w:rsidRDefault="00C567A3" w:rsidP="00C567A3">
            <w:pPr>
              <w:spacing w:after="160"/>
              <w:rPr>
                <w:rFonts w:ascii="Verdana" w:hAnsi="Verdana"/>
                <w:sz w:val="22"/>
                <w:szCs w:val="22"/>
              </w:rPr>
            </w:pPr>
            <w:r w:rsidRPr="00C567A3">
              <w:rPr>
                <w:rFonts w:ascii="Verdana" w:hAnsi="Verdana"/>
                <w:sz w:val="22"/>
                <w:szCs w:val="22"/>
              </w:rPr>
              <w:t>10 primeros días del mes siguiente</w:t>
            </w:r>
          </w:p>
        </w:tc>
      </w:tr>
      <w:tr w:rsidR="00C567A3" w:rsidRPr="00C567A3" w14:paraId="785BD34B" w14:textId="77777777" w:rsidTr="00C567A3">
        <w:tc>
          <w:tcPr>
            <w:tcW w:w="800" w:type="pct"/>
            <w:hideMark/>
          </w:tcPr>
          <w:p w14:paraId="3B19814F" w14:textId="77777777" w:rsidR="00C567A3" w:rsidRPr="00C567A3" w:rsidRDefault="00C567A3" w:rsidP="00C567A3">
            <w:pPr>
              <w:spacing w:after="160"/>
              <w:rPr>
                <w:rFonts w:ascii="Verdana" w:hAnsi="Verdana"/>
                <w:sz w:val="22"/>
                <w:szCs w:val="22"/>
              </w:rPr>
            </w:pPr>
            <w:r w:rsidRPr="00C567A3">
              <w:rPr>
                <w:rFonts w:ascii="Verdana" w:hAnsi="Verdana"/>
                <w:sz w:val="22"/>
                <w:szCs w:val="22"/>
              </w:rPr>
              <w:t>F10.PA</w:t>
            </w:r>
            <w:proofErr w:type="gramStart"/>
            <w:r w:rsidRPr="00C567A3">
              <w:rPr>
                <w:rFonts w:ascii="Verdana" w:hAnsi="Verdana"/>
                <w:sz w:val="22"/>
                <w:szCs w:val="22"/>
              </w:rPr>
              <w:t>03.B</w:t>
            </w:r>
            <w:proofErr w:type="gramEnd"/>
          </w:p>
        </w:tc>
        <w:tc>
          <w:tcPr>
            <w:tcW w:w="2150" w:type="pct"/>
            <w:hideMark/>
          </w:tcPr>
          <w:p w14:paraId="5C827D47" w14:textId="77777777" w:rsidR="00C567A3" w:rsidRPr="00C567A3" w:rsidRDefault="00C567A3" w:rsidP="00C567A3">
            <w:pPr>
              <w:spacing w:after="160"/>
              <w:rPr>
                <w:rFonts w:ascii="Verdana" w:hAnsi="Verdana"/>
                <w:sz w:val="22"/>
                <w:szCs w:val="22"/>
              </w:rPr>
            </w:pPr>
            <w:r w:rsidRPr="00C567A3">
              <w:rPr>
                <w:rFonts w:ascii="Verdana" w:hAnsi="Verdana"/>
                <w:sz w:val="22"/>
                <w:szCs w:val="22"/>
              </w:rPr>
              <w:t>Cuadro de control de saneamiento</w:t>
            </w:r>
          </w:p>
        </w:tc>
        <w:tc>
          <w:tcPr>
            <w:tcW w:w="700" w:type="pct"/>
            <w:hideMark/>
          </w:tcPr>
          <w:p w14:paraId="150CF4DF" w14:textId="77777777" w:rsidR="00C567A3" w:rsidRPr="00C567A3" w:rsidRDefault="00C567A3" w:rsidP="00C567A3">
            <w:pPr>
              <w:spacing w:after="160"/>
              <w:rPr>
                <w:rFonts w:ascii="Verdana" w:hAnsi="Verdana"/>
                <w:sz w:val="22"/>
                <w:szCs w:val="22"/>
              </w:rPr>
            </w:pPr>
            <w:r w:rsidRPr="00C567A3">
              <w:rPr>
                <w:rFonts w:ascii="Verdana" w:hAnsi="Verdana"/>
                <w:sz w:val="22"/>
                <w:szCs w:val="22"/>
              </w:rPr>
              <w:t>Versión 1.0</w:t>
            </w:r>
          </w:p>
        </w:tc>
        <w:tc>
          <w:tcPr>
            <w:tcW w:w="1350" w:type="pct"/>
            <w:hideMark/>
          </w:tcPr>
          <w:p w14:paraId="2D1ACDF4" w14:textId="77777777" w:rsidR="00C567A3" w:rsidRPr="00C567A3" w:rsidRDefault="00C567A3" w:rsidP="00C567A3">
            <w:pPr>
              <w:spacing w:after="160"/>
              <w:rPr>
                <w:rFonts w:ascii="Verdana" w:hAnsi="Verdana"/>
                <w:sz w:val="22"/>
                <w:szCs w:val="22"/>
              </w:rPr>
            </w:pPr>
            <w:r w:rsidRPr="00C567A3">
              <w:rPr>
                <w:rFonts w:ascii="Verdana" w:hAnsi="Verdana"/>
                <w:sz w:val="22"/>
                <w:szCs w:val="22"/>
              </w:rPr>
              <w:t>10 primeros días del mes siguiente</w:t>
            </w:r>
          </w:p>
        </w:tc>
      </w:tr>
    </w:tbl>
    <w:p w14:paraId="75C5D349" w14:textId="77777777" w:rsidR="00C567A3" w:rsidRPr="00C567A3" w:rsidRDefault="00C567A3" w:rsidP="00C567A3">
      <w:pPr>
        <w:rPr>
          <w:rFonts w:ascii="Verdana" w:hAnsi="Verdana"/>
          <w:sz w:val="22"/>
          <w:szCs w:val="22"/>
        </w:rPr>
      </w:pPr>
      <w:r w:rsidRPr="00C567A3">
        <w:rPr>
          <w:rFonts w:ascii="Verdana" w:hAnsi="Verdana"/>
          <w:b/>
          <w:bCs/>
          <w:sz w:val="22"/>
          <w:szCs w:val="22"/>
        </w:rPr>
        <w:t>PROCESO GESTIÓN JURÍDICO ADMINISTRATIVA</w:t>
      </w:r>
    </w:p>
    <w:p w14:paraId="41479F37" w14:textId="77777777" w:rsidR="00C567A3" w:rsidRPr="00C567A3" w:rsidRDefault="00C567A3" w:rsidP="00C567A3">
      <w:pPr>
        <w:rPr>
          <w:rFonts w:ascii="Verdana" w:hAnsi="Verdana"/>
          <w:sz w:val="22"/>
          <w:szCs w:val="22"/>
        </w:rPr>
      </w:pPr>
      <w:r w:rsidRPr="00C567A3">
        <w:rPr>
          <w:rFonts w:ascii="Verdana" w:hAnsi="Verdana"/>
          <w:b/>
          <w:bCs/>
          <w:sz w:val="22"/>
          <w:szCs w:val="22"/>
        </w:rPr>
        <w:t>Oficina Asesora Jurídica</w:t>
      </w:r>
    </w:p>
    <w:tbl>
      <w:tblPr>
        <w:tblStyle w:val="Tablaconcuadrcula"/>
        <w:tblW w:w="5050" w:type="pct"/>
        <w:tblLook w:val="04A0" w:firstRow="1" w:lastRow="0" w:firstColumn="1" w:lastColumn="0" w:noHBand="0" w:noVBand="1"/>
      </w:tblPr>
      <w:tblGrid>
        <w:gridCol w:w="1476"/>
        <w:gridCol w:w="3817"/>
        <w:gridCol w:w="1143"/>
        <w:gridCol w:w="2480"/>
      </w:tblGrid>
      <w:tr w:rsidR="00C567A3" w:rsidRPr="00C567A3" w14:paraId="23ED1538" w14:textId="77777777" w:rsidTr="00C567A3">
        <w:tc>
          <w:tcPr>
            <w:tcW w:w="800" w:type="pct"/>
            <w:hideMark/>
          </w:tcPr>
          <w:p w14:paraId="73B3D905" w14:textId="77777777" w:rsidR="00C567A3" w:rsidRPr="00C567A3" w:rsidRDefault="00C567A3" w:rsidP="00C567A3">
            <w:pPr>
              <w:spacing w:after="160"/>
              <w:rPr>
                <w:rFonts w:ascii="Verdana" w:hAnsi="Verdana"/>
                <w:sz w:val="22"/>
                <w:szCs w:val="22"/>
              </w:rPr>
            </w:pPr>
            <w:r w:rsidRPr="00C567A3">
              <w:rPr>
                <w:rFonts w:ascii="Verdana" w:hAnsi="Verdana"/>
                <w:sz w:val="22"/>
                <w:szCs w:val="22"/>
              </w:rPr>
              <w:t>F04.PA04.</w:t>
            </w:r>
          </w:p>
        </w:tc>
        <w:tc>
          <w:tcPr>
            <w:tcW w:w="2150" w:type="pct"/>
            <w:hideMark/>
          </w:tcPr>
          <w:p w14:paraId="55997F10" w14:textId="77777777" w:rsidR="00C567A3" w:rsidRPr="00C567A3" w:rsidRDefault="00C567A3" w:rsidP="00C567A3">
            <w:pPr>
              <w:spacing w:after="160"/>
              <w:rPr>
                <w:rFonts w:ascii="Verdana" w:hAnsi="Verdana"/>
                <w:sz w:val="22"/>
                <w:szCs w:val="22"/>
              </w:rPr>
            </w:pPr>
            <w:r w:rsidRPr="00C567A3">
              <w:rPr>
                <w:rFonts w:ascii="Verdana" w:hAnsi="Verdana"/>
                <w:sz w:val="22"/>
                <w:szCs w:val="22"/>
              </w:rPr>
              <w:t>Estado de tutelas</w:t>
            </w:r>
          </w:p>
        </w:tc>
        <w:tc>
          <w:tcPr>
            <w:tcW w:w="650" w:type="pct"/>
            <w:hideMark/>
          </w:tcPr>
          <w:p w14:paraId="7CAC7887" w14:textId="77777777" w:rsidR="00C567A3" w:rsidRPr="00C567A3" w:rsidRDefault="00C567A3" w:rsidP="00C567A3">
            <w:pPr>
              <w:spacing w:after="160"/>
              <w:rPr>
                <w:rFonts w:ascii="Verdana" w:hAnsi="Verdana"/>
                <w:sz w:val="22"/>
                <w:szCs w:val="22"/>
              </w:rPr>
            </w:pPr>
            <w:r w:rsidRPr="00C567A3">
              <w:rPr>
                <w:rFonts w:ascii="Verdana" w:hAnsi="Verdana"/>
                <w:sz w:val="22"/>
                <w:szCs w:val="22"/>
              </w:rPr>
              <w:t>Versión 1.0</w:t>
            </w:r>
          </w:p>
        </w:tc>
        <w:tc>
          <w:tcPr>
            <w:tcW w:w="1450" w:type="pct"/>
            <w:hideMark/>
          </w:tcPr>
          <w:p w14:paraId="7F98CC93" w14:textId="77777777" w:rsidR="00C567A3" w:rsidRPr="00C567A3" w:rsidRDefault="00C567A3" w:rsidP="00C567A3">
            <w:pPr>
              <w:spacing w:after="160"/>
              <w:rPr>
                <w:rFonts w:ascii="Verdana" w:hAnsi="Verdana"/>
                <w:sz w:val="22"/>
                <w:szCs w:val="22"/>
              </w:rPr>
            </w:pPr>
            <w:r w:rsidRPr="00C567A3">
              <w:rPr>
                <w:rFonts w:ascii="Verdana" w:hAnsi="Verdana"/>
                <w:sz w:val="22"/>
                <w:szCs w:val="22"/>
              </w:rPr>
              <w:t>5 primeros días hábiles de abril, julio, octubre y enero</w:t>
            </w:r>
          </w:p>
        </w:tc>
      </w:tr>
      <w:tr w:rsidR="00C567A3" w:rsidRPr="00C567A3" w14:paraId="0E54744D" w14:textId="77777777" w:rsidTr="00C567A3">
        <w:tc>
          <w:tcPr>
            <w:tcW w:w="800" w:type="pct"/>
            <w:hideMark/>
          </w:tcPr>
          <w:p w14:paraId="5953DBE2" w14:textId="77777777" w:rsidR="00C567A3" w:rsidRPr="00C567A3" w:rsidRDefault="00C567A3" w:rsidP="00C567A3">
            <w:pPr>
              <w:spacing w:after="160"/>
              <w:rPr>
                <w:rFonts w:ascii="Verdana" w:hAnsi="Verdana"/>
                <w:sz w:val="22"/>
                <w:szCs w:val="22"/>
              </w:rPr>
            </w:pPr>
            <w:r w:rsidRPr="00C567A3">
              <w:rPr>
                <w:rFonts w:ascii="Verdana" w:hAnsi="Verdana"/>
                <w:sz w:val="22"/>
                <w:szCs w:val="22"/>
              </w:rPr>
              <w:t>F05.PA</w:t>
            </w:r>
            <w:proofErr w:type="gramStart"/>
            <w:r w:rsidRPr="00C567A3">
              <w:rPr>
                <w:rFonts w:ascii="Verdana" w:hAnsi="Verdana"/>
                <w:sz w:val="22"/>
                <w:szCs w:val="22"/>
              </w:rPr>
              <w:t>04.T</w:t>
            </w:r>
            <w:proofErr w:type="gramEnd"/>
          </w:p>
        </w:tc>
        <w:tc>
          <w:tcPr>
            <w:tcW w:w="2150" w:type="pct"/>
            <w:hideMark/>
          </w:tcPr>
          <w:p w14:paraId="01276571" w14:textId="77777777" w:rsidR="00C567A3" w:rsidRPr="00C567A3" w:rsidRDefault="00C567A3" w:rsidP="00C567A3">
            <w:pPr>
              <w:spacing w:after="160"/>
              <w:rPr>
                <w:rFonts w:ascii="Verdana" w:hAnsi="Verdana"/>
                <w:sz w:val="22"/>
                <w:szCs w:val="22"/>
              </w:rPr>
            </w:pPr>
            <w:r w:rsidRPr="00C567A3">
              <w:rPr>
                <w:rFonts w:ascii="Verdana" w:hAnsi="Verdana"/>
                <w:sz w:val="22"/>
                <w:szCs w:val="22"/>
              </w:rPr>
              <w:t>Relación de denuncias hereditarias, bienes mostrencos y vocacionales hereditarias</w:t>
            </w:r>
          </w:p>
        </w:tc>
        <w:tc>
          <w:tcPr>
            <w:tcW w:w="650" w:type="pct"/>
            <w:hideMark/>
          </w:tcPr>
          <w:p w14:paraId="5F6B4896" w14:textId="77777777" w:rsidR="00C567A3" w:rsidRPr="00C567A3" w:rsidRDefault="00C567A3" w:rsidP="00C567A3">
            <w:pPr>
              <w:spacing w:after="160"/>
              <w:rPr>
                <w:rFonts w:ascii="Verdana" w:hAnsi="Verdana"/>
                <w:sz w:val="22"/>
                <w:szCs w:val="22"/>
              </w:rPr>
            </w:pPr>
            <w:r w:rsidRPr="00C567A3">
              <w:rPr>
                <w:rFonts w:ascii="Verdana" w:hAnsi="Verdana"/>
                <w:sz w:val="22"/>
                <w:szCs w:val="22"/>
              </w:rPr>
              <w:t>Versión 1.0</w:t>
            </w:r>
          </w:p>
        </w:tc>
        <w:tc>
          <w:tcPr>
            <w:tcW w:w="1450" w:type="pct"/>
            <w:hideMark/>
          </w:tcPr>
          <w:p w14:paraId="31CC8699" w14:textId="77777777" w:rsidR="00C567A3" w:rsidRPr="00C567A3" w:rsidRDefault="00C567A3" w:rsidP="00C567A3">
            <w:pPr>
              <w:spacing w:after="160"/>
              <w:rPr>
                <w:rFonts w:ascii="Verdana" w:hAnsi="Verdana"/>
                <w:sz w:val="22"/>
                <w:szCs w:val="22"/>
              </w:rPr>
            </w:pPr>
            <w:r w:rsidRPr="00C567A3">
              <w:rPr>
                <w:rFonts w:ascii="Verdana" w:hAnsi="Verdana"/>
                <w:sz w:val="22"/>
                <w:szCs w:val="22"/>
              </w:rPr>
              <w:t>5 primeros días hábiles de abril, julio, octubre y enero</w:t>
            </w:r>
          </w:p>
        </w:tc>
      </w:tr>
    </w:tbl>
    <w:p w14:paraId="58FE63D8" w14:textId="77777777" w:rsidR="00C567A3" w:rsidRPr="00C567A3" w:rsidRDefault="00C567A3" w:rsidP="00C567A3">
      <w:pPr>
        <w:rPr>
          <w:rFonts w:ascii="Verdana" w:hAnsi="Verdana"/>
          <w:sz w:val="22"/>
          <w:szCs w:val="22"/>
        </w:rPr>
      </w:pPr>
      <w:r w:rsidRPr="00C567A3">
        <w:rPr>
          <w:rFonts w:ascii="Verdana" w:hAnsi="Verdana"/>
          <w:b/>
          <w:bCs/>
          <w:sz w:val="22"/>
          <w:szCs w:val="22"/>
        </w:rPr>
        <w:t>PROCESO COORDINACIÓN Y ARTICULACIÓN DEL SISTEMA NACIONAL DE BIENESTAR FAMILIAR</w:t>
      </w:r>
    </w:p>
    <w:tbl>
      <w:tblPr>
        <w:tblStyle w:val="Tablaconcuadrcula"/>
        <w:tblW w:w="5050" w:type="pct"/>
        <w:tblLook w:val="04A0" w:firstRow="1" w:lastRow="0" w:firstColumn="1" w:lastColumn="0" w:noHBand="0" w:noVBand="1"/>
      </w:tblPr>
      <w:tblGrid>
        <w:gridCol w:w="1516"/>
        <w:gridCol w:w="3091"/>
        <w:gridCol w:w="1307"/>
        <w:gridCol w:w="3002"/>
      </w:tblGrid>
      <w:tr w:rsidR="00C567A3" w:rsidRPr="00C567A3" w14:paraId="0C5EFD8E" w14:textId="77777777" w:rsidTr="00C567A3">
        <w:tc>
          <w:tcPr>
            <w:tcW w:w="800" w:type="pct"/>
            <w:hideMark/>
          </w:tcPr>
          <w:p w14:paraId="32494650" w14:textId="77777777" w:rsidR="00C567A3" w:rsidRPr="00C567A3" w:rsidRDefault="00C567A3" w:rsidP="00C567A3">
            <w:pPr>
              <w:spacing w:after="160"/>
              <w:rPr>
                <w:rFonts w:ascii="Verdana" w:hAnsi="Verdana"/>
                <w:sz w:val="22"/>
                <w:szCs w:val="22"/>
              </w:rPr>
            </w:pPr>
            <w:r w:rsidRPr="00C567A3">
              <w:rPr>
                <w:rFonts w:ascii="Verdana" w:hAnsi="Verdana"/>
                <w:sz w:val="22"/>
                <w:szCs w:val="22"/>
              </w:rPr>
              <w:t>F01.PM</w:t>
            </w:r>
            <w:proofErr w:type="gramStart"/>
            <w:r w:rsidRPr="00C567A3">
              <w:rPr>
                <w:rFonts w:ascii="Verdana" w:hAnsi="Verdana"/>
                <w:sz w:val="22"/>
                <w:szCs w:val="22"/>
              </w:rPr>
              <w:t>04.T</w:t>
            </w:r>
            <w:proofErr w:type="gramEnd"/>
          </w:p>
        </w:tc>
        <w:tc>
          <w:tcPr>
            <w:tcW w:w="1750" w:type="pct"/>
            <w:hideMark/>
          </w:tcPr>
          <w:p w14:paraId="401B33AB" w14:textId="77777777" w:rsidR="00C567A3" w:rsidRPr="00C567A3" w:rsidRDefault="00C567A3" w:rsidP="00C567A3">
            <w:pPr>
              <w:spacing w:after="160"/>
              <w:rPr>
                <w:rFonts w:ascii="Verdana" w:hAnsi="Verdana"/>
                <w:sz w:val="22"/>
                <w:szCs w:val="22"/>
              </w:rPr>
            </w:pPr>
            <w:r w:rsidRPr="00C567A3">
              <w:rPr>
                <w:rFonts w:ascii="Verdana" w:hAnsi="Verdana"/>
                <w:sz w:val="22"/>
                <w:szCs w:val="22"/>
              </w:rPr>
              <w:t>Formato de Cofinanciación</w:t>
            </w:r>
          </w:p>
        </w:tc>
        <w:tc>
          <w:tcPr>
            <w:tcW w:w="750" w:type="pct"/>
            <w:hideMark/>
          </w:tcPr>
          <w:p w14:paraId="6E9A0155" w14:textId="77777777" w:rsidR="00C567A3" w:rsidRPr="00C567A3" w:rsidRDefault="00C567A3" w:rsidP="00C567A3">
            <w:pPr>
              <w:spacing w:after="160"/>
              <w:rPr>
                <w:rFonts w:ascii="Verdana" w:hAnsi="Verdana"/>
                <w:sz w:val="22"/>
                <w:szCs w:val="22"/>
              </w:rPr>
            </w:pPr>
            <w:r w:rsidRPr="00C567A3">
              <w:rPr>
                <w:rFonts w:ascii="Verdana" w:hAnsi="Verdana"/>
                <w:sz w:val="22"/>
                <w:szCs w:val="22"/>
              </w:rPr>
              <w:t>Versión 1.0</w:t>
            </w:r>
          </w:p>
        </w:tc>
        <w:tc>
          <w:tcPr>
            <w:tcW w:w="1750" w:type="pct"/>
            <w:hideMark/>
          </w:tcPr>
          <w:p w14:paraId="25320E65" w14:textId="77777777" w:rsidR="00C567A3" w:rsidRPr="00C567A3" w:rsidRDefault="00C567A3" w:rsidP="00C567A3">
            <w:pPr>
              <w:spacing w:after="160"/>
              <w:rPr>
                <w:rFonts w:ascii="Verdana" w:hAnsi="Verdana"/>
                <w:sz w:val="22"/>
                <w:szCs w:val="22"/>
              </w:rPr>
            </w:pPr>
            <w:r w:rsidRPr="00C567A3">
              <w:rPr>
                <w:rFonts w:ascii="Verdana" w:hAnsi="Verdana"/>
                <w:sz w:val="22"/>
                <w:szCs w:val="22"/>
              </w:rPr>
              <w:t>5 primeros días trimestre siguiente</w:t>
            </w:r>
          </w:p>
        </w:tc>
      </w:tr>
      <w:tr w:rsidR="00C567A3" w:rsidRPr="00C567A3" w14:paraId="1392CF1C" w14:textId="77777777" w:rsidTr="00C567A3">
        <w:tc>
          <w:tcPr>
            <w:tcW w:w="800" w:type="pct"/>
            <w:hideMark/>
          </w:tcPr>
          <w:p w14:paraId="3331E14A" w14:textId="77777777" w:rsidR="00C567A3" w:rsidRPr="00C567A3" w:rsidRDefault="00C567A3" w:rsidP="00C567A3">
            <w:pPr>
              <w:spacing w:after="160"/>
              <w:rPr>
                <w:rFonts w:ascii="Verdana" w:hAnsi="Verdana"/>
                <w:sz w:val="22"/>
                <w:szCs w:val="22"/>
              </w:rPr>
            </w:pPr>
            <w:r w:rsidRPr="00C567A3">
              <w:rPr>
                <w:rFonts w:ascii="Verdana" w:hAnsi="Verdana"/>
                <w:sz w:val="22"/>
                <w:szCs w:val="22"/>
              </w:rPr>
              <w:t>F02.PM</w:t>
            </w:r>
            <w:proofErr w:type="gramStart"/>
            <w:r w:rsidRPr="00C567A3">
              <w:rPr>
                <w:rFonts w:ascii="Verdana" w:hAnsi="Verdana"/>
                <w:sz w:val="22"/>
                <w:szCs w:val="22"/>
              </w:rPr>
              <w:t>04.T</w:t>
            </w:r>
            <w:proofErr w:type="gramEnd"/>
          </w:p>
        </w:tc>
        <w:tc>
          <w:tcPr>
            <w:tcW w:w="1750" w:type="pct"/>
            <w:hideMark/>
          </w:tcPr>
          <w:p w14:paraId="1B9CB046" w14:textId="77777777" w:rsidR="00C567A3" w:rsidRPr="00C567A3" w:rsidRDefault="00C567A3" w:rsidP="00C567A3">
            <w:pPr>
              <w:spacing w:after="160"/>
              <w:rPr>
                <w:rFonts w:ascii="Verdana" w:hAnsi="Verdana"/>
                <w:sz w:val="22"/>
                <w:szCs w:val="22"/>
              </w:rPr>
            </w:pPr>
            <w:r w:rsidRPr="00C567A3">
              <w:rPr>
                <w:rFonts w:ascii="Verdana" w:hAnsi="Verdana"/>
                <w:sz w:val="22"/>
                <w:szCs w:val="22"/>
              </w:rPr>
              <w:t>Consejos para la Política Social.</w:t>
            </w:r>
          </w:p>
        </w:tc>
        <w:tc>
          <w:tcPr>
            <w:tcW w:w="750" w:type="pct"/>
            <w:hideMark/>
          </w:tcPr>
          <w:p w14:paraId="65231F7B" w14:textId="77777777" w:rsidR="00C567A3" w:rsidRPr="00C567A3" w:rsidRDefault="00C567A3" w:rsidP="00C567A3">
            <w:pPr>
              <w:spacing w:after="160"/>
              <w:rPr>
                <w:rFonts w:ascii="Verdana" w:hAnsi="Verdana"/>
                <w:sz w:val="22"/>
                <w:szCs w:val="22"/>
              </w:rPr>
            </w:pPr>
            <w:r w:rsidRPr="00C567A3">
              <w:rPr>
                <w:rFonts w:ascii="Verdana" w:hAnsi="Verdana"/>
                <w:sz w:val="22"/>
                <w:szCs w:val="22"/>
              </w:rPr>
              <w:t>Versión 1.0</w:t>
            </w:r>
          </w:p>
        </w:tc>
        <w:tc>
          <w:tcPr>
            <w:tcW w:w="1750" w:type="pct"/>
            <w:hideMark/>
          </w:tcPr>
          <w:p w14:paraId="0F7B986A" w14:textId="77777777" w:rsidR="00C567A3" w:rsidRPr="00C567A3" w:rsidRDefault="00C567A3" w:rsidP="00C567A3">
            <w:pPr>
              <w:spacing w:after="160"/>
              <w:rPr>
                <w:rFonts w:ascii="Verdana" w:hAnsi="Verdana"/>
                <w:sz w:val="22"/>
                <w:szCs w:val="22"/>
              </w:rPr>
            </w:pPr>
            <w:r w:rsidRPr="00C567A3">
              <w:rPr>
                <w:rFonts w:ascii="Verdana" w:hAnsi="Verdana"/>
                <w:sz w:val="22"/>
                <w:szCs w:val="22"/>
              </w:rPr>
              <w:t>5 primeros días trimestre siguiente</w:t>
            </w:r>
          </w:p>
        </w:tc>
      </w:tr>
    </w:tbl>
    <w:p w14:paraId="02202C48" w14:textId="77777777" w:rsidR="00C567A3" w:rsidRPr="00C567A3" w:rsidRDefault="00C567A3" w:rsidP="00C567A3">
      <w:pPr>
        <w:rPr>
          <w:rFonts w:ascii="Verdana" w:hAnsi="Verdana"/>
          <w:sz w:val="22"/>
          <w:szCs w:val="22"/>
        </w:rPr>
      </w:pPr>
      <w:r w:rsidRPr="00C567A3">
        <w:rPr>
          <w:rFonts w:ascii="Verdana" w:hAnsi="Verdana"/>
          <w:b/>
          <w:bCs/>
          <w:sz w:val="22"/>
          <w:szCs w:val="22"/>
        </w:rPr>
        <w:t>EVALUACIÓN INDEPENDIENTE DEL SISTEMA DE CONTROL INTERNO</w:t>
      </w:r>
    </w:p>
    <w:p w14:paraId="274F8818" w14:textId="77777777" w:rsidR="00C567A3" w:rsidRPr="00C567A3" w:rsidRDefault="00C567A3" w:rsidP="00C567A3">
      <w:pPr>
        <w:rPr>
          <w:rFonts w:ascii="Verdana" w:hAnsi="Verdana"/>
          <w:sz w:val="22"/>
          <w:szCs w:val="22"/>
        </w:rPr>
      </w:pPr>
      <w:r w:rsidRPr="00C567A3">
        <w:rPr>
          <w:rFonts w:ascii="Verdana" w:hAnsi="Verdana"/>
          <w:b/>
          <w:bCs/>
          <w:sz w:val="22"/>
          <w:szCs w:val="22"/>
        </w:rPr>
        <w:lastRenderedPageBreak/>
        <w:t>Oficina de Control Interno</w:t>
      </w:r>
    </w:p>
    <w:tbl>
      <w:tblPr>
        <w:tblStyle w:val="Tablaconcuadrcula"/>
        <w:tblW w:w="5050" w:type="pct"/>
        <w:tblLook w:val="04A0" w:firstRow="1" w:lastRow="0" w:firstColumn="1" w:lastColumn="0" w:noHBand="0" w:noVBand="1"/>
      </w:tblPr>
      <w:tblGrid>
        <w:gridCol w:w="1670"/>
        <w:gridCol w:w="2564"/>
        <w:gridCol w:w="1405"/>
        <w:gridCol w:w="3277"/>
      </w:tblGrid>
      <w:tr w:rsidR="00C567A3" w:rsidRPr="00C567A3" w14:paraId="76FB272C" w14:textId="77777777" w:rsidTr="00C567A3">
        <w:tc>
          <w:tcPr>
            <w:tcW w:w="900" w:type="pct"/>
            <w:hideMark/>
          </w:tcPr>
          <w:p w14:paraId="3124D491" w14:textId="77777777" w:rsidR="00C567A3" w:rsidRPr="00C567A3" w:rsidRDefault="00C567A3" w:rsidP="00C567A3">
            <w:pPr>
              <w:spacing w:after="160"/>
              <w:rPr>
                <w:rFonts w:ascii="Verdana" w:hAnsi="Verdana"/>
                <w:sz w:val="22"/>
                <w:szCs w:val="22"/>
              </w:rPr>
            </w:pPr>
            <w:r w:rsidRPr="00C567A3">
              <w:rPr>
                <w:rFonts w:ascii="Verdana" w:hAnsi="Verdana"/>
                <w:sz w:val="22"/>
                <w:szCs w:val="22"/>
              </w:rPr>
              <w:t>F01.PEV02.M</w:t>
            </w:r>
          </w:p>
        </w:tc>
        <w:tc>
          <w:tcPr>
            <w:tcW w:w="1450" w:type="pct"/>
            <w:hideMark/>
          </w:tcPr>
          <w:p w14:paraId="6CFB92F8" w14:textId="77777777" w:rsidR="00C567A3" w:rsidRPr="00C567A3" w:rsidRDefault="00C567A3" w:rsidP="00C567A3">
            <w:pPr>
              <w:spacing w:after="160"/>
              <w:rPr>
                <w:rFonts w:ascii="Verdana" w:hAnsi="Verdana"/>
                <w:sz w:val="22"/>
                <w:szCs w:val="22"/>
              </w:rPr>
            </w:pPr>
            <w:r w:rsidRPr="00C567A3">
              <w:rPr>
                <w:rFonts w:ascii="Verdana" w:hAnsi="Verdana"/>
                <w:sz w:val="22"/>
                <w:szCs w:val="22"/>
              </w:rPr>
              <w:t>Plan de mejoramiento</w:t>
            </w:r>
          </w:p>
        </w:tc>
        <w:tc>
          <w:tcPr>
            <w:tcW w:w="800" w:type="pct"/>
            <w:hideMark/>
          </w:tcPr>
          <w:p w14:paraId="0A421B33" w14:textId="77777777" w:rsidR="00C567A3" w:rsidRPr="00C567A3" w:rsidRDefault="00C567A3" w:rsidP="00C567A3">
            <w:pPr>
              <w:spacing w:after="160"/>
              <w:rPr>
                <w:rFonts w:ascii="Verdana" w:hAnsi="Verdana"/>
                <w:sz w:val="22"/>
                <w:szCs w:val="22"/>
              </w:rPr>
            </w:pPr>
            <w:r w:rsidRPr="00C567A3">
              <w:rPr>
                <w:rFonts w:ascii="Verdana" w:hAnsi="Verdana"/>
                <w:sz w:val="22"/>
                <w:szCs w:val="22"/>
              </w:rPr>
              <w:t>Versión 1.0</w:t>
            </w:r>
          </w:p>
        </w:tc>
        <w:tc>
          <w:tcPr>
            <w:tcW w:w="1850" w:type="pct"/>
            <w:hideMark/>
          </w:tcPr>
          <w:p w14:paraId="251A249B" w14:textId="77777777" w:rsidR="00C567A3" w:rsidRPr="00C567A3" w:rsidRDefault="00C567A3" w:rsidP="00C567A3">
            <w:pPr>
              <w:spacing w:after="160"/>
              <w:rPr>
                <w:rFonts w:ascii="Verdana" w:hAnsi="Verdana"/>
                <w:sz w:val="22"/>
                <w:szCs w:val="22"/>
              </w:rPr>
            </w:pPr>
            <w:r w:rsidRPr="00C567A3">
              <w:rPr>
                <w:rFonts w:ascii="Verdana" w:hAnsi="Verdana"/>
                <w:sz w:val="22"/>
                <w:szCs w:val="22"/>
              </w:rPr>
              <w:t>5 primeros días de cada mes</w:t>
            </w:r>
          </w:p>
        </w:tc>
      </w:tr>
    </w:tbl>
    <w:p w14:paraId="5379C5D4" w14:textId="77777777" w:rsidR="0042353E" w:rsidRPr="0042353E" w:rsidRDefault="0042353E" w:rsidP="0042353E">
      <w:pPr>
        <w:rPr>
          <w:rFonts w:ascii="Verdana" w:hAnsi="Verdana"/>
          <w:sz w:val="22"/>
          <w:szCs w:val="22"/>
        </w:rPr>
      </w:pPr>
    </w:p>
    <w:p w14:paraId="67115909" w14:textId="03AE9140" w:rsidR="0042353E" w:rsidRPr="0042353E" w:rsidRDefault="0042353E" w:rsidP="0042353E">
      <w:pPr>
        <w:rPr>
          <w:rFonts w:ascii="Verdana" w:hAnsi="Verdana"/>
          <w:sz w:val="22"/>
          <w:szCs w:val="22"/>
        </w:rPr>
      </w:pPr>
      <w:r w:rsidRPr="0042353E">
        <w:rPr>
          <w:rFonts w:ascii="Verdana" w:hAnsi="Verdana"/>
          <w:b/>
          <w:bCs/>
          <w:sz w:val="22"/>
          <w:szCs w:val="22"/>
        </w:rPr>
        <w:t>PARÁGRAFO PRIMERO.</w:t>
      </w:r>
      <w:r w:rsidRPr="0042353E">
        <w:rPr>
          <w:rFonts w:ascii="Verdana" w:hAnsi="Verdana"/>
          <w:sz w:val="22"/>
          <w:szCs w:val="22"/>
        </w:rPr>
        <w:t xml:space="preserve"> Los formatos establecidos en el presente artículo se encuentran ubicados en la Intranet, sitio desde donde se podrá consultar, copiar o imprimir. La ruta para su ubicación es:</w:t>
      </w:r>
    </w:p>
    <w:p w14:paraId="31A2F7DB" w14:textId="298032FD" w:rsidR="0042353E" w:rsidRPr="0042353E" w:rsidRDefault="0042353E" w:rsidP="0042353E">
      <w:pPr>
        <w:pStyle w:val="Prrafodelista"/>
        <w:numPr>
          <w:ilvl w:val="0"/>
          <w:numId w:val="5"/>
        </w:numPr>
        <w:rPr>
          <w:rFonts w:ascii="Verdana" w:hAnsi="Verdana"/>
          <w:sz w:val="22"/>
          <w:szCs w:val="22"/>
        </w:rPr>
      </w:pPr>
      <w:r w:rsidRPr="0042353E">
        <w:rPr>
          <w:rFonts w:ascii="Verdana" w:hAnsi="Verdana"/>
          <w:sz w:val="22"/>
          <w:szCs w:val="22"/>
        </w:rPr>
        <w:t>Intranet/Macroprocesos/Valija</w:t>
      </w:r>
    </w:p>
    <w:p w14:paraId="540B5EE7" w14:textId="259FE370" w:rsidR="0042353E" w:rsidRPr="0042353E" w:rsidRDefault="0042353E" w:rsidP="0042353E">
      <w:pPr>
        <w:rPr>
          <w:rFonts w:ascii="Verdana" w:hAnsi="Verdana"/>
          <w:sz w:val="22"/>
          <w:szCs w:val="22"/>
        </w:rPr>
      </w:pPr>
      <w:r w:rsidRPr="0042353E">
        <w:rPr>
          <w:rFonts w:ascii="Verdana" w:hAnsi="Verdana"/>
          <w:b/>
          <w:bCs/>
          <w:sz w:val="22"/>
          <w:szCs w:val="22"/>
        </w:rPr>
        <w:t xml:space="preserve">PARÁGRAFO </w:t>
      </w:r>
      <w:r>
        <w:rPr>
          <w:rFonts w:ascii="Verdana" w:hAnsi="Verdana"/>
          <w:b/>
          <w:bCs/>
          <w:sz w:val="22"/>
          <w:szCs w:val="22"/>
        </w:rPr>
        <w:t>SEGUNDO</w:t>
      </w:r>
      <w:r w:rsidRPr="0042353E">
        <w:rPr>
          <w:rFonts w:ascii="Verdana" w:hAnsi="Verdana"/>
          <w:b/>
          <w:bCs/>
          <w:sz w:val="22"/>
          <w:szCs w:val="22"/>
        </w:rPr>
        <w:t>.</w:t>
      </w:r>
      <w:r w:rsidRPr="0042353E">
        <w:rPr>
          <w:rFonts w:ascii="Verdana" w:hAnsi="Verdana"/>
          <w:sz w:val="22"/>
          <w:szCs w:val="22"/>
        </w:rPr>
        <w:t xml:space="preserve"> Los informes a los que hace referencia la presente resolución deben reportarse en los modelos establecidos y no pueden ser modificados por las Direcciones Regionales.</w:t>
      </w:r>
    </w:p>
    <w:p w14:paraId="46A89751" w14:textId="77777777" w:rsidR="0042353E" w:rsidRPr="0042353E" w:rsidRDefault="0042353E" w:rsidP="0042353E">
      <w:pPr>
        <w:rPr>
          <w:rFonts w:ascii="Verdana" w:hAnsi="Verdana"/>
          <w:sz w:val="22"/>
          <w:szCs w:val="22"/>
        </w:rPr>
      </w:pPr>
      <w:r w:rsidRPr="0042353E">
        <w:rPr>
          <w:rFonts w:ascii="Verdana" w:hAnsi="Verdana"/>
          <w:b/>
          <w:bCs/>
          <w:sz w:val="22"/>
          <w:szCs w:val="22"/>
        </w:rPr>
        <w:t>ARTÍCULO 3o.</w:t>
      </w:r>
      <w:r w:rsidRPr="0042353E">
        <w:rPr>
          <w:rFonts w:ascii="Verdana" w:hAnsi="Verdana"/>
          <w:sz w:val="22"/>
          <w:szCs w:val="22"/>
        </w:rPr>
        <w:t xml:space="preserve"> Los requerimientos de información distintos de los establecidos en la presente resolución deben ser autorizados por la Secretaría General o Subdirección General del ICBF. Las Direcciones Regionales que reciban solicitudes sin esta autorización, no están obligadas a responderlas.</w:t>
      </w:r>
    </w:p>
    <w:p w14:paraId="0B05D8C4" w14:textId="77777777" w:rsidR="0042353E" w:rsidRPr="0042353E" w:rsidRDefault="0042353E" w:rsidP="0042353E">
      <w:pPr>
        <w:rPr>
          <w:rFonts w:ascii="Verdana" w:hAnsi="Verdana"/>
          <w:sz w:val="22"/>
          <w:szCs w:val="22"/>
        </w:rPr>
      </w:pPr>
      <w:r w:rsidRPr="0042353E">
        <w:rPr>
          <w:rFonts w:ascii="Verdana" w:hAnsi="Verdana"/>
          <w:b/>
          <w:bCs/>
          <w:sz w:val="22"/>
          <w:szCs w:val="22"/>
        </w:rPr>
        <w:t>ARTÍCULO 4o.</w:t>
      </w:r>
      <w:r w:rsidRPr="0042353E">
        <w:rPr>
          <w:rFonts w:ascii="Verdana" w:hAnsi="Verdana"/>
          <w:sz w:val="22"/>
          <w:szCs w:val="22"/>
        </w:rPr>
        <w:t xml:space="preserve"> Los informes o reportes generados por los sistemas de información, los que correspondan a formas únicas tales como hojas de vida, declaración juramentada de bienes u otros definidos por disposiciones legales, se continuarán reportando en la forma y fechas establecidas.</w:t>
      </w:r>
    </w:p>
    <w:p w14:paraId="0E0737EF" w14:textId="4E634760" w:rsidR="0042353E" w:rsidRPr="0042353E" w:rsidRDefault="0042353E" w:rsidP="0042353E">
      <w:pPr>
        <w:rPr>
          <w:rFonts w:ascii="Verdana" w:hAnsi="Verdana"/>
          <w:sz w:val="22"/>
          <w:szCs w:val="22"/>
        </w:rPr>
      </w:pPr>
      <w:r w:rsidRPr="0042353E">
        <w:rPr>
          <w:rFonts w:ascii="Verdana" w:hAnsi="Verdana"/>
          <w:b/>
          <w:bCs/>
          <w:sz w:val="22"/>
          <w:szCs w:val="22"/>
        </w:rPr>
        <w:t>ARTÍCULO 5o.</w:t>
      </w:r>
      <w:r w:rsidRPr="0042353E">
        <w:rPr>
          <w:rFonts w:ascii="Verdana" w:hAnsi="Verdana"/>
          <w:sz w:val="22"/>
          <w:szCs w:val="22"/>
        </w:rPr>
        <w:t xml:space="preserve"> Las Direcciones Regionales procederán de la siguiente manera para la organización y envío de su información a la Dirección General:</w:t>
      </w:r>
    </w:p>
    <w:p w14:paraId="0E874ACE" w14:textId="009C3BEF" w:rsidR="0042353E" w:rsidRPr="0042353E" w:rsidRDefault="0042353E" w:rsidP="0042353E">
      <w:pPr>
        <w:pStyle w:val="Prrafodelista"/>
        <w:numPr>
          <w:ilvl w:val="0"/>
          <w:numId w:val="4"/>
        </w:numPr>
        <w:rPr>
          <w:rFonts w:ascii="Verdana" w:hAnsi="Verdana"/>
          <w:sz w:val="22"/>
          <w:szCs w:val="22"/>
        </w:rPr>
      </w:pPr>
      <w:r w:rsidRPr="0042353E">
        <w:rPr>
          <w:rFonts w:ascii="Verdana" w:hAnsi="Verdana"/>
          <w:sz w:val="22"/>
          <w:szCs w:val="22"/>
        </w:rPr>
        <w:t>Cada Coordinador de Grupo, de acuerdo con la periodicidad establecida, presentará a la Dirección Regional los informes correspondientes en las fechas y formatos definidos.</w:t>
      </w:r>
    </w:p>
    <w:p w14:paraId="71F26D0B" w14:textId="32784586" w:rsidR="0042353E" w:rsidRPr="0042353E" w:rsidRDefault="0042353E" w:rsidP="0042353E">
      <w:pPr>
        <w:pStyle w:val="Prrafodelista"/>
        <w:numPr>
          <w:ilvl w:val="0"/>
          <w:numId w:val="4"/>
        </w:numPr>
        <w:rPr>
          <w:rFonts w:ascii="Verdana" w:hAnsi="Verdana"/>
          <w:sz w:val="22"/>
          <w:szCs w:val="22"/>
        </w:rPr>
      </w:pPr>
      <w:r w:rsidRPr="0042353E">
        <w:rPr>
          <w:rFonts w:ascii="Verdana" w:hAnsi="Verdana"/>
          <w:sz w:val="22"/>
          <w:szCs w:val="22"/>
        </w:rPr>
        <w:t xml:space="preserve">El </w:t>
      </w:r>
      <w:proofErr w:type="gramStart"/>
      <w:r w:rsidRPr="0042353E">
        <w:rPr>
          <w:rFonts w:ascii="Verdana" w:hAnsi="Verdana"/>
          <w:sz w:val="22"/>
          <w:szCs w:val="22"/>
        </w:rPr>
        <w:t>Director Regional</w:t>
      </w:r>
      <w:proofErr w:type="gramEnd"/>
      <w:r w:rsidRPr="0042353E">
        <w:rPr>
          <w:rFonts w:ascii="Verdana" w:hAnsi="Verdana"/>
          <w:sz w:val="22"/>
          <w:szCs w:val="22"/>
        </w:rPr>
        <w:t>, directamente o por intermedio del Grupo de Planeación y Sistemas o de quien haga sus veces, efectuará las validaciones que considere pertinentes para garantizar la calidad de la información que va a ser enviada.</w:t>
      </w:r>
    </w:p>
    <w:p w14:paraId="5CA289E6" w14:textId="32245CF2" w:rsidR="0042353E" w:rsidRPr="0042353E" w:rsidRDefault="0042353E" w:rsidP="0042353E">
      <w:pPr>
        <w:pStyle w:val="Prrafodelista"/>
        <w:numPr>
          <w:ilvl w:val="0"/>
          <w:numId w:val="4"/>
        </w:numPr>
        <w:rPr>
          <w:rFonts w:ascii="Verdana" w:hAnsi="Verdana"/>
          <w:sz w:val="22"/>
          <w:szCs w:val="22"/>
        </w:rPr>
      </w:pPr>
      <w:r w:rsidRPr="0042353E">
        <w:rPr>
          <w:rFonts w:ascii="Verdana" w:hAnsi="Verdana"/>
          <w:sz w:val="22"/>
          <w:szCs w:val="22"/>
        </w:rPr>
        <w:t xml:space="preserve">Efectuada la validación, el </w:t>
      </w:r>
      <w:proofErr w:type="gramStart"/>
      <w:r w:rsidRPr="0042353E">
        <w:rPr>
          <w:rFonts w:ascii="Verdana" w:hAnsi="Verdana"/>
          <w:sz w:val="22"/>
          <w:szCs w:val="22"/>
        </w:rPr>
        <w:t>Director Regional</w:t>
      </w:r>
      <w:proofErr w:type="gramEnd"/>
      <w:r w:rsidRPr="0042353E">
        <w:rPr>
          <w:rFonts w:ascii="Verdana" w:hAnsi="Verdana"/>
          <w:sz w:val="22"/>
          <w:szCs w:val="22"/>
        </w:rPr>
        <w:t xml:space="preserve"> remitirá los informes al Grupo, Subdirección, Oficina o Dirección solicitante. De acuerdo con las opciones tecnológicas disponibles, los informes podrán ser remitidos por correo electrónico o medio magnético.</w:t>
      </w:r>
    </w:p>
    <w:p w14:paraId="62912BF9" w14:textId="26830552" w:rsidR="0042353E" w:rsidRPr="0042353E" w:rsidRDefault="0042353E" w:rsidP="0042353E">
      <w:pPr>
        <w:pStyle w:val="Prrafodelista"/>
        <w:numPr>
          <w:ilvl w:val="0"/>
          <w:numId w:val="4"/>
        </w:numPr>
        <w:rPr>
          <w:rFonts w:ascii="Verdana" w:hAnsi="Verdana"/>
          <w:sz w:val="22"/>
          <w:szCs w:val="22"/>
        </w:rPr>
      </w:pPr>
      <w:r w:rsidRPr="0042353E">
        <w:rPr>
          <w:rFonts w:ascii="Verdana" w:hAnsi="Verdana"/>
          <w:sz w:val="22"/>
          <w:szCs w:val="22"/>
        </w:rPr>
        <w:t>El Grupo de Planeación y Sistemas o quien haga sus veces en las Direcciones Regionales, trimestralmente efectuará un análisis del cumplimiento regional en el reporte de informes y lo presentará al Comité Estratégico Regional.</w:t>
      </w:r>
    </w:p>
    <w:p w14:paraId="64DF644B" w14:textId="6652E20C" w:rsidR="0042353E" w:rsidRPr="0042353E" w:rsidRDefault="0042353E" w:rsidP="0042353E">
      <w:pPr>
        <w:rPr>
          <w:rFonts w:ascii="Verdana" w:hAnsi="Verdana"/>
          <w:sz w:val="22"/>
          <w:szCs w:val="22"/>
        </w:rPr>
      </w:pPr>
      <w:r w:rsidRPr="0042353E">
        <w:rPr>
          <w:rFonts w:ascii="Verdana" w:hAnsi="Verdana"/>
          <w:b/>
          <w:bCs/>
          <w:sz w:val="22"/>
          <w:szCs w:val="22"/>
        </w:rPr>
        <w:t>ARTÍCULO 6o.</w:t>
      </w:r>
      <w:r w:rsidRPr="0042353E">
        <w:rPr>
          <w:rFonts w:ascii="Verdana" w:hAnsi="Verdana"/>
          <w:sz w:val="22"/>
          <w:szCs w:val="22"/>
        </w:rPr>
        <w:t xml:space="preserve"> La dependencia de la Dirección General que reciba los informes establecidos por la presente resolución procederá a:</w:t>
      </w:r>
    </w:p>
    <w:p w14:paraId="474DC4CC" w14:textId="0999403E" w:rsidR="0042353E" w:rsidRPr="0042353E" w:rsidRDefault="0042353E" w:rsidP="0042353E">
      <w:pPr>
        <w:pStyle w:val="Prrafodelista"/>
        <w:numPr>
          <w:ilvl w:val="0"/>
          <w:numId w:val="2"/>
        </w:numPr>
        <w:rPr>
          <w:rFonts w:ascii="Verdana" w:hAnsi="Verdana"/>
          <w:sz w:val="22"/>
          <w:szCs w:val="22"/>
        </w:rPr>
      </w:pPr>
      <w:r w:rsidRPr="0042353E">
        <w:rPr>
          <w:rFonts w:ascii="Verdana" w:hAnsi="Verdana"/>
          <w:sz w:val="22"/>
          <w:szCs w:val="22"/>
        </w:rPr>
        <w:lastRenderedPageBreak/>
        <w:t>Efectuar la revisión de los informes para determinar si se ajustan o no a los formatos establecidos y evaluar la consistencia de la información.</w:t>
      </w:r>
    </w:p>
    <w:p w14:paraId="0B34DAA1" w14:textId="5A2DD5E4" w:rsidR="0042353E" w:rsidRPr="0042353E" w:rsidRDefault="0042353E" w:rsidP="0042353E">
      <w:pPr>
        <w:pStyle w:val="Prrafodelista"/>
        <w:numPr>
          <w:ilvl w:val="0"/>
          <w:numId w:val="2"/>
        </w:numPr>
        <w:rPr>
          <w:rFonts w:ascii="Verdana" w:hAnsi="Verdana"/>
          <w:sz w:val="22"/>
          <w:szCs w:val="22"/>
        </w:rPr>
      </w:pPr>
      <w:r w:rsidRPr="0042353E">
        <w:rPr>
          <w:rFonts w:ascii="Verdana" w:hAnsi="Verdana"/>
          <w:sz w:val="22"/>
          <w:szCs w:val="22"/>
        </w:rPr>
        <w:t>Retroalimentar a las Direcciones Regionales, acusando recibo de los informes y formulando las observaciones que considere pertinentes.</w:t>
      </w:r>
    </w:p>
    <w:p w14:paraId="05B40512" w14:textId="2C2192FB" w:rsidR="0042353E" w:rsidRPr="0042353E" w:rsidRDefault="0042353E" w:rsidP="0042353E">
      <w:pPr>
        <w:pStyle w:val="Prrafodelista"/>
        <w:numPr>
          <w:ilvl w:val="0"/>
          <w:numId w:val="2"/>
        </w:numPr>
        <w:rPr>
          <w:rFonts w:ascii="Verdana" w:hAnsi="Verdana"/>
          <w:sz w:val="22"/>
          <w:szCs w:val="22"/>
        </w:rPr>
      </w:pPr>
      <w:r w:rsidRPr="0042353E">
        <w:rPr>
          <w:rFonts w:ascii="Verdana" w:hAnsi="Verdana"/>
          <w:sz w:val="22"/>
          <w:szCs w:val="22"/>
        </w:rPr>
        <w:t>En caso de que esta información soporte el cálculo de un indicador de Gestión, se debe reportar a la Subdirección de Monitoreo y Evaluación.</w:t>
      </w:r>
    </w:p>
    <w:p w14:paraId="6E5B8EFD" w14:textId="77777777" w:rsidR="0042353E" w:rsidRPr="0042353E" w:rsidRDefault="0042353E" w:rsidP="0042353E">
      <w:pPr>
        <w:rPr>
          <w:rFonts w:ascii="Verdana" w:hAnsi="Verdana"/>
          <w:sz w:val="22"/>
          <w:szCs w:val="22"/>
        </w:rPr>
      </w:pPr>
      <w:r w:rsidRPr="0042353E">
        <w:rPr>
          <w:rFonts w:ascii="Verdana" w:hAnsi="Verdana"/>
          <w:b/>
          <w:bCs/>
          <w:sz w:val="22"/>
          <w:szCs w:val="22"/>
        </w:rPr>
        <w:t>ARTÍCULO 7o.</w:t>
      </w:r>
      <w:r w:rsidRPr="0042353E">
        <w:rPr>
          <w:rFonts w:ascii="Verdana" w:hAnsi="Verdana"/>
          <w:sz w:val="22"/>
          <w:szCs w:val="22"/>
        </w:rPr>
        <w:t xml:space="preserve"> Las modificaciones o ajustes a lo establecido por la presente </w:t>
      </w:r>
      <w:proofErr w:type="gramStart"/>
      <w:r w:rsidRPr="0042353E">
        <w:rPr>
          <w:rFonts w:ascii="Verdana" w:hAnsi="Verdana"/>
          <w:sz w:val="22"/>
          <w:szCs w:val="22"/>
        </w:rPr>
        <w:t>resolución,</w:t>
      </w:r>
      <w:proofErr w:type="gramEnd"/>
      <w:r w:rsidRPr="0042353E">
        <w:rPr>
          <w:rFonts w:ascii="Verdana" w:hAnsi="Verdana"/>
          <w:sz w:val="22"/>
          <w:szCs w:val="22"/>
        </w:rPr>
        <w:t xml:space="preserve"> deben ser solicitadas a la Subdirección de Mejoramiento Organizacional de la Dirección de Planeación y Control de Gestión.</w:t>
      </w:r>
    </w:p>
    <w:p w14:paraId="5396327B" w14:textId="118C78E5" w:rsidR="0042353E" w:rsidRPr="0042353E" w:rsidRDefault="0042353E" w:rsidP="0042353E">
      <w:pPr>
        <w:rPr>
          <w:rFonts w:ascii="Verdana" w:hAnsi="Verdana"/>
          <w:sz w:val="22"/>
          <w:szCs w:val="22"/>
        </w:rPr>
      </w:pPr>
      <w:r w:rsidRPr="0042353E">
        <w:rPr>
          <w:rFonts w:ascii="Verdana" w:hAnsi="Verdana"/>
          <w:b/>
          <w:bCs/>
          <w:sz w:val="22"/>
          <w:szCs w:val="22"/>
        </w:rPr>
        <w:t>ARTÍCULO 8o.</w:t>
      </w:r>
      <w:r w:rsidRPr="0042353E">
        <w:rPr>
          <w:rFonts w:ascii="Verdana" w:hAnsi="Verdana"/>
          <w:sz w:val="22"/>
          <w:szCs w:val="22"/>
        </w:rPr>
        <w:t xml:space="preserve"> La presente resolución rige a partir de la fecha de su publicación y deroga la Resolución número 4094 de 2010 y las demás disposiciones que le sean contrarias.</w:t>
      </w:r>
    </w:p>
    <w:p w14:paraId="6CC027F1" w14:textId="1BAE7C14" w:rsidR="0042353E" w:rsidRPr="0042353E" w:rsidRDefault="0042353E" w:rsidP="0042353E">
      <w:pPr>
        <w:jc w:val="center"/>
        <w:rPr>
          <w:rFonts w:ascii="Verdana" w:hAnsi="Verdana"/>
          <w:b/>
          <w:bCs/>
          <w:sz w:val="22"/>
          <w:szCs w:val="22"/>
        </w:rPr>
      </w:pPr>
      <w:r w:rsidRPr="0042353E">
        <w:rPr>
          <w:rFonts w:ascii="Verdana" w:hAnsi="Verdana"/>
          <w:b/>
          <w:bCs/>
          <w:sz w:val="22"/>
          <w:szCs w:val="22"/>
        </w:rPr>
        <w:t>PUBLÍQUESE, COMUNÍQUESE Y CÚMPLASE,</w:t>
      </w:r>
    </w:p>
    <w:p w14:paraId="22C948FB" w14:textId="69902637" w:rsidR="0042353E" w:rsidRPr="0042353E" w:rsidRDefault="0042353E" w:rsidP="0042353E">
      <w:pPr>
        <w:jc w:val="center"/>
        <w:rPr>
          <w:rFonts w:ascii="Verdana" w:hAnsi="Verdana"/>
          <w:sz w:val="22"/>
          <w:szCs w:val="22"/>
        </w:rPr>
      </w:pPr>
      <w:r w:rsidRPr="0042353E">
        <w:rPr>
          <w:rFonts w:ascii="Verdana" w:hAnsi="Verdana"/>
          <w:sz w:val="22"/>
          <w:szCs w:val="22"/>
        </w:rPr>
        <w:t>Dada en Bogotá, D. C. a los 15</w:t>
      </w:r>
      <w:r>
        <w:rPr>
          <w:rFonts w:ascii="Verdana" w:hAnsi="Verdana"/>
          <w:sz w:val="22"/>
          <w:szCs w:val="22"/>
        </w:rPr>
        <w:t xml:space="preserve"> días del mes</w:t>
      </w:r>
      <w:r w:rsidRPr="0042353E">
        <w:rPr>
          <w:rFonts w:ascii="Verdana" w:hAnsi="Verdana"/>
          <w:sz w:val="22"/>
          <w:szCs w:val="22"/>
        </w:rPr>
        <w:t xml:space="preserve"> de agosto de</w:t>
      </w:r>
      <w:r>
        <w:rPr>
          <w:rFonts w:ascii="Verdana" w:hAnsi="Verdana"/>
          <w:sz w:val="22"/>
          <w:szCs w:val="22"/>
        </w:rPr>
        <w:t>l año</w:t>
      </w:r>
      <w:r w:rsidRPr="0042353E">
        <w:rPr>
          <w:rFonts w:ascii="Verdana" w:hAnsi="Verdana"/>
          <w:sz w:val="22"/>
          <w:szCs w:val="22"/>
        </w:rPr>
        <w:t xml:space="preserve"> 2013.</w:t>
      </w:r>
    </w:p>
    <w:p w14:paraId="1F01858D" w14:textId="4FE27DDA" w:rsidR="0042353E" w:rsidRPr="0042353E" w:rsidRDefault="0042353E" w:rsidP="0042353E">
      <w:pPr>
        <w:jc w:val="center"/>
        <w:rPr>
          <w:rFonts w:ascii="Verdana" w:hAnsi="Verdana"/>
          <w:b/>
          <w:bCs/>
          <w:sz w:val="22"/>
          <w:szCs w:val="22"/>
        </w:rPr>
      </w:pPr>
      <w:r w:rsidRPr="0042353E">
        <w:rPr>
          <w:rFonts w:ascii="Verdana" w:hAnsi="Verdana"/>
          <w:b/>
          <w:bCs/>
          <w:sz w:val="22"/>
          <w:szCs w:val="22"/>
        </w:rPr>
        <w:t>ADRIANA MARIA GONZÁLEZ MAXCYCLAK</w:t>
      </w:r>
    </w:p>
    <w:p w14:paraId="186D26D3" w14:textId="152F0452" w:rsidR="0042353E" w:rsidRPr="0042353E" w:rsidRDefault="0042353E" w:rsidP="0042353E">
      <w:pPr>
        <w:jc w:val="center"/>
        <w:rPr>
          <w:rFonts w:ascii="Verdana" w:hAnsi="Verdana"/>
          <w:sz w:val="22"/>
          <w:szCs w:val="22"/>
        </w:rPr>
      </w:pPr>
      <w:r w:rsidRPr="0042353E">
        <w:rPr>
          <w:rFonts w:ascii="Verdana" w:hAnsi="Verdana"/>
          <w:sz w:val="22"/>
          <w:szCs w:val="22"/>
        </w:rPr>
        <w:t>LA SUBDIRECTORA GENERAL ENCARGADA DE LAS FUNCIONES DEL DESPACHO DE LA DIRECCIÓN GENERAL</w:t>
      </w:r>
    </w:p>
    <w:p w14:paraId="2E7733C3" w14:textId="77777777" w:rsidR="0042353E" w:rsidRPr="0042353E" w:rsidRDefault="0042353E" w:rsidP="0042353E">
      <w:pPr>
        <w:rPr>
          <w:rFonts w:ascii="Verdana" w:hAnsi="Verdana"/>
          <w:sz w:val="22"/>
          <w:szCs w:val="22"/>
        </w:rPr>
      </w:pPr>
    </w:p>
    <w:p w14:paraId="73AB6E69" w14:textId="77777777" w:rsidR="0042353E" w:rsidRPr="0042353E" w:rsidRDefault="0042353E">
      <w:pPr>
        <w:rPr>
          <w:rFonts w:ascii="Verdana" w:hAnsi="Verdana"/>
          <w:sz w:val="22"/>
          <w:szCs w:val="22"/>
        </w:rPr>
      </w:pPr>
    </w:p>
    <w:sectPr w:rsidR="0042353E" w:rsidRPr="004235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C01A5"/>
    <w:multiLevelType w:val="hybridMultilevel"/>
    <w:tmpl w:val="87AEC0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BBC7293"/>
    <w:multiLevelType w:val="hybridMultilevel"/>
    <w:tmpl w:val="8D94C8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5066D0B"/>
    <w:multiLevelType w:val="hybridMultilevel"/>
    <w:tmpl w:val="ADA65802"/>
    <w:lvl w:ilvl="0" w:tplc="D0AAA948">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3265BCE"/>
    <w:multiLevelType w:val="hybridMultilevel"/>
    <w:tmpl w:val="89DE6E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55C09E9"/>
    <w:multiLevelType w:val="hybridMultilevel"/>
    <w:tmpl w:val="CF6C09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FEA105E"/>
    <w:multiLevelType w:val="hybridMultilevel"/>
    <w:tmpl w:val="144E47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47489903">
    <w:abstractNumId w:val="1"/>
  </w:num>
  <w:num w:numId="2" w16cid:durableId="526984812">
    <w:abstractNumId w:val="3"/>
  </w:num>
  <w:num w:numId="3" w16cid:durableId="531109228">
    <w:abstractNumId w:val="4"/>
  </w:num>
  <w:num w:numId="4" w16cid:durableId="415320473">
    <w:abstractNumId w:val="0"/>
  </w:num>
  <w:num w:numId="5" w16cid:durableId="936402228">
    <w:abstractNumId w:val="2"/>
  </w:num>
  <w:num w:numId="6" w16cid:durableId="994181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68"/>
    <w:rsid w:val="00083D48"/>
    <w:rsid w:val="001F1437"/>
    <w:rsid w:val="00243CB4"/>
    <w:rsid w:val="0042353E"/>
    <w:rsid w:val="00424613"/>
    <w:rsid w:val="00634D68"/>
    <w:rsid w:val="006A0C5B"/>
    <w:rsid w:val="0081157B"/>
    <w:rsid w:val="00975AF8"/>
    <w:rsid w:val="00A724C4"/>
    <w:rsid w:val="00C567A3"/>
    <w:rsid w:val="00F751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D883"/>
  <w15:chartTrackingRefBased/>
  <w15:docId w15:val="{9D719AD9-09F8-4A76-9111-0B858A3A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101"/>
    <w:pPr>
      <w:spacing w:line="240" w:lineRule="auto"/>
      <w:jc w:val="both"/>
    </w:pPr>
    <w:rPr>
      <w:rFonts w:ascii="Arial" w:hAnsi="Arial" w:cs="Arial"/>
    </w:rPr>
  </w:style>
  <w:style w:type="paragraph" w:styleId="Ttulo1">
    <w:name w:val="heading 1"/>
    <w:basedOn w:val="Normal"/>
    <w:next w:val="Normal"/>
    <w:link w:val="Ttulo1Car"/>
    <w:uiPriority w:val="9"/>
    <w:qFormat/>
    <w:rsid w:val="00634D68"/>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34D68"/>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34D68"/>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34D68"/>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34D68"/>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34D68"/>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34D68"/>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34D68"/>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34D68"/>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4D6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34D6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34D6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34D6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34D6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34D6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34D6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34D6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34D68"/>
    <w:rPr>
      <w:rFonts w:eastAsiaTheme="majorEastAsia" w:cstheme="majorBidi"/>
      <w:color w:val="272727" w:themeColor="text1" w:themeTint="D8"/>
    </w:rPr>
  </w:style>
  <w:style w:type="paragraph" w:styleId="Ttulo">
    <w:name w:val="Title"/>
    <w:basedOn w:val="Normal"/>
    <w:next w:val="Normal"/>
    <w:link w:val="TtuloCar"/>
    <w:uiPriority w:val="10"/>
    <w:qFormat/>
    <w:rsid w:val="00634D68"/>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4D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34D68"/>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34D6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4D68"/>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634D68"/>
    <w:rPr>
      <w:i/>
      <w:iCs/>
      <w:color w:val="404040" w:themeColor="text1" w:themeTint="BF"/>
    </w:rPr>
  </w:style>
  <w:style w:type="paragraph" w:styleId="Prrafodelista">
    <w:name w:val="List Paragraph"/>
    <w:basedOn w:val="Normal"/>
    <w:uiPriority w:val="34"/>
    <w:qFormat/>
    <w:rsid w:val="00634D68"/>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634D68"/>
    <w:rPr>
      <w:i/>
      <w:iCs/>
      <w:color w:val="0F4761" w:themeColor="accent1" w:themeShade="BF"/>
    </w:rPr>
  </w:style>
  <w:style w:type="paragraph" w:styleId="Citadestacada">
    <w:name w:val="Intense Quote"/>
    <w:basedOn w:val="Normal"/>
    <w:next w:val="Normal"/>
    <w:link w:val="CitadestacadaCar"/>
    <w:uiPriority w:val="30"/>
    <w:qFormat/>
    <w:rsid w:val="00634D6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634D68"/>
    <w:rPr>
      <w:i/>
      <w:iCs/>
      <w:color w:val="0F4761" w:themeColor="accent1" w:themeShade="BF"/>
    </w:rPr>
  </w:style>
  <w:style w:type="character" w:styleId="Referenciaintensa">
    <w:name w:val="Intense Reference"/>
    <w:basedOn w:val="Fuentedeprrafopredeter"/>
    <w:uiPriority w:val="32"/>
    <w:qFormat/>
    <w:rsid w:val="00634D68"/>
    <w:rPr>
      <w:b/>
      <w:bCs/>
      <w:smallCaps/>
      <w:color w:val="0F4761" w:themeColor="accent1" w:themeShade="BF"/>
      <w:spacing w:val="5"/>
    </w:rPr>
  </w:style>
  <w:style w:type="character" w:styleId="Hipervnculo">
    <w:name w:val="Hyperlink"/>
    <w:basedOn w:val="Fuentedeprrafopredeter"/>
    <w:uiPriority w:val="99"/>
    <w:unhideWhenUsed/>
    <w:rsid w:val="00C567A3"/>
    <w:rPr>
      <w:color w:val="467886" w:themeColor="hyperlink"/>
      <w:u w:val="single"/>
    </w:rPr>
  </w:style>
  <w:style w:type="character" w:styleId="Mencinsinresolver">
    <w:name w:val="Unresolved Mention"/>
    <w:basedOn w:val="Fuentedeprrafopredeter"/>
    <w:uiPriority w:val="99"/>
    <w:semiHidden/>
    <w:unhideWhenUsed/>
    <w:rsid w:val="00C567A3"/>
    <w:rPr>
      <w:color w:val="605E5C"/>
      <w:shd w:val="clear" w:color="auto" w:fill="E1DFDD"/>
    </w:rPr>
  </w:style>
  <w:style w:type="table" w:styleId="Tablaconcuadrculaclara">
    <w:name w:val="Grid Table Light"/>
    <w:basedOn w:val="Tablanormal"/>
    <w:uiPriority w:val="40"/>
    <w:rsid w:val="00C567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39"/>
    <w:rsid w:val="00C56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05A17-1364-4A65-A5AE-126CBADFCB6E}"/>
</file>

<file path=customXml/itemProps2.xml><?xml version="1.0" encoding="utf-8"?>
<ds:datastoreItem xmlns:ds="http://schemas.openxmlformats.org/officeDocument/2006/customXml" ds:itemID="{C9C8B3D7-7C6A-49AE-B494-958062556BBF}"/>
</file>

<file path=customXml/itemProps3.xml><?xml version="1.0" encoding="utf-8"?>
<ds:datastoreItem xmlns:ds="http://schemas.openxmlformats.org/officeDocument/2006/customXml" ds:itemID="{D511F022-5B3D-41EE-BAB3-E701880E931E}"/>
</file>

<file path=docProps/app.xml><?xml version="1.0" encoding="utf-8"?>
<Properties xmlns="http://schemas.openxmlformats.org/officeDocument/2006/extended-properties" xmlns:vt="http://schemas.openxmlformats.org/officeDocument/2006/docPropsVTypes">
  <Template>Normal</Template>
  <TotalTime>0</TotalTime>
  <Pages>6</Pages>
  <Words>1602</Words>
  <Characters>8814</Characters>
  <Application>Microsoft Office Word</Application>
  <DocSecurity>0</DocSecurity>
  <Lines>73</Lines>
  <Paragraphs>20</Paragraphs>
  <ScaleCrop>false</ScaleCrop>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2026-01-20T16:50:00Z</dcterms:created>
  <dcterms:modified xsi:type="dcterms:W3CDTF">2026-01-20T16:50:00Z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