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7CB0B9" w14:textId="07F95E0C" w:rsidR="00177539" w:rsidRPr="00177539" w:rsidRDefault="00177539" w:rsidP="00177539">
      <w:pPr>
        <w:jc w:val="center"/>
        <w:rPr>
          <w:rFonts w:ascii="Verdana" w:hAnsi="Verdana"/>
        </w:rPr>
      </w:pPr>
      <w:r w:rsidRPr="00177539">
        <w:rPr>
          <w:rFonts w:ascii="Verdana" w:hAnsi="Verdana"/>
          <w:b/>
          <w:bCs/>
        </w:rPr>
        <w:t>RESOLUCIÓN 66 DE 2004</w:t>
      </w:r>
    </w:p>
    <w:p w14:paraId="7A852E8E" w14:textId="77777777" w:rsidR="00DE7D00" w:rsidRPr="00DE7D00" w:rsidRDefault="00DE7D00" w:rsidP="00DE7D00">
      <w:pPr>
        <w:pStyle w:val="Sinespaciado"/>
        <w:rPr>
          <w:rFonts w:ascii="Verdana" w:hAnsi="Verdana"/>
          <w:sz w:val="20"/>
          <w:szCs w:val="20"/>
        </w:rPr>
      </w:pPr>
      <w:r w:rsidRPr="00DE7D00">
        <w:rPr>
          <w:rFonts w:ascii="Verdana" w:hAnsi="Verdana"/>
          <w:sz w:val="20"/>
          <w:szCs w:val="20"/>
        </w:rPr>
        <w:t>Fecha de Expedición: 6 enero de 2004</w:t>
      </w:r>
    </w:p>
    <w:p w14:paraId="6257E8A8" w14:textId="77777777" w:rsidR="00DE7D00" w:rsidRPr="00DE7D00" w:rsidRDefault="00DE7D00" w:rsidP="00DE7D00">
      <w:pPr>
        <w:pStyle w:val="Sinespaciado"/>
        <w:rPr>
          <w:rFonts w:ascii="Verdana" w:hAnsi="Verdana"/>
          <w:sz w:val="20"/>
          <w:szCs w:val="20"/>
        </w:rPr>
      </w:pPr>
      <w:r w:rsidRPr="00DE7D00">
        <w:rPr>
          <w:rFonts w:ascii="Verdana" w:hAnsi="Verdana"/>
          <w:sz w:val="20"/>
          <w:szCs w:val="20"/>
        </w:rPr>
        <w:t xml:space="preserve">Fecha de </w:t>
      </w:r>
      <w:proofErr w:type="gramStart"/>
      <w:r w:rsidRPr="00DE7D00">
        <w:rPr>
          <w:rFonts w:ascii="Verdana" w:hAnsi="Verdana"/>
          <w:sz w:val="20"/>
          <w:szCs w:val="20"/>
        </w:rPr>
        <w:t>entrada en vigencia</w:t>
      </w:r>
      <w:proofErr w:type="gramEnd"/>
      <w:r w:rsidRPr="00DE7D00">
        <w:rPr>
          <w:rFonts w:ascii="Verdana" w:hAnsi="Verdana"/>
          <w:sz w:val="20"/>
          <w:szCs w:val="20"/>
        </w:rPr>
        <w:t>: 6 de enero de 2004</w:t>
      </w:r>
    </w:p>
    <w:p w14:paraId="61856499" w14:textId="77777777" w:rsidR="00DE7D00" w:rsidRPr="00DE7D00" w:rsidRDefault="00DE7D00" w:rsidP="00DE7D00">
      <w:pPr>
        <w:pStyle w:val="Sinespaciado"/>
        <w:rPr>
          <w:rFonts w:ascii="Verdana" w:hAnsi="Verdana"/>
          <w:sz w:val="20"/>
          <w:szCs w:val="20"/>
        </w:rPr>
      </w:pPr>
      <w:r w:rsidRPr="00DE7D00">
        <w:rPr>
          <w:rFonts w:ascii="Verdana" w:hAnsi="Verdana"/>
          <w:sz w:val="20"/>
          <w:szCs w:val="20"/>
        </w:rPr>
        <w:t>Estado de la vigencia: Vigente</w:t>
      </w:r>
    </w:p>
    <w:p w14:paraId="79D66C98" w14:textId="77777777" w:rsidR="00DE7D00" w:rsidRPr="00DE7D00" w:rsidRDefault="00DE7D00" w:rsidP="00DE7D00">
      <w:pPr>
        <w:pStyle w:val="Sinespaciado"/>
        <w:rPr>
          <w:rFonts w:ascii="Verdana" w:hAnsi="Verdana"/>
          <w:sz w:val="20"/>
          <w:szCs w:val="20"/>
        </w:rPr>
      </w:pPr>
      <w:r w:rsidRPr="00DE7D00">
        <w:rPr>
          <w:rFonts w:ascii="Verdana" w:hAnsi="Verdana"/>
          <w:sz w:val="20"/>
          <w:szCs w:val="20"/>
        </w:rPr>
        <w:tab/>
      </w:r>
    </w:p>
    <w:p w14:paraId="55712D2E" w14:textId="3210FACE" w:rsidR="00DE7D00" w:rsidRPr="00DE7D00" w:rsidRDefault="00DE7D00" w:rsidP="00DE7D00">
      <w:pPr>
        <w:pStyle w:val="Sinespaciado"/>
        <w:rPr>
          <w:rFonts w:ascii="Verdana" w:hAnsi="Verdana"/>
          <w:sz w:val="20"/>
          <w:szCs w:val="20"/>
        </w:rPr>
      </w:pPr>
      <w:r w:rsidRPr="00DE7D00">
        <w:rPr>
          <w:rFonts w:ascii="Verdana" w:hAnsi="Verdana"/>
          <w:sz w:val="20"/>
          <w:szCs w:val="20"/>
        </w:rPr>
        <w:t>Fecha de publicación en Diario Oficial: N/A</w:t>
      </w:r>
    </w:p>
    <w:p w14:paraId="701AD3E8" w14:textId="71DF1141" w:rsidR="00DE7D00" w:rsidRPr="00DE7D00" w:rsidRDefault="00DE7D00" w:rsidP="00DE7D00">
      <w:pPr>
        <w:pStyle w:val="Sinespaciado"/>
        <w:rPr>
          <w:rFonts w:ascii="Verdana" w:hAnsi="Verdana"/>
          <w:sz w:val="20"/>
          <w:szCs w:val="20"/>
        </w:rPr>
      </w:pPr>
      <w:r w:rsidRPr="00DE7D00">
        <w:rPr>
          <w:rFonts w:ascii="Verdana" w:hAnsi="Verdana"/>
          <w:sz w:val="20"/>
          <w:szCs w:val="20"/>
        </w:rPr>
        <w:t>Número del Diario Oficial: N/A</w:t>
      </w:r>
    </w:p>
    <w:p w14:paraId="167964EB" w14:textId="77777777" w:rsidR="00DE7D00" w:rsidRDefault="00DE7D00" w:rsidP="00DE7D00">
      <w:pPr>
        <w:pStyle w:val="Sinespaciado"/>
      </w:pPr>
    </w:p>
    <w:p w14:paraId="5FA0C210" w14:textId="69F827C6" w:rsidR="00177539" w:rsidRPr="00177539" w:rsidRDefault="00177539" w:rsidP="00177539">
      <w:pPr>
        <w:jc w:val="center"/>
        <w:rPr>
          <w:rFonts w:ascii="Verdana" w:hAnsi="Verdana"/>
        </w:rPr>
      </w:pPr>
      <w:r w:rsidRPr="00177539">
        <w:rPr>
          <w:rFonts w:ascii="Verdana" w:hAnsi="Verdana"/>
          <w:b/>
          <w:bCs/>
        </w:rPr>
        <w:t>RESOLUCIÓN 66 DE 2004</w:t>
      </w:r>
    </w:p>
    <w:p w14:paraId="3541C484" w14:textId="5E20C849" w:rsidR="00177539" w:rsidRPr="00177539" w:rsidRDefault="00177539" w:rsidP="00177539">
      <w:pPr>
        <w:jc w:val="center"/>
        <w:rPr>
          <w:rFonts w:ascii="Verdana" w:hAnsi="Verdana"/>
        </w:rPr>
      </w:pPr>
      <w:r w:rsidRPr="00177539">
        <w:rPr>
          <w:rFonts w:ascii="Verdana" w:hAnsi="Verdana"/>
        </w:rPr>
        <w:t>(6</w:t>
      </w:r>
      <w:r w:rsidR="00820AE7">
        <w:rPr>
          <w:rFonts w:ascii="Verdana" w:hAnsi="Verdana"/>
        </w:rPr>
        <w:t xml:space="preserve"> de</w:t>
      </w:r>
      <w:r w:rsidRPr="00177539">
        <w:rPr>
          <w:rFonts w:ascii="Verdana" w:hAnsi="Verdana"/>
        </w:rPr>
        <w:t xml:space="preserve"> enero)</w:t>
      </w:r>
    </w:p>
    <w:p w14:paraId="297E1CBE" w14:textId="77777777" w:rsidR="00177539" w:rsidRPr="00177539" w:rsidRDefault="00177539" w:rsidP="00177539">
      <w:pPr>
        <w:jc w:val="center"/>
        <w:rPr>
          <w:rFonts w:ascii="Verdana" w:hAnsi="Verdana"/>
        </w:rPr>
      </w:pPr>
      <w:r w:rsidRPr="00177539">
        <w:rPr>
          <w:rFonts w:ascii="Verdana" w:hAnsi="Verdana"/>
          <w:b/>
          <w:bCs/>
        </w:rPr>
        <w:t>INSTITUTO COLOMBIANO DE BIENESTAR FAMILIAR – ICBF</w:t>
      </w:r>
    </w:p>
    <w:p w14:paraId="66216D2D" w14:textId="77777777" w:rsidR="00177539" w:rsidRPr="00177539" w:rsidRDefault="00177539" w:rsidP="00177539">
      <w:pPr>
        <w:jc w:val="center"/>
        <w:rPr>
          <w:rFonts w:ascii="Verdana" w:hAnsi="Verdana"/>
        </w:rPr>
      </w:pPr>
      <w:r w:rsidRPr="00177539">
        <w:rPr>
          <w:rFonts w:ascii="Verdana" w:hAnsi="Verdana"/>
        </w:rPr>
        <w:t>Por la cual se asigna una función</w:t>
      </w:r>
    </w:p>
    <w:p w14:paraId="2B66547B" w14:textId="77777777" w:rsidR="00177539" w:rsidRPr="00177539" w:rsidRDefault="00177539" w:rsidP="00177539">
      <w:pPr>
        <w:jc w:val="center"/>
        <w:rPr>
          <w:rFonts w:ascii="Verdana" w:hAnsi="Verdana"/>
        </w:rPr>
      </w:pPr>
      <w:r w:rsidRPr="00177539">
        <w:rPr>
          <w:rFonts w:ascii="Verdana" w:hAnsi="Verdana"/>
          <w:b/>
          <w:bCs/>
        </w:rPr>
        <w:t>LA DIRECTORA GENERAL DEL</w:t>
      </w:r>
    </w:p>
    <w:p w14:paraId="0FC3B333" w14:textId="77777777" w:rsidR="00177539" w:rsidRPr="00177539" w:rsidRDefault="00177539" w:rsidP="00177539">
      <w:pPr>
        <w:jc w:val="center"/>
        <w:rPr>
          <w:rFonts w:ascii="Verdana" w:hAnsi="Verdana"/>
        </w:rPr>
      </w:pPr>
      <w:r w:rsidRPr="00177539">
        <w:rPr>
          <w:rFonts w:ascii="Verdana" w:hAnsi="Verdana"/>
          <w:b/>
          <w:bCs/>
        </w:rPr>
        <w:t>INSTITUTO COLOMBIANO DE BIENESTAR FAMILIAR</w:t>
      </w:r>
    </w:p>
    <w:p w14:paraId="61BE6E10" w14:textId="4012F5E7" w:rsidR="00177539" w:rsidRPr="00177539" w:rsidRDefault="00177539" w:rsidP="00177539">
      <w:pPr>
        <w:jc w:val="center"/>
        <w:rPr>
          <w:rFonts w:ascii="Verdana" w:hAnsi="Verdana"/>
        </w:rPr>
      </w:pPr>
      <w:r w:rsidRPr="00177539">
        <w:rPr>
          <w:rFonts w:ascii="Verdana" w:hAnsi="Verdana"/>
        </w:rPr>
        <w:t>En uso de sus facultades legales y en especial las que le confiere la Constitución Política y la Ley 489 de 1998</w:t>
      </w:r>
    </w:p>
    <w:p w14:paraId="6191410A" w14:textId="77777777" w:rsidR="00177539" w:rsidRPr="00177539" w:rsidRDefault="00177539" w:rsidP="00177539">
      <w:pPr>
        <w:jc w:val="center"/>
        <w:rPr>
          <w:rFonts w:ascii="Verdana" w:hAnsi="Verdana"/>
        </w:rPr>
      </w:pPr>
      <w:r w:rsidRPr="00177539">
        <w:rPr>
          <w:rFonts w:ascii="Verdana" w:hAnsi="Verdana"/>
          <w:b/>
          <w:bCs/>
        </w:rPr>
        <w:t>CONSIDERANDO:</w:t>
      </w:r>
    </w:p>
    <w:p w14:paraId="1C7905AF" w14:textId="50EB3F1F" w:rsidR="00177539" w:rsidRPr="00177539" w:rsidRDefault="00177539" w:rsidP="00177539">
      <w:pPr>
        <w:jc w:val="both"/>
        <w:rPr>
          <w:rFonts w:ascii="Verdana" w:hAnsi="Verdana"/>
        </w:rPr>
      </w:pPr>
      <w:r w:rsidRPr="00177539">
        <w:rPr>
          <w:rFonts w:ascii="Verdana" w:hAnsi="Verdana"/>
        </w:rPr>
        <w:t>Que el ICBF como establecimiento público del orden nacional creado por la Ley 9 de 1979, del sector descentralizado, con personería jurídica y autonomía administrativa, hace parte del Presupuesto General de la Nación y le rigen las disposiciones normativas que en materia presupuestal contempla el Estatuto Orgánico de Presupuesto, contenido en la Ley 38 de 1989, modificado por la Ley 179 de 1994, y debe ceñirse a lo allí dispuesto.</w:t>
      </w:r>
    </w:p>
    <w:p w14:paraId="69DBD760" w14:textId="7D0F063F" w:rsidR="00177539" w:rsidRPr="00177539" w:rsidRDefault="00177539" w:rsidP="00177539">
      <w:pPr>
        <w:jc w:val="both"/>
        <w:rPr>
          <w:rFonts w:ascii="Verdana" w:hAnsi="Verdana"/>
        </w:rPr>
      </w:pPr>
      <w:r w:rsidRPr="00177539">
        <w:rPr>
          <w:rFonts w:ascii="Verdana" w:hAnsi="Verdana"/>
        </w:rPr>
        <w:t>Que la Ley 38 de 1989 modificada por la Ley 179 de 1994, en su artículo 32 establece la creación del Banco Nacional de Programas y Proyectos, el cual tiene por objeto respaldar y racionalizar la inversión sectorial programada por las entidades públicas a quienes les rige.</w:t>
      </w:r>
    </w:p>
    <w:p w14:paraId="31E25EAF" w14:textId="77777777" w:rsidR="00177539" w:rsidRPr="00177539" w:rsidRDefault="00177539" w:rsidP="00177539">
      <w:pPr>
        <w:jc w:val="both"/>
        <w:rPr>
          <w:rFonts w:ascii="Verdana" w:hAnsi="Verdana"/>
        </w:rPr>
      </w:pPr>
      <w:r w:rsidRPr="00177539">
        <w:rPr>
          <w:rFonts w:ascii="Verdana" w:hAnsi="Verdana"/>
        </w:rPr>
        <w:t>Que el ICBF como entidad que hace parte de la administración nacional, debe estructurar la ejecución de la inversión en programas y proyectos, siguiendo los lineamientos y parámetros establecidos para ello.</w:t>
      </w:r>
    </w:p>
    <w:p w14:paraId="54572D20" w14:textId="77777777" w:rsidR="00177539" w:rsidRPr="00177539" w:rsidRDefault="00177539" w:rsidP="00177539">
      <w:pPr>
        <w:jc w:val="both"/>
        <w:rPr>
          <w:rFonts w:ascii="Verdana" w:hAnsi="Verdana"/>
        </w:rPr>
      </w:pPr>
      <w:r w:rsidRPr="00177539">
        <w:rPr>
          <w:rFonts w:ascii="Verdana" w:hAnsi="Verdana"/>
        </w:rPr>
        <w:t>Que uno de los lineamientos para la ejecución de los recursos estatales consiste en la necesidad de organizar, racionalizar y regular el proceso de programación y ejecución del presupuesto del ICBF y así como tener un estricto control sobre el gasto realizado.</w:t>
      </w:r>
    </w:p>
    <w:p w14:paraId="2F6AFE64" w14:textId="77777777" w:rsidR="00177539" w:rsidRPr="00177539" w:rsidRDefault="00177539" w:rsidP="00177539">
      <w:pPr>
        <w:jc w:val="both"/>
        <w:rPr>
          <w:rFonts w:ascii="Verdana" w:hAnsi="Verdana"/>
        </w:rPr>
      </w:pPr>
      <w:proofErr w:type="gramStart"/>
      <w:r w:rsidRPr="00177539">
        <w:rPr>
          <w:rFonts w:ascii="Verdana" w:hAnsi="Verdana"/>
        </w:rPr>
        <w:t>Que</w:t>
      </w:r>
      <w:proofErr w:type="gramEnd"/>
      <w:r w:rsidRPr="00177539">
        <w:rPr>
          <w:rFonts w:ascii="Verdana" w:hAnsi="Verdana"/>
        </w:rPr>
        <w:t xml:space="preserve"> para el efecto, se hace necesario definir procedimientos administrativos de programación y ejecución de los proyectos de inversión financiados con recursos del ICBF y que sean ejecutados directamente por la entidad y/o mediante </w:t>
      </w:r>
      <w:r w:rsidRPr="00177539">
        <w:rPr>
          <w:rFonts w:ascii="Verdana" w:hAnsi="Verdana"/>
        </w:rPr>
        <w:lastRenderedPageBreak/>
        <w:t>contratación con personas naturales o jurídicas, así como de los gastos de personal y gastos generales del presupuesto de funcionamiento de la entidad.</w:t>
      </w:r>
    </w:p>
    <w:p w14:paraId="36AE0D08" w14:textId="37DBE3C4" w:rsidR="00177539" w:rsidRPr="00177539" w:rsidRDefault="00177539" w:rsidP="00177539">
      <w:pPr>
        <w:jc w:val="both"/>
        <w:rPr>
          <w:rFonts w:ascii="Verdana" w:hAnsi="Verdana"/>
        </w:rPr>
      </w:pPr>
      <w:r w:rsidRPr="00177539">
        <w:rPr>
          <w:rFonts w:ascii="Verdana" w:hAnsi="Verdana"/>
        </w:rPr>
        <w:t>Que la Constitución Política de Colombia señala en su artículo 209: </w:t>
      </w:r>
      <w:r w:rsidRPr="00177539">
        <w:rPr>
          <w:rFonts w:ascii="Verdana" w:hAnsi="Verdana"/>
          <w:i/>
          <w:iCs/>
        </w:rPr>
        <w:t>“La función administrativa está al servicio de los intereses generales y se desarrolla con fundamento en los principios de igualdad, moralidad, eficacia, economía, celeridad imparcialidad y publicidad mediante la descentralización, la delegación y la desconcentración de funciones.”</w:t>
      </w:r>
    </w:p>
    <w:p w14:paraId="4E36C96B" w14:textId="77777777" w:rsidR="00177539" w:rsidRPr="00177539" w:rsidRDefault="00177539" w:rsidP="00177539">
      <w:pPr>
        <w:jc w:val="both"/>
        <w:rPr>
          <w:rFonts w:ascii="Verdana" w:hAnsi="Verdana"/>
        </w:rPr>
      </w:pPr>
      <w:proofErr w:type="gramStart"/>
      <w:r w:rsidRPr="00177539">
        <w:rPr>
          <w:rFonts w:ascii="Verdana" w:hAnsi="Verdana"/>
        </w:rPr>
        <w:t>Que</w:t>
      </w:r>
      <w:proofErr w:type="gramEnd"/>
      <w:r w:rsidRPr="00177539">
        <w:rPr>
          <w:rFonts w:ascii="Verdana" w:hAnsi="Verdana"/>
        </w:rPr>
        <w:t xml:space="preserve"> en mérito de lo expuesto,</w:t>
      </w:r>
    </w:p>
    <w:p w14:paraId="26D9DBB9" w14:textId="77777777" w:rsidR="00177539" w:rsidRPr="00177539" w:rsidRDefault="00177539" w:rsidP="00E106FD">
      <w:pPr>
        <w:jc w:val="center"/>
        <w:rPr>
          <w:rFonts w:ascii="Verdana" w:hAnsi="Verdana"/>
        </w:rPr>
      </w:pPr>
      <w:r w:rsidRPr="00177539">
        <w:rPr>
          <w:rFonts w:ascii="Verdana" w:hAnsi="Verdana"/>
          <w:b/>
          <w:bCs/>
        </w:rPr>
        <w:t>RESUELVE</w:t>
      </w:r>
    </w:p>
    <w:p w14:paraId="0ECF177C" w14:textId="11AB89E6" w:rsidR="00177539" w:rsidRPr="00177539" w:rsidRDefault="00177539" w:rsidP="00177539">
      <w:pPr>
        <w:jc w:val="both"/>
        <w:rPr>
          <w:rFonts w:ascii="Verdana" w:hAnsi="Verdana"/>
        </w:rPr>
      </w:pPr>
      <w:bookmarkStart w:id="0" w:name="1"/>
      <w:r w:rsidRPr="00177539">
        <w:rPr>
          <w:rFonts w:ascii="Verdana" w:hAnsi="Verdana"/>
          <w:b/>
          <w:bCs/>
        </w:rPr>
        <w:t>ARTÍCULO 1o.</w:t>
      </w:r>
      <w:bookmarkEnd w:id="0"/>
      <w:r w:rsidRPr="00177539">
        <w:rPr>
          <w:rFonts w:ascii="Verdana" w:hAnsi="Verdana"/>
        </w:rPr>
        <w:t xml:space="preserve"> Asignar en los </w:t>
      </w:r>
      <w:proofErr w:type="gramStart"/>
      <w:r w:rsidRPr="00177539">
        <w:rPr>
          <w:rFonts w:ascii="Verdana" w:hAnsi="Verdana"/>
        </w:rPr>
        <w:t>Directores</w:t>
      </w:r>
      <w:proofErr w:type="gramEnd"/>
      <w:r w:rsidRPr="00177539">
        <w:rPr>
          <w:rFonts w:ascii="Verdana" w:hAnsi="Verdana"/>
        </w:rPr>
        <w:t xml:space="preserve">, </w:t>
      </w:r>
      <w:proofErr w:type="gramStart"/>
      <w:r w:rsidRPr="00177539">
        <w:rPr>
          <w:rFonts w:ascii="Verdana" w:hAnsi="Verdana"/>
        </w:rPr>
        <w:t>Subdirectores</w:t>
      </w:r>
      <w:proofErr w:type="gramEnd"/>
      <w:r w:rsidRPr="00177539">
        <w:rPr>
          <w:rFonts w:ascii="Verdana" w:hAnsi="Verdana"/>
        </w:rPr>
        <w:t xml:space="preserve"> y </w:t>
      </w:r>
      <w:proofErr w:type="gramStart"/>
      <w:r w:rsidRPr="00177539">
        <w:rPr>
          <w:rFonts w:ascii="Verdana" w:hAnsi="Verdana"/>
        </w:rPr>
        <w:t>Jefes</w:t>
      </w:r>
      <w:proofErr w:type="gramEnd"/>
      <w:r w:rsidRPr="00177539">
        <w:rPr>
          <w:rFonts w:ascii="Verdana" w:hAnsi="Verdana"/>
        </w:rPr>
        <w:t xml:space="preserve"> de Oficina de la Sede Nacional la gerencia de los proyectos de inversión que hacen parte del presupuesto de inversión del ICBF, en concordancia con la estructura programática vigente y sus lineamientos de programación. Dicha gerencia será ejercida acorde con las funciones establecidas para los mismos en el Decreto 3264 de 2002.</w:t>
      </w:r>
    </w:p>
    <w:p w14:paraId="39C4AA44" w14:textId="77777777" w:rsidR="00177539" w:rsidRPr="00177539" w:rsidRDefault="00177539" w:rsidP="00177539">
      <w:pPr>
        <w:jc w:val="both"/>
        <w:rPr>
          <w:rFonts w:ascii="Verdana" w:hAnsi="Verdana"/>
        </w:rPr>
      </w:pPr>
      <w:r w:rsidRPr="00177539">
        <w:rPr>
          <w:rFonts w:ascii="Verdana" w:hAnsi="Verdana"/>
        </w:rPr>
        <w:t xml:space="preserve">Sin perjuicio de lo anterior, la ordenación del gasto continúa en el </w:t>
      </w:r>
      <w:proofErr w:type="gramStart"/>
      <w:r w:rsidRPr="00177539">
        <w:rPr>
          <w:rFonts w:ascii="Verdana" w:hAnsi="Verdana"/>
        </w:rPr>
        <w:t>Director General</w:t>
      </w:r>
      <w:proofErr w:type="gramEnd"/>
      <w:r w:rsidRPr="00177539">
        <w:rPr>
          <w:rFonts w:ascii="Verdana" w:hAnsi="Verdana"/>
        </w:rPr>
        <w:t xml:space="preserve"> del ICBF, al igual que las delegaciones que hasta la fecha se han efectuado, otorgadas conforme a los parámetros legales.</w:t>
      </w:r>
    </w:p>
    <w:p w14:paraId="41AE193F" w14:textId="1B15252A" w:rsidR="00177539" w:rsidRPr="00177539" w:rsidRDefault="00177539" w:rsidP="00177539">
      <w:pPr>
        <w:jc w:val="both"/>
        <w:rPr>
          <w:rFonts w:ascii="Verdana" w:hAnsi="Verdana"/>
        </w:rPr>
      </w:pPr>
      <w:r w:rsidRPr="00177539">
        <w:rPr>
          <w:rFonts w:ascii="Verdana" w:hAnsi="Verdana"/>
          <w:b/>
          <w:bCs/>
        </w:rPr>
        <w:t>PARÁGRAFO.</w:t>
      </w:r>
      <w:r w:rsidRPr="00177539">
        <w:rPr>
          <w:rFonts w:ascii="Verdana" w:hAnsi="Verdana"/>
        </w:rPr>
        <w:t> Para los efectos de la presente Resolución se entiende por gerencia de proyectos: (i) la formulación, (</w:t>
      </w:r>
      <w:proofErr w:type="spellStart"/>
      <w:r w:rsidRPr="00177539">
        <w:rPr>
          <w:rFonts w:ascii="Verdana" w:hAnsi="Verdana"/>
        </w:rPr>
        <w:t>ii</w:t>
      </w:r>
      <w:proofErr w:type="spellEnd"/>
      <w:r w:rsidRPr="00177539">
        <w:rPr>
          <w:rFonts w:ascii="Verdana" w:hAnsi="Verdana"/>
        </w:rPr>
        <w:t>) la programación, (</w:t>
      </w:r>
      <w:proofErr w:type="spellStart"/>
      <w:r w:rsidRPr="00177539">
        <w:rPr>
          <w:rFonts w:ascii="Verdana" w:hAnsi="Verdana"/>
        </w:rPr>
        <w:t>iii</w:t>
      </w:r>
      <w:proofErr w:type="spellEnd"/>
      <w:r w:rsidRPr="00177539">
        <w:rPr>
          <w:rFonts w:ascii="Verdana" w:hAnsi="Verdana"/>
        </w:rPr>
        <w:t>) la administración, (</w:t>
      </w:r>
      <w:proofErr w:type="spellStart"/>
      <w:r w:rsidRPr="00177539">
        <w:rPr>
          <w:rFonts w:ascii="Verdana" w:hAnsi="Verdana"/>
        </w:rPr>
        <w:t>iv</w:t>
      </w:r>
      <w:proofErr w:type="spellEnd"/>
      <w:r w:rsidRPr="00177539">
        <w:rPr>
          <w:rFonts w:ascii="Verdana" w:hAnsi="Verdana"/>
        </w:rPr>
        <w:t>) la ejecución y (v) el seguimiento físico y financiero de los mismos.</w:t>
      </w:r>
    </w:p>
    <w:p w14:paraId="4F0B4F77" w14:textId="77777777" w:rsidR="00177539" w:rsidRPr="00177539" w:rsidRDefault="00177539" w:rsidP="00177539">
      <w:pPr>
        <w:jc w:val="both"/>
        <w:rPr>
          <w:rFonts w:ascii="Verdana" w:hAnsi="Verdana"/>
        </w:rPr>
      </w:pPr>
      <w:bookmarkStart w:id="1" w:name="2"/>
      <w:r w:rsidRPr="00177539">
        <w:rPr>
          <w:rFonts w:ascii="Verdana" w:hAnsi="Verdana"/>
          <w:b/>
          <w:bCs/>
        </w:rPr>
        <w:t>ARTÍCULO 2o.</w:t>
      </w:r>
      <w:bookmarkEnd w:id="1"/>
      <w:r w:rsidRPr="00177539">
        <w:rPr>
          <w:rFonts w:ascii="Verdana" w:hAnsi="Verdana"/>
        </w:rPr>
        <w:t xml:space="preserve"> Para la formulación, programación, administración y ejecución de los proyectos de inversión, se observarán y aplicarán las normas vigentes y las que para el efecto se expidan por el Gobierno Nacional y las que en cumplimiento de </w:t>
      </w:r>
      <w:proofErr w:type="gramStart"/>
      <w:r w:rsidRPr="00177539">
        <w:rPr>
          <w:rFonts w:ascii="Verdana" w:hAnsi="Verdana"/>
        </w:rPr>
        <w:t>las mismas</w:t>
      </w:r>
      <w:proofErr w:type="gramEnd"/>
      <w:r w:rsidRPr="00177539">
        <w:rPr>
          <w:rFonts w:ascii="Verdana" w:hAnsi="Verdana"/>
        </w:rPr>
        <w:t xml:space="preserve"> expida el ICBF.</w:t>
      </w:r>
    </w:p>
    <w:p w14:paraId="7FF4704D" w14:textId="77777777" w:rsidR="00177539" w:rsidRPr="00177539" w:rsidRDefault="00177539" w:rsidP="00177539">
      <w:pPr>
        <w:jc w:val="both"/>
        <w:rPr>
          <w:rFonts w:ascii="Verdana" w:hAnsi="Verdana"/>
        </w:rPr>
      </w:pPr>
      <w:r w:rsidRPr="00177539">
        <w:rPr>
          <w:rFonts w:ascii="Verdana" w:hAnsi="Verdana"/>
          <w:b/>
          <w:bCs/>
        </w:rPr>
        <w:t>PARÁGRAFO PRIMERO.</w:t>
      </w:r>
      <w:r w:rsidRPr="00177539">
        <w:rPr>
          <w:rFonts w:ascii="Verdana" w:hAnsi="Verdana"/>
        </w:rPr>
        <w:t> Frente a la ejecución financiera, será responsabilidad del gerente de proyecto, la solicitud y trámite de las disponibilidades presupuestales a que hubiere lugar, en concordancia con el Plan Indicativo Institucional -II-, el Plan de Acción - PA-, el Plan Anualizado de Caja -PAC- y el Plan de Contratación.</w:t>
      </w:r>
    </w:p>
    <w:p w14:paraId="5F8545A3" w14:textId="77777777" w:rsidR="00177539" w:rsidRPr="00177539" w:rsidRDefault="00177539" w:rsidP="00177539">
      <w:pPr>
        <w:jc w:val="both"/>
        <w:rPr>
          <w:rFonts w:ascii="Verdana" w:hAnsi="Verdana"/>
        </w:rPr>
      </w:pPr>
      <w:r w:rsidRPr="00177539">
        <w:rPr>
          <w:rFonts w:ascii="Verdana" w:hAnsi="Verdana"/>
          <w:b/>
          <w:bCs/>
        </w:rPr>
        <w:t>PARÁGRAFO SEGUNDO.</w:t>
      </w:r>
      <w:r w:rsidRPr="00177539">
        <w:rPr>
          <w:rFonts w:ascii="Verdana" w:hAnsi="Verdana"/>
        </w:rPr>
        <w:t xml:space="preserve"> Los certificados de disponibilidad presupuestal expedidos por la Dirección Financiera tendrán una vigencia limitada en el tiempo, tal como dispone la ley de presupuesto, dependiendo del procedimiento de contratación para el cual sean solicitados, tiempo durante el cual deberá ser solicitado el respectivo registro presupuestal, </w:t>
      </w:r>
      <w:proofErr w:type="gramStart"/>
      <w:r w:rsidRPr="00177539">
        <w:rPr>
          <w:rFonts w:ascii="Verdana" w:hAnsi="Verdana"/>
        </w:rPr>
        <w:t>puesto que</w:t>
      </w:r>
      <w:proofErr w:type="gramEnd"/>
      <w:r w:rsidRPr="00177539">
        <w:rPr>
          <w:rFonts w:ascii="Verdana" w:hAnsi="Verdana"/>
        </w:rPr>
        <w:t xml:space="preserve"> finalizada la vigencia, los recursos se liberarán inmediatamente.</w:t>
      </w:r>
    </w:p>
    <w:p w14:paraId="16CD6E3C" w14:textId="77777777" w:rsidR="00177539" w:rsidRPr="00177539" w:rsidRDefault="00177539" w:rsidP="00177539">
      <w:pPr>
        <w:jc w:val="both"/>
        <w:rPr>
          <w:rFonts w:ascii="Verdana" w:hAnsi="Verdana"/>
        </w:rPr>
      </w:pPr>
      <w:r w:rsidRPr="00177539">
        <w:rPr>
          <w:rFonts w:ascii="Verdana" w:hAnsi="Verdana"/>
        </w:rPr>
        <w:t>Las vigencias son: (i) para procedimientos licitatorios o concursales cuatro (4) meses, (</w:t>
      </w:r>
      <w:proofErr w:type="spellStart"/>
      <w:r w:rsidRPr="00177539">
        <w:rPr>
          <w:rFonts w:ascii="Verdana" w:hAnsi="Verdana"/>
        </w:rPr>
        <w:t>ii</w:t>
      </w:r>
      <w:proofErr w:type="spellEnd"/>
      <w:r w:rsidRPr="00177539">
        <w:rPr>
          <w:rFonts w:ascii="Verdana" w:hAnsi="Verdana"/>
        </w:rPr>
        <w:t xml:space="preserve">) para procedimiento de convocatoria pública con publicación en página </w:t>
      </w:r>
      <w:r w:rsidRPr="00177539">
        <w:rPr>
          <w:rFonts w:ascii="Verdana" w:hAnsi="Verdana"/>
        </w:rPr>
        <w:lastRenderedPageBreak/>
        <w:t>web, tres (3) meses, (</w:t>
      </w:r>
      <w:proofErr w:type="spellStart"/>
      <w:r w:rsidRPr="00177539">
        <w:rPr>
          <w:rFonts w:ascii="Verdana" w:hAnsi="Verdana"/>
        </w:rPr>
        <w:t>iii</w:t>
      </w:r>
      <w:proofErr w:type="spellEnd"/>
      <w:r w:rsidRPr="00177539">
        <w:rPr>
          <w:rFonts w:ascii="Verdana" w:hAnsi="Verdana"/>
        </w:rPr>
        <w:t>) para procedimiento de convocatoria pública con publicación en cartelera, dos (2) meses, y (</w:t>
      </w:r>
      <w:proofErr w:type="spellStart"/>
      <w:r w:rsidRPr="00177539">
        <w:rPr>
          <w:rFonts w:ascii="Verdana" w:hAnsi="Verdana"/>
        </w:rPr>
        <w:t>iv</w:t>
      </w:r>
      <w:proofErr w:type="spellEnd"/>
      <w:r w:rsidRPr="00177539">
        <w:rPr>
          <w:rFonts w:ascii="Verdana" w:hAnsi="Verdana"/>
        </w:rPr>
        <w:t>) para procedimiento de invitación, un (1) mes.</w:t>
      </w:r>
    </w:p>
    <w:p w14:paraId="50ED7580" w14:textId="2840F06A" w:rsidR="00177539" w:rsidRPr="00177539" w:rsidRDefault="00177539" w:rsidP="00177539">
      <w:pPr>
        <w:jc w:val="both"/>
        <w:rPr>
          <w:rFonts w:ascii="Verdana" w:hAnsi="Verdana"/>
        </w:rPr>
      </w:pPr>
      <w:r w:rsidRPr="00177539">
        <w:rPr>
          <w:rFonts w:ascii="Verdana" w:hAnsi="Verdana"/>
          <w:b/>
          <w:bCs/>
        </w:rPr>
        <w:t>PARÁGRAFO TERCERO:</w:t>
      </w:r>
      <w:r w:rsidRPr="00177539">
        <w:rPr>
          <w:rFonts w:ascii="Verdana" w:hAnsi="Verdana"/>
        </w:rPr>
        <w:t> Cuando en forma excepcional, la solicitud de certificado de disponibilidad presupuestal no corresponda a contratos aprobados en el Plan de Contratación de la respectiva vigencia, dicha solicitud deberá ser revisada por el ordenador del gasto e impartir en ella su visto bueno previo.</w:t>
      </w:r>
    </w:p>
    <w:p w14:paraId="5F1FD959" w14:textId="66D5844A" w:rsidR="00177539" w:rsidRPr="00177539" w:rsidRDefault="00177539" w:rsidP="00177539">
      <w:pPr>
        <w:jc w:val="both"/>
        <w:rPr>
          <w:rFonts w:ascii="Verdana" w:hAnsi="Verdana"/>
        </w:rPr>
      </w:pPr>
      <w:bookmarkStart w:id="2" w:name="3"/>
      <w:r w:rsidRPr="00177539">
        <w:rPr>
          <w:rFonts w:ascii="Verdana" w:hAnsi="Verdana"/>
          <w:b/>
          <w:bCs/>
        </w:rPr>
        <w:t>ARTÍCULO 3o.</w:t>
      </w:r>
      <w:bookmarkEnd w:id="2"/>
      <w:r w:rsidRPr="00177539">
        <w:rPr>
          <w:rFonts w:ascii="Verdana" w:hAnsi="Verdana"/>
        </w:rPr>
        <w:t> La Dirección de Planeación reglamentará los procedimientos, metodologías y funciones a desarrollar propias para la gerencia de proyectos y brindará el apoyo técnico en la formulación, evaluación y programación de la inversión a los gerentes para el cumplimiento del proceso.</w:t>
      </w:r>
    </w:p>
    <w:p w14:paraId="74B02F54" w14:textId="14C1C68F" w:rsidR="00177539" w:rsidRPr="00177539" w:rsidRDefault="00177539" w:rsidP="00177539">
      <w:pPr>
        <w:jc w:val="both"/>
        <w:rPr>
          <w:rFonts w:ascii="Verdana" w:hAnsi="Verdana"/>
        </w:rPr>
      </w:pPr>
      <w:bookmarkStart w:id="3" w:name="4"/>
      <w:r w:rsidRPr="00177539">
        <w:rPr>
          <w:rFonts w:ascii="Verdana" w:hAnsi="Verdana"/>
          <w:b/>
          <w:bCs/>
        </w:rPr>
        <w:t>ARTÍCULO 4o.</w:t>
      </w:r>
      <w:bookmarkEnd w:id="3"/>
      <w:r w:rsidRPr="00177539">
        <w:rPr>
          <w:rFonts w:ascii="Verdana" w:hAnsi="Verdana"/>
        </w:rPr>
        <w:t xml:space="preserve"> Delegar en los </w:t>
      </w:r>
      <w:proofErr w:type="gramStart"/>
      <w:r w:rsidRPr="00177539">
        <w:rPr>
          <w:rFonts w:ascii="Verdana" w:hAnsi="Verdana"/>
        </w:rPr>
        <w:t>Directores</w:t>
      </w:r>
      <w:proofErr w:type="gramEnd"/>
      <w:r w:rsidRPr="00177539">
        <w:rPr>
          <w:rFonts w:ascii="Verdana" w:hAnsi="Verdana"/>
        </w:rPr>
        <w:t xml:space="preserve"> de Gestión Humana y Administrativa la gerencia de los componentes de Gastos de Personal y Gastos Generales respectivamente, del presupuesto de gastos de funcionamiento. Para tal fin deberán atender los contenidos de los artículos anteriores de la presente Resolución.</w:t>
      </w:r>
    </w:p>
    <w:p w14:paraId="01C2A964" w14:textId="20509104" w:rsidR="00177539" w:rsidRPr="00177539" w:rsidRDefault="00177539" w:rsidP="00177539">
      <w:pPr>
        <w:jc w:val="both"/>
        <w:rPr>
          <w:rFonts w:ascii="Verdana" w:hAnsi="Verdana"/>
        </w:rPr>
      </w:pPr>
      <w:bookmarkStart w:id="4" w:name="5"/>
      <w:r w:rsidRPr="00177539">
        <w:rPr>
          <w:rFonts w:ascii="Verdana" w:hAnsi="Verdana"/>
          <w:b/>
          <w:bCs/>
        </w:rPr>
        <w:t>ARTÍCULO 5o.</w:t>
      </w:r>
      <w:bookmarkEnd w:id="4"/>
      <w:r w:rsidRPr="00177539">
        <w:rPr>
          <w:rFonts w:ascii="Verdana" w:hAnsi="Verdana"/>
        </w:rPr>
        <w:t xml:space="preserve"> Los </w:t>
      </w:r>
      <w:proofErr w:type="gramStart"/>
      <w:r w:rsidRPr="00177539">
        <w:rPr>
          <w:rFonts w:ascii="Verdana" w:hAnsi="Verdana"/>
        </w:rPr>
        <w:t>Directores Regionales</w:t>
      </w:r>
      <w:proofErr w:type="gramEnd"/>
      <w:r w:rsidRPr="00177539">
        <w:rPr>
          <w:rFonts w:ascii="Verdana" w:hAnsi="Verdana"/>
        </w:rPr>
        <w:t xml:space="preserve"> adelantarán acciones similares en sus respectivas regionales, en concordancia con la programación de metas sociales y financieras aprobadas para la vigencia y sus respectivos ajustes.</w:t>
      </w:r>
    </w:p>
    <w:p w14:paraId="23E9103C" w14:textId="77777777" w:rsidR="00177539" w:rsidRPr="00177539" w:rsidRDefault="00177539" w:rsidP="00177539">
      <w:pPr>
        <w:jc w:val="both"/>
        <w:rPr>
          <w:rFonts w:ascii="Verdana" w:hAnsi="Verdana"/>
        </w:rPr>
      </w:pPr>
      <w:bookmarkStart w:id="5" w:name="6"/>
      <w:r w:rsidRPr="00177539">
        <w:rPr>
          <w:rFonts w:ascii="Verdana" w:hAnsi="Verdana"/>
          <w:b/>
          <w:bCs/>
        </w:rPr>
        <w:t>ARTÍCULO 6o.</w:t>
      </w:r>
      <w:bookmarkEnd w:id="5"/>
      <w:r w:rsidRPr="00177539">
        <w:rPr>
          <w:rFonts w:ascii="Verdana" w:hAnsi="Verdana"/>
        </w:rPr>
        <w:t> La presente resolución rige a partir de la fecha de su expedición.</w:t>
      </w:r>
    </w:p>
    <w:p w14:paraId="3F209C66" w14:textId="4DD81594" w:rsidR="00177539" w:rsidRPr="00DE7D00" w:rsidRDefault="00177539" w:rsidP="00177539">
      <w:pPr>
        <w:jc w:val="center"/>
        <w:rPr>
          <w:rFonts w:ascii="Verdana" w:hAnsi="Verdana"/>
          <w:b/>
          <w:bCs/>
        </w:rPr>
      </w:pPr>
      <w:r w:rsidRPr="00DE7D00">
        <w:rPr>
          <w:rFonts w:ascii="Verdana" w:hAnsi="Verdana"/>
          <w:b/>
          <w:bCs/>
        </w:rPr>
        <w:t>COMUNÍQUESE Y CÚMPLASE</w:t>
      </w:r>
    </w:p>
    <w:p w14:paraId="75C0A169" w14:textId="25FEAF35" w:rsidR="00177539" w:rsidRPr="00177539" w:rsidRDefault="00177539" w:rsidP="00177539">
      <w:pPr>
        <w:jc w:val="center"/>
        <w:rPr>
          <w:rFonts w:ascii="Verdana" w:hAnsi="Verdana"/>
        </w:rPr>
      </w:pPr>
      <w:r w:rsidRPr="00177539">
        <w:rPr>
          <w:rFonts w:ascii="Verdana" w:hAnsi="Verdana"/>
        </w:rPr>
        <w:t>6 enero</w:t>
      </w:r>
      <w:r w:rsidRPr="00177539">
        <w:rPr>
          <w:rFonts w:ascii="Verdana" w:hAnsi="Verdana"/>
          <w:b/>
          <w:bCs/>
        </w:rPr>
        <w:t xml:space="preserve"> </w:t>
      </w:r>
      <w:r w:rsidRPr="00177539">
        <w:rPr>
          <w:rFonts w:ascii="Verdana" w:hAnsi="Verdana"/>
          <w:bCs/>
        </w:rPr>
        <w:t>de 2004</w:t>
      </w:r>
    </w:p>
    <w:p w14:paraId="611CD449" w14:textId="77777777" w:rsidR="00177539" w:rsidRPr="00177539" w:rsidRDefault="00177539" w:rsidP="00177539">
      <w:pPr>
        <w:jc w:val="center"/>
        <w:rPr>
          <w:rFonts w:ascii="Verdana" w:hAnsi="Verdana"/>
        </w:rPr>
      </w:pPr>
      <w:r w:rsidRPr="00177539">
        <w:rPr>
          <w:rFonts w:ascii="Verdana" w:hAnsi="Verdana"/>
          <w:b/>
          <w:bCs/>
        </w:rPr>
        <w:t>BEATRÍZ LONDOÑO SOTO</w:t>
      </w:r>
    </w:p>
    <w:p w14:paraId="2A08EF8E" w14:textId="77777777" w:rsidR="00177539" w:rsidRPr="00177539" w:rsidRDefault="00177539" w:rsidP="00177539">
      <w:pPr>
        <w:jc w:val="center"/>
        <w:rPr>
          <w:rFonts w:ascii="Verdana" w:hAnsi="Verdana"/>
        </w:rPr>
      </w:pPr>
      <w:r w:rsidRPr="00177539">
        <w:rPr>
          <w:rFonts w:ascii="Verdana" w:hAnsi="Verdana"/>
        </w:rPr>
        <w:t>Directora General</w:t>
      </w:r>
    </w:p>
    <w:p w14:paraId="70F00EEC" w14:textId="77777777" w:rsidR="00BF0030" w:rsidRPr="00177539" w:rsidRDefault="00BF0030" w:rsidP="00177539">
      <w:pPr>
        <w:jc w:val="center"/>
        <w:rPr>
          <w:rFonts w:ascii="Verdana" w:hAnsi="Verdana"/>
        </w:rPr>
      </w:pPr>
    </w:p>
    <w:sectPr w:rsidR="00BF0030" w:rsidRPr="00177539">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0225"/>
    <w:rsid w:val="00177539"/>
    <w:rsid w:val="001E5614"/>
    <w:rsid w:val="003776A7"/>
    <w:rsid w:val="00780225"/>
    <w:rsid w:val="00820AE7"/>
    <w:rsid w:val="00BF0030"/>
    <w:rsid w:val="00DE7D00"/>
    <w:rsid w:val="00E106FD"/>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1731CB"/>
  <w15:chartTrackingRefBased/>
  <w15:docId w15:val="{D5C91765-D8A4-4DE3-A3AD-84BCF6F1A9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39"/>
    <w:rsid w:val="00177539"/>
    <w:pPr>
      <w:spacing w:after="0" w:line="240" w:lineRule="auto"/>
    </w:pPr>
    <w:rPr>
      <w:kern w:val="2"/>
      <w:sz w:val="24"/>
      <w:szCs w:val="24"/>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
    <w:name w:val="Hyperlink"/>
    <w:basedOn w:val="Fuentedeprrafopredeter"/>
    <w:uiPriority w:val="99"/>
    <w:unhideWhenUsed/>
    <w:rsid w:val="00177539"/>
    <w:rPr>
      <w:color w:val="0563C1" w:themeColor="hyperlink"/>
      <w:u w:val="single"/>
    </w:rPr>
  </w:style>
  <w:style w:type="character" w:styleId="Mencinsinresolver">
    <w:name w:val="Unresolved Mention"/>
    <w:basedOn w:val="Fuentedeprrafopredeter"/>
    <w:uiPriority w:val="99"/>
    <w:semiHidden/>
    <w:unhideWhenUsed/>
    <w:rsid w:val="00177539"/>
    <w:rPr>
      <w:color w:val="605E5C"/>
      <w:shd w:val="clear" w:color="auto" w:fill="E1DFDD"/>
    </w:rPr>
  </w:style>
  <w:style w:type="paragraph" w:styleId="Sinespaciado">
    <w:name w:val="No Spacing"/>
    <w:uiPriority w:val="1"/>
    <w:qFormat/>
    <w:rsid w:val="00DE7D00"/>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65439497">
      <w:bodyDiv w:val="1"/>
      <w:marLeft w:val="0"/>
      <w:marRight w:val="0"/>
      <w:marTop w:val="0"/>
      <w:marBottom w:val="0"/>
      <w:divBdr>
        <w:top w:val="none" w:sz="0" w:space="0" w:color="auto"/>
        <w:left w:val="none" w:sz="0" w:space="0" w:color="auto"/>
        <w:bottom w:val="none" w:sz="0" w:space="0" w:color="auto"/>
        <w:right w:val="none" w:sz="0" w:space="0" w:color="auto"/>
      </w:divBdr>
    </w:div>
    <w:div w:id="634458004">
      <w:bodyDiv w:val="1"/>
      <w:marLeft w:val="0"/>
      <w:marRight w:val="0"/>
      <w:marTop w:val="0"/>
      <w:marBottom w:val="0"/>
      <w:divBdr>
        <w:top w:val="none" w:sz="0" w:space="0" w:color="auto"/>
        <w:left w:val="none" w:sz="0" w:space="0" w:color="auto"/>
        <w:bottom w:val="none" w:sz="0" w:space="0" w:color="auto"/>
        <w:right w:val="none" w:sz="0" w:space="0" w:color="auto"/>
      </w:divBdr>
    </w:div>
    <w:div w:id="699356349">
      <w:bodyDiv w:val="1"/>
      <w:marLeft w:val="0"/>
      <w:marRight w:val="0"/>
      <w:marTop w:val="0"/>
      <w:marBottom w:val="0"/>
      <w:divBdr>
        <w:top w:val="none" w:sz="0" w:space="0" w:color="auto"/>
        <w:left w:val="none" w:sz="0" w:space="0" w:color="auto"/>
        <w:bottom w:val="none" w:sz="0" w:space="0" w:color="auto"/>
        <w:right w:val="none" w:sz="0" w:space="0" w:color="auto"/>
      </w:divBdr>
    </w:div>
    <w:div w:id="1271083424">
      <w:bodyDiv w:val="1"/>
      <w:marLeft w:val="0"/>
      <w:marRight w:val="0"/>
      <w:marTop w:val="0"/>
      <w:marBottom w:val="0"/>
      <w:divBdr>
        <w:top w:val="none" w:sz="0" w:space="0" w:color="auto"/>
        <w:left w:val="none" w:sz="0" w:space="0" w:color="auto"/>
        <w:bottom w:val="none" w:sz="0" w:space="0" w:color="auto"/>
        <w:right w:val="none" w:sz="0" w:space="0" w:color="auto"/>
      </w:divBdr>
    </w:div>
    <w:div w:id="1471904346">
      <w:bodyDiv w:val="1"/>
      <w:marLeft w:val="0"/>
      <w:marRight w:val="0"/>
      <w:marTop w:val="0"/>
      <w:marBottom w:val="0"/>
      <w:divBdr>
        <w:top w:val="none" w:sz="0" w:space="0" w:color="auto"/>
        <w:left w:val="none" w:sz="0" w:space="0" w:color="auto"/>
        <w:bottom w:val="none" w:sz="0" w:space="0" w:color="auto"/>
        <w:right w:val="none" w:sz="0" w:space="0" w:color="auto"/>
      </w:divBdr>
    </w:div>
    <w:div w:id="1610116777">
      <w:bodyDiv w:val="1"/>
      <w:marLeft w:val="0"/>
      <w:marRight w:val="0"/>
      <w:marTop w:val="0"/>
      <w:marBottom w:val="0"/>
      <w:divBdr>
        <w:top w:val="none" w:sz="0" w:space="0" w:color="auto"/>
        <w:left w:val="none" w:sz="0" w:space="0" w:color="auto"/>
        <w:bottom w:val="none" w:sz="0" w:space="0" w:color="auto"/>
        <w:right w:val="none" w:sz="0" w:space="0" w:color="auto"/>
      </w:divBdr>
    </w:div>
    <w:div w:id="1621960709">
      <w:bodyDiv w:val="1"/>
      <w:marLeft w:val="0"/>
      <w:marRight w:val="0"/>
      <w:marTop w:val="0"/>
      <w:marBottom w:val="0"/>
      <w:divBdr>
        <w:top w:val="none" w:sz="0" w:space="0" w:color="auto"/>
        <w:left w:val="none" w:sz="0" w:space="0" w:color="auto"/>
        <w:bottom w:val="none" w:sz="0" w:space="0" w:color="auto"/>
        <w:right w:val="none" w:sz="0" w:space="0" w:color="auto"/>
      </w:divBdr>
    </w:div>
    <w:div w:id="20552326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3.xml"/><Relationship Id="rId3" Type="http://schemas.openxmlformats.org/officeDocument/2006/relationships/webSettings" Target="webSettings.xml"/><Relationship Id="rId7" Type="http://schemas.openxmlformats.org/officeDocument/2006/relationships/customXml" Target="../customXml/item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2C08C58B39498E4896A2054B5FC01AEB" ma:contentTypeVersion="3" ma:contentTypeDescription="Crear nuevo documento." ma:contentTypeScope="" ma:versionID="b4d173dae77e0f6cefc0a12b2bbb2e99">
  <xsd:schema xmlns:xsd="http://www.w3.org/2001/XMLSchema" xmlns:xs="http://www.w3.org/2001/XMLSchema" xmlns:p="http://schemas.microsoft.com/office/2006/metadata/properties" xmlns:ns2="83b6216f-50ca-4067-8039-c588814c8876" targetNamespace="http://schemas.microsoft.com/office/2006/metadata/properties" ma:root="true" ma:fieldsID="eca3e6bf47cf396c8fb42fde65a041b6" ns2:_="">
    <xsd:import namespace="83b6216f-50ca-4067-8039-c588814c8876"/>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3b6216f-50ca-4067-8039-c588814c887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FF077D0-F7B8-401B-B1FC-59A93F7B4086}"/>
</file>

<file path=customXml/itemProps2.xml><?xml version="1.0" encoding="utf-8"?>
<ds:datastoreItem xmlns:ds="http://schemas.openxmlformats.org/officeDocument/2006/customXml" ds:itemID="{0097D468-F93D-43F1-8DE5-43EC1B3E965F}"/>
</file>

<file path=customXml/itemProps3.xml><?xml version="1.0" encoding="utf-8"?>
<ds:datastoreItem xmlns:ds="http://schemas.openxmlformats.org/officeDocument/2006/customXml" ds:itemID="{B0212991-5889-49D0-AF8A-7A5BB425DA53}"/>
</file>

<file path=docProps/app.xml><?xml version="1.0" encoding="utf-8"?>
<Properties xmlns="http://schemas.openxmlformats.org/officeDocument/2006/extended-properties" xmlns:vt="http://schemas.openxmlformats.org/officeDocument/2006/docPropsVTypes">
  <Template>Normal</Template>
  <TotalTime>2</TotalTime>
  <Pages>1</Pages>
  <Words>911</Words>
  <Characters>5034</Characters>
  <Application>Microsoft Office Word</Application>
  <DocSecurity>0</DocSecurity>
  <Lines>100</Lines>
  <Paragraphs>44</Paragraphs>
  <ScaleCrop>false</ScaleCrop>
  <Company/>
  <LinksUpToDate>false</LinksUpToDate>
  <CharactersWithSpaces>5901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Jeronimo Guerrero Hoyos</dc:creator>
  <cp:keywords/>
  <dc:description/>
  <cp:lastModifiedBy>Daniel Eduardo Lozano Bocanegra</cp:lastModifiedBy>
  <cp:revision>4</cp:revision>
  <dcterms:created xsi:type="dcterms:W3CDTF">2025-11-28T21:15:00Z</dcterms:created>
  <dcterms:modified xsi:type="dcterms:W3CDTF">2026-01-21T16:05:00Z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0x0101002C08C58B39498E4896A2054B5FC01AEB</vt:lpwstr>
  </property>
</Properties>
</file>