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DEF7" w14:textId="77777777" w:rsidR="000663E2" w:rsidRPr="000663E2" w:rsidRDefault="000663E2" w:rsidP="000663E2">
      <w:pPr>
        <w:jc w:val="center"/>
        <w:rPr>
          <w:rFonts w:ascii="Verdana" w:hAnsi="Verdana"/>
        </w:rPr>
      </w:pPr>
      <w:r w:rsidRPr="000663E2">
        <w:rPr>
          <w:rFonts w:ascii="Verdana" w:hAnsi="Verdana"/>
          <w:b/>
          <w:bCs/>
        </w:rPr>
        <w:t>RESOLUCIÓN 652 DE 2011</w:t>
      </w:r>
    </w:p>
    <w:p w14:paraId="1D61369E" w14:textId="6ACA1AC8" w:rsidR="000663E2" w:rsidRPr="00A85783" w:rsidRDefault="000663E2" w:rsidP="000663E2">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0663E2">
        <w:rPr>
          <w:rFonts w:ascii="Verdana" w:hAnsi="Verdana"/>
          <w:sz w:val="20"/>
          <w:szCs w:val="20"/>
        </w:rPr>
        <w:t xml:space="preserve">22 de febrero </w:t>
      </w:r>
      <w:r w:rsidRPr="00A85783">
        <w:rPr>
          <w:rFonts w:ascii="Verdana" w:hAnsi="Verdana"/>
          <w:sz w:val="20"/>
          <w:szCs w:val="20"/>
        </w:rPr>
        <w:t xml:space="preserve">de </w:t>
      </w:r>
      <w:r>
        <w:rPr>
          <w:rFonts w:ascii="Verdana" w:hAnsi="Verdana"/>
          <w:sz w:val="20"/>
          <w:szCs w:val="20"/>
        </w:rPr>
        <w:t>201</w:t>
      </w:r>
      <w:r w:rsidR="00486AFF">
        <w:rPr>
          <w:rFonts w:ascii="Verdana" w:hAnsi="Verdana"/>
          <w:sz w:val="20"/>
          <w:szCs w:val="20"/>
        </w:rPr>
        <w:t>1</w:t>
      </w:r>
    </w:p>
    <w:p w14:paraId="35790C23" w14:textId="66090112" w:rsidR="000663E2" w:rsidRPr="00A85783" w:rsidRDefault="000663E2" w:rsidP="000663E2">
      <w:pPr>
        <w:pStyle w:val="Sinespaciado"/>
        <w:rPr>
          <w:rFonts w:ascii="Verdana" w:hAnsi="Verdana"/>
          <w:sz w:val="20"/>
          <w:szCs w:val="20"/>
        </w:rPr>
      </w:pPr>
      <w:r w:rsidRPr="00A85783">
        <w:rPr>
          <w:rFonts w:ascii="Verdana" w:hAnsi="Verdana"/>
          <w:sz w:val="20"/>
          <w:szCs w:val="20"/>
        </w:rPr>
        <w:t xml:space="preserve">Fecha de entrada en vigencia: </w:t>
      </w:r>
      <w:r w:rsidR="002055A3">
        <w:rPr>
          <w:rFonts w:ascii="Verdana" w:hAnsi="Verdana"/>
          <w:sz w:val="20"/>
          <w:szCs w:val="20"/>
        </w:rPr>
        <w:t>22 de octubre de 2011</w:t>
      </w:r>
    </w:p>
    <w:p w14:paraId="7FD37227" w14:textId="2E89FB32" w:rsidR="000663E2" w:rsidRPr="00A85783" w:rsidRDefault="000663E2" w:rsidP="000663E2">
      <w:pPr>
        <w:pStyle w:val="Sinespaciado"/>
        <w:rPr>
          <w:rFonts w:ascii="Verdana" w:hAnsi="Verdana"/>
          <w:sz w:val="20"/>
          <w:szCs w:val="20"/>
        </w:rPr>
      </w:pPr>
      <w:r w:rsidRPr="00A85783">
        <w:rPr>
          <w:rFonts w:ascii="Verdana" w:hAnsi="Verdana"/>
          <w:sz w:val="20"/>
          <w:szCs w:val="20"/>
        </w:rPr>
        <w:t xml:space="preserve">Estado de la vigencia: </w:t>
      </w:r>
      <w:r w:rsidRPr="000663E2">
        <w:rPr>
          <w:rFonts w:ascii="Verdana" w:hAnsi="Verdana"/>
          <w:sz w:val="20"/>
          <w:szCs w:val="20"/>
        </w:rPr>
        <w:t>derogada por el artículo 5 de la Resolución 1526 de 2016</w:t>
      </w:r>
    </w:p>
    <w:p w14:paraId="6DCF4165" w14:textId="77777777" w:rsidR="000663E2" w:rsidRDefault="000663E2" w:rsidP="000663E2">
      <w:pPr>
        <w:pStyle w:val="Sinespaciado"/>
        <w:rPr>
          <w:rFonts w:ascii="Verdana" w:hAnsi="Verdana"/>
          <w:sz w:val="20"/>
          <w:szCs w:val="20"/>
        </w:rPr>
      </w:pPr>
    </w:p>
    <w:p w14:paraId="430CAA04" w14:textId="368B4F42" w:rsidR="000663E2" w:rsidRPr="00A85783" w:rsidRDefault="000663E2" w:rsidP="000663E2">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22 de octubre de 2011</w:t>
      </w:r>
    </w:p>
    <w:p w14:paraId="57E32BB3" w14:textId="725A39A8" w:rsidR="000663E2" w:rsidRDefault="000663E2" w:rsidP="000663E2">
      <w:pPr>
        <w:pStyle w:val="Sinespaciado"/>
        <w:rPr>
          <w:rFonts w:ascii="Verdana" w:hAnsi="Verdana"/>
          <w:sz w:val="20"/>
          <w:szCs w:val="20"/>
        </w:rPr>
      </w:pPr>
      <w:r w:rsidRPr="00A85783">
        <w:rPr>
          <w:rFonts w:ascii="Verdana" w:hAnsi="Verdana"/>
          <w:sz w:val="20"/>
          <w:szCs w:val="20"/>
        </w:rPr>
        <w:t xml:space="preserve">Número del Diario Oficial: </w:t>
      </w:r>
      <w:r w:rsidRPr="000663E2">
        <w:rPr>
          <w:rFonts w:ascii="Verdana" w:hAnsi="Verdana"/>
          <w:sz w:val="20"/>
          <w:szCs w:val="20"/>
        </w:rPr>
        <w:t>48.230 </w:t>
      </w:r>
    </w:p>
    <w:p w14:paraId="2822046C" w14:textId="77777777" w:rsidR="002055A3" w:rsidRDefault="002055A3" w:rsidP="000663E2">
      <w:pPr>
        <w:pStyle w:val="Sinespaciado"/>
        <w:rPr>
          <w:rFonts w:ascii="Verdana" w:hAnsi="Verdana"/>
          <w:sz w:val="20"/>
          <w:szCs w:val="20"/>
        </w:rPr>
      </w:pPr>
    </w:p>
    <w:bookmarkEnd w:id="0"/>
    <w:p w14:paraId="3619FB60" w14:textId="77777777" w:rsidR="000663E2" w:rsidRPr="000663E2" w:rsidRDefault="000663E2" w:rsidP="000663E2">
      <w:pPr>
        <w:jc w:val="center"/>
        <w:rPr>
          <w:rFonts w:ascii="Verdana" w:hAnsi="Verdana"/>
        </w:rPr>
      </w:pPr>
      <w:r w:rsidRPr="000663E2">
        <w:rPr>
          <w:rFonts w:ascii="Verdana" w:hAnsi="Verdana"/>
          <w:b/>
          <w:bCs/>
        </w:rPr>
        <w:t>RESOLUCIÓN 652 DE 2011</w:t>
      </w:r>
    </w:p>
    <w:p w14:paraId="1DCD699E" w14:textId="2F72AE9A" w:rsidR="000663E2" w:rsidRPr="000663E2" w:rsidRDefault="000663E2" w:rsidP="000663E2">
      <w:pPr>
        <w:jc w:val="center"/>
        <w:rPr>
          <w:rFonts w:ascii="Verdana" w:hAnsi="Verdana"/>
        </w:rPr>
      </w:pPr>
      <w:r w:rsidRPr="000663E2">
        <w:rPr>
          <w:rFonts w:ascii="Verdana" w:hAnsi="Verdana"/>
        </w:rPr>
        <w:t>(</w:t>
      </w:r>
      <w:r>
        <w:rPr>
          <w:rFonts w:ascii="Verdana" w:hAnsi="Verdana"/>
        </w:rPr>
        <w:t xml:space="preserve">22 de </w:t>
      </w:r>
      <w:r w:rsidRPr="000663E2">
        <w:rPr>
          <w:rFonts w:ascii="Verdana" w:hAnsi="Verdana"/>
        </w:rPr>
        <w:t>febrero)</w:t>
      </w:r>
    </w:p>
    <w:p w14:paraId="1F5075D2" w14:textId="77777777" w:rsidR="000663E2" w:rsidRPr="000663E2" w:rsidRDefault="000663E2" w:rsidP="000663E2">
      <w:pPr>
        <w:jc w:val="center"/>
        <w:rPr>
          <w:rFonts w:ascii="Verdana" w:hAnsi="Verdana"/>
        </w:rPr>
      </w:pPr>
      <w:r w:rsidRPr="000663E2">
        <w:rPr>
          <w:rFonts w:ascii="Verdana" w:hAnsi="Verdana"/>
          <w:b/>
          <w:bCs/>
        </w:rPr>
        <w:t>INSTITUTO COLOMBIANO DE BIENESTAR FAMILIAR – ICBF</w:t>
      </w:r>
    </w:p>
    <w:p w14:paraId="6B037784" w14:textId="77777777" w:rsidR="000663E2" w:rsidRPr="000663E2" w:rsidRDefault="000663E2" w:rsidP="000663E2">
      <w:pPr>
        <w:jc w:val="center"/>
        <w:rPr>
          <w:rFonts w:ascii="Verdana" w:hAnsi="Verdana"/>
        </w:rPr>
      </w:pPr>
      <w:r w:rsidRPr="000663E2">
        <w:rPr>
          <w:rFonts w:ascii="Verdana" w:hAnsi="Verdana"/>
        </w:rPr>
        <w:t>Por la cual se aprueba el Estatuto del Defensor de Familia</w:t>
      </w:r>
    </w:p>
    <w:p w14:paraId="7F0CE9AD" w14:textId="77777777" w:rsidR="000663E2" w:rsidRPr="000663E2" w:rsidRDefault="000663E2" w:rsidP="000663E2">
      <w:pPr>
        <w:jc w:val="center"/>
        <w:rPr>
          <w:rFonts w:ascii="Verdana" w:hAnsi="Verdana"/>
        </w:rPr>
      </w:pPr>
      <w:r w:rsidRPr="000663E2">
        <w:rPr>
          <w:rFonts w:ascii="Verdana" w:hAnsi="Verdana"/>
          <w:b/>
          <w:bCs/>
        </w:rPr>
        <w:t>LA DIRECTORA GENERAL DEL INSTITUTO COLOMBIANO DE BIENESTAR FAMILIAR CECILIA DE LA FUENTE DE LLERAS</w:t>
      </w:r>
    </w:p>
    <w:p w14:paraId="2D6D9340" w14:textId="0107CE7B" w:rsidR="000663E2" w:rsidRPr="000663E2" w:rsidRDefault="000663E2" w:rsidP="000663E2">
      <w:pPr>
        <w:jc w:val="center"/>
        <w:rPr>
          <w:rFonts w:ascii="Verdana" w:hAnsi="Verdana"/>
        </w:rPr>
      </w:pPr>
      <w:r w:rsidRPr="000663E2">
        <w:rPr>
          <w:rFonts w:ascii="Verdana" w:hAnsi="Verdana"/>
        </w:rPr>
        <w:t>En uso de sus facultades legales y estatutarias, en especial las conferidas en el artículo 78 de la Ley 489 de 1998 y el parágrafo del artículo 11 de la Ley 1098 de 2006, y</w:t>
      </w:r>
    </w:p>
    <w:p w14:paraId="5FB6CC66" w14:textId="77777777" w:rsidR="000663E2" w:rsidRPr="000663E2" w:rsidRDefault="000663E2" w:rsidP="000663E2">
      <w:pPr>
        <w:jc w:val="center"/>
        <w:rPr>
          <w:rFonts w:ascii="Verdana" w:hAnsi="Verdana"/>
        </w:rPr>
      </w:pPr>
      <w:r w:rsidRPr="000663E2">
        <w:rPr>
          <w:rFonts w:ascii="Verdana" w:hAnsi="Verdana"/>
          <w:b/>
          <w:bCs/>
        </w:rPr>
        <w:t>CONSIDERANDO</w:t>
      </w:r>
    </w:p>
    <w:p w14:paraId="02CC5035" w14:textId="2C440A72" w:rsidR="000663E2" w:rsidRPr="000663E2" w:rsidRDefault="000663E2" w:rsidP="000663E2">
      <w:pPr>
        <w:jc w:val="both"/>
        <w:rPr>
          <w:rFonts w:ascii="Verdana" w:hAnsi="Verdana"/>
        </w:rPr>
      </w:pPr>
      <w:r w:rsidRPr="000663E2">
        <w:rPr>
          <w:rFonts w:ascii="Verdana" w:hAnsi="Verdana"/>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732DAAFC" w14:textId="004E95C9" w:rsidR="000663E2" w:rsidRPr="000663E2" w:rsidRDefault="000663E2" w:rsidP="000663E2">
      <w:pPr>
        <w:jc w:val="both"/>
        <w:rPr>
          <w:rFonts w:ascii="Verdana" w:hAnsi="Verdana"/>
        </w:rPr>
      </w:pPr>
      <w:r w:rsidRPr="000663E2">
        <w:rPr>
          <w:rFonts w:ascii="Verdana" w:hAnsi="Verdana"/>
        </w:rPr>
        <w:t>Que el Código de la Infancia y la Adolescencia - Ley 1098 de 2006-: (i) Tiene Por objeto establecer normas sustantivas y procesales para la protección integral de los niños, las niñas y los adolescentes y para garantizar el ejercicio de sus derechos y libertades, y (</w:t>
      </w:r>
      <w:proofErr w:type="spellStart"/>
      <w:r w:rsidRPr="000663E2">
        <w:rPr>
          <w:rFonts w:ascii="Verdana" w:hAnsi="Verdana"/>
        </w:rPr>
        <w:t>ii</w:t>
      </w:r>
      <w:proofErr w:type="spellEnd"/>
      <w:r w:rsidRPr="000663E2">
        <w:rPr>
          <w:rFonts w:ascii="Verdana" w:hAnsi="Verdana"/>
        </w:rPr>
        <w:t>) Tiene por finalidad garantizar a los niños, niñas y adolescentes su pleno y armonioso desarrollo para que crezcan en el seno de la familia y de la comunidad, en un ambiente de felicidad, amor y comprensión.</w:t>
      </w:r>
    </w:p>
    <w:p w14:paraId="3A058C6C" w14:textId="2A8FDD1D" w:rsidR="000663E2" w:rsidRPr="000663E2" w:rsidRDefault="000663E2" w:rsidP="000663E2">
      <w:pPr>
        <w:jc w:val="both"/>
        <w:rPr>
          <w:rFonts w:ascii="Verdana" w:hAnsi="Verdana"/>
        </w:rPr>
      </w:pPr>
      <w:r w:rsidRPr="000663E2">
        <w:rPr>
          <w:rFonts w:ascii="Verdana" w:hAnsi="Verdana"/>
        </w:rPr>
        <w:t>Que el parágrafo del artículo 11 del Código de la Infancia y la Adolescencia, faculta al ICBF para definir los Lineamientos Técnicos que las autoridades y las entidades deben cumplir para garantizar los derechos de los niños, niñas y adolescentes.</w:t>
      </w:r>
    </w:p>
    <w:p w14:paraId="01E8D3FE" w14:textId="7DFAF45C" w:rsidR="000663E2" w:rsidRPr="000663E2" w:rsidRDefault="000663E2" w:rsidP="000663E2">
      <w:pPr>
        <w:jc w:val="both"/>
        <w:rPr>
          <w:rFonts w:ascii="Verdana" w:hAnsi="Verdana"/>
        </w:rPr>
      </w:pPr>
      <w:r w:rsidRPr="000663E2">
        <w:rPr>
          <w:rFonts w:ascii="Verdana" w:hAnsi="Verdana"/>
        </w:rPr>
        <w:t>Que el artículo 79 de la Ley 1098 establece que las Defensorías de Familia son dependencias del Instituto Colombiano de Bienestar Familiar de naturaleza multidisciplinaria, encargadas de prevenir, garantizar y restablecer los derechos de los niños, niñas y adolescentes, y que contarán con un equipo interdisciplinario integrado por lo menos por un psicólogo, un trabajador social y un nutricionista.</w:t>
      </w:r>
    </w:p>
    <w:p w14:paraId="5C19790F" w14:textId="5A14D975" w:rsidR="000663E2" w:rsidRPr="000663E2" w:rsidRDefault="000663E2" w:rsidP="000663E2">
      <w:pPr>
        <w:jc w:val="both"/>
        <w:rPr>
          <w:rFonts w:ascii="Verdana" w:hAnsi="Verdana"/>
        </w:rPr>
      </w:pPr>
      <w:r w:rsidRPr="000663E2">
        <w:rPr>
          <w:rFonts w:ascii="Verdana" w:hAnsi="Verdana"/>
        </w:rPr>
        <w:lastRenderedPageBreak/>
        <w:t>Que el artículo 96 de la misma normativa establece como autoridades competentes del restablecimiento de derechos a los Defensores y Comisarios de Familia, quienes deben procurar y promover la realización y restablecimiento de los derechos reconocidos en los tratados internacionales, la Constitución Política y el Código de la Infancia y la Adolescencia, y sus funciones se encuentran consagradas en los artículos 82 y 86.</w:t>
      </w:r>
    </w:p>
    <w:p w14:paraId="584620B9" w14:textId="77777777" w:rsidR="000663E2" w:rsidRPr="000663E2" w:rsidRDefault="000663E2" w:rsidP="000663E2">
      <w:pPr>
        <w:jc w:val="both"/>
        <w:rPr>
          <w:rFonts w:ascii="Verdana" w:hAnsi="Verdana"/>
        </w:rPr>
      </w:pPr>
      <w:r w:rsidRPr="000663E2">
        <w:rPr>
          <w:rFonts w:ascii="Verdana" w:hAnsi="Verdana"/>
        </w:rPr>
        <w:t>Que de acuerdo con el Decreto 1151 de 14 de abril de 2008 el objetivo de la política gobierno en línea, es contribuir con la construcción de un Estado más eficiente, más transparente y participativo, y que preste mejores servicios a los ciudadanos y a las empresas, a través del aprovechamiento de las Tecnologías de la Información y la Comunicación y como una de sus fases se encuentra la Información en Línea, mediante la cual las entidades habilitan sus propios sitios Web para proveer en línea Información, junto con esquemas de búsqueda básica.</w:t>
      </w:r>
    </w:p>
    <w:p w14:paraId="156235BF" w14:textId="77777777" w:rsidR="000663E2" w:rsidRPr="000663E2" w:rsidRDefault="000663E2" w:rsidP="000663E2">
      <w:pPr>
        <w:jc w:val="both"/>
        <w:rPr>
          <w:rFonts w:ascii="Verdana" w:hAnsi="Verdana"/>
        </w:rPr>
      </w:pPr>
      <w:r w:rsidRPr="000663E2">
        <w:rPr>
          <w:rFonts w:ascii="Verdana" w:hAnsi="Verdana"/>
        </w:rPr>
        <w:t>Que para la consolidación del Estado Social de Derecho es importante que la normativa colombiana genere seguridad jurídica y sea de fácil acceso, comprensión y cumplimiento para el ciudadano.</w:t>
      </w:r>
    </w:p>
    <w:p w14:paraId="73B4A05F" w14:textId="77777777" w:rsidR="000663E2" w:rsidRPr="000663E2" w:rsidRDefault="000663E2" w:rsidP="000663E2">
      <w:pPr>
        <w:jc w:val="both"/>
        <w:rPr>
          <w:rFonts w:ascii="Verdana" w:hAnsi="Verdana"/>
        </w:rPr>
      </w:pPr>
      <w:proofErr w:type="gramStart"/>
      <w:r w:rsidRPr="000663E2">
        <w:rPr>
          <w:rFonts w:ascii="Verdana" w:hAnsi="Verdana"/>
        </w:rPr>
        <w:t>Que</w:t>
      </w:r>
      <w:proofErr w:type="gramEnd"/>
      <w:r w:rsidRPr="000663E2">
        <w:rPr>
          <w:rFonts w:ascii="Verdana" w:hAnsi="Verdana"/>
        </w:rPr>
        <w:t xml:space="preserve"> dentro del proyecto de racionalización y simplificación del ordenamiento jurídico adoptado como una de las metas del Gobierno Nacional, se encuentra tanto el inventario normativo y jurisprudencial en cada sector, como la compilación normativa.</w:t>
      </w:r>
    </w:p>
    <w:p w14:paraId="7379615B" w14:textId="77777777" w:rsidR="000663E2" w:rsidRPr="000663E2" w:rsidRDefault="000663E2" w:rsidP="000663E2">
      <w:pPr>
        <w:jc w:val="both"/>
        <w:rPr>
          <w:rFonts w:ascii="Verdana" w:hAnsi="Verdana"/>
        </w:rPr>
      </w:pPr>
      <w:r w:rsidRPr="000663E2">
        <w:rPr>
          <w:rFonts w:ascii="Verdana" w:hAnsi="Verdana"/>
        </w:rPr>
        <w:t>Que en el ejercicio profesional del Defensor de Familia y su equipo interdisciplinario se requieren herramientas que les permitan acceder a información organizada y actualizada que facilite su labor en beneficio de los derechos de los niños, niñas y adolescentes.</w:t>
      </w:r>
    </w:p>
    <w:p w14:paraId="1298E236" w14:textId="77777777" w:rsidR="000663E2" w:rsidRPr="000663E2" w:rsidRDefault="000663E2" w:rsidP="000663E2">
      <w:pPr>
        <w:jc w:val="both"/>
        <w:rPr>
          <w:rFonts w:ascii="Verdana" w:hAnsi="Verdana"/>
        </w:rPr>
      </w:pPr>
      <w:proofErr w:type="gramStart"/>
      <w:r w:rsidRPr="000663E2">
        <w:rPr>
          <w:rFonts w:ascii="Verdana" w:hAnsi="Verdana"/>
        </w:rPr>
        <w:t>Que</w:t>
      </w:r>
      <w:proofErr w:type="gramEnd"/>
      <w:r w:rsidRPr="000663E2">
        <w:rPr>
          <w:rFonts w:ascii="Verdana" w:hAnsi="Verdana"/>
        </w:rPr>
        <w:t xml:space="preserve"> en desarrollo de lo anterior, se ha elaborado la obra "Estatuto del Defensor de Familia" con sus anexos "Manual del Defensor de Familia" e "índice Normativo", como un compendio normativo de carácter jurídico que recoge los principales temas que informan la labor de los Defensores de Familia y sus equipos interdisciplinarios.</w:t>
      </w:r>
    </w:p>
    <w:p w14:paraId="0E2AF8BA" w14:textId="77777777" w:rsidR="000663E2" w:rsidRPr="000663E2" w:rsidRDefault="000663E2" w:rsidP="000663E2">
      <w:pPr>
        <w:jc w:val="both"/>
        <w:rPr>
          <w:rFonts w:ascii="Verdana" w:hAnsi="Verdana"/>
        </w:rPr>
      </w:pPr>
      <w:r w:rsidRPr="000663E2">
        <w:rPr>
          <w:rFonts w:ascii="Verdana" w:hAnsi="Verdana"/>
        </w:rPr>
        <w:t>Que en mérito de lo expuesto:</w:t>
      </w:r>
    </w:p>
    <w:p w14:paraId="2194B982" w14:textId="77777777" w:rsidR="000663E2" w:rsidRPr="000663E2" w:rsidRDefault="000663E2" w:rsidP="000663E2">
      <w:pPr>
        <w:jc w:val="center"/>
        <w:rPr>
          <w:rFonts w:ascii="Verdana" w:hAnsi="Verdana"/>
        </w:rPr>
      </w:pPr>
      <w:r w:rsidRPr="000663E2">
        <w:rPr>
          <w:rFonts w:ascii="Verdana" w:hAnsi="Verdana"/>
          <w:b/>
          <w:bCs/>
        </w:rPr>
        <w:t>RESUELVE:</w:t>
      </w:r>
    </w:p>
    <w:p w14:paraId="619D8412" w14:textId="22016A48" w:rsidR="000663E2" w:rsidRPr="000663E2" w:rsidRDefault="000663E2" w:rsidP="000663E2">
      <w:pPr>
        <w:jc w:val="both"/>
        <w:rPr>
          <w:rFonts w:ascii="Verdana" w:hAnsi="Verdana"/>
        </w:rPr>
      </w:pPr>
      <w:bookmarkStart w:id="1" w:name="1"/>
      <w:r w:rsidRPr="000663E2">
        <w:rPr>
          <w:rFonts w:ascii="Verdana" w:hAnsi="Verdana"/>
          <w:b/>
          <w:bCs/>
        </w:rPr>
        <w:t>ARTÍCULO 1o.</w:t>
      </w:r>
      <w:bookmarkEnd w:id="1"/>
      <w:r w:rsidRPr="000663E2">
        <w:rPr>
          <w:rFonts w:ascii="Verdana" w:hAnsi="Verdana"/>
        </w:rPr>
        <w:t> </w:t>
      </w:r>
      <w:r w:rsidR="002055A3" w:rsidRPr="000663E2">
        <w:rPr>
          <w:rFonts w:ascii="Verdana" w:hAnsi="Verdana"/>
        </w:rPr>
        <w:t xml:space="preserve"> </w:t>
      </w:r>
      <w:r w:rsidRPr="000663E2">
        <w:rPr>
          <w:rFonts w:ascii="Verdana" w:hAnsi="Verdana"/>
        </w:rPr>
        <w:t>Adoptar la obra "Estatuto del Defensor de Familia" y sus anexos "Manual del Defensor de Familia" e "índice Normativo", que forman parte del presente acto administrativo, como una herramienta de consulta para los Defensores y Comisarios de Familias y equipos interdisciplinarios, de las normas que establecen su ámbito de actuación y de los aspectos conceptuales de la misma.</w:t>
      </w:r>
    </w:p>
    <w:p w14:paraId="72E08A31" w14:textId="69B57DF6" w:rsidR="000663E2" w:rsidRPr="000663E2" w:rsidRDefault="000663E2" w:rsidP="000663E2">
      <w:pPr>
        <w:jc w:val="both"/>
        <w:rPr>
          <w:rFonts w:ascii="Verdana" w:hAnsi="Verdana"/>
        </w:rPr>
      </w:pPr>
      <w:bookmarkStart w:id="2" w:name="2"/>
      <w:r w:rsidRPr="000663E2">
        <w:rPr>
          <w:rFonts w:ascii="Verdana" w:hAnsi="Verdana"/>
          <w:b/>
          <w:bCs/>
        </w:rPr>
        <w:t>ARTÍCULO 2o.</w:t>
      </w:r>
      <w:bookmarkEnd w:id="2"/>
      <w:r w:rsidRPr="000663E2">
        <w:rPr>
          <w:rFonts w:ascii="Verdana" w:hAnsi="Verdana"/>
        </w:rPr>
        <w:t> </w:t>
      </w:r>
      <w:r w:rsidR="002055A3" w:rsidRPr="000663E2">
        <w:rPr>
          <w:rFonts w:ascii="Verdana" w:hAnsi="Verdana"/>
        </w:rPr>
        <w:t xml:space="preserve"> </w:t>
      </w:r>
      <w:r w:rsidRPr="000663E2">
        <w:rPr>
          <w:rFonts w:ascii="Verdana" w:hAnsi="Verdana"/>
        </w:rPr>
        <w:t xml:space="preserve">La obra "Estatuto del Defensor de Familia" y sus anexos "Manual del Defensor de Familia" e "índice Normativo" deberá estar disponible a </w:t>
      </w:r>
      <w:r w:rsidRPr="000663E2">
        <w:rPr>
          <w:rFonts w:ascii="Verdana" w:hAnsi="Verdana"/>
        </w:rPr>
        <w:lastRenderedPageBreak/>
        <w:t>través de los medios tecnológicos de la entidad para la consulta de todos los operadores jurídicos y los ciudadanos y la Subdirección de Restablecimiento de Derechos se encargará de su difusión a los Defensores y Comisarios de Familia y sus equipos interdisciplinarios.</w:t>
      </w:r>
    </w:p>
    <w:p w14:paraId="2B2269F8" w14:textId="5868EA48" w:rsidR="000663E2" w:rsidRPr="000663E2" w:rsidRDefault="000663E2" w:rsidP="000663E2">
      <w:pPr>
        <w:jc w:val="both"/>
        <w:rPr>
          <w:rFonts w:ascii="Verdana" w:hAnsi="Verdana"/>
        </w:rPr>
      </w:pPr>
      <w:bookmarkStart w:id="3" w:name="3"/>
      <w:r w:rsidRPr="000663E2">
        <w:rPr>
          <w:rFonts w:ascii="Verdana" w:hAnsi="Verdana"/>
          <w:b/>
          <w:bCs/>
        </w:rPr>
        <w:t>ARTÍCULO 4o. &lt;sic, es 3o&gt;.</w:t>
      </w:r>
      <w:bookmarkEnd w:id="3"/>
      <w:r w:rsidRPr="000663E2">
        <w:rPr>
          <w:rFonts w:ascii="Verdana" w:hAnsi="Verdana"/>
        </w:rPr>
        <w:t> </w:t>
      </w:r>
      <w:r w:rsidR="002055A3">
        <w:rPr>
          <w:rFonts w:ascii="Verdana" w:hAnsi="Verdana"/>
        </w:rPr>
        <w:t>[</w:t>
      </w:r>
      <w:r w:rsidRPr="002055A3">
        <w:rPr>
          <w:rFonts w:ascii="Verdana" w:hAnsi="Verdana"/>
        </w:rPr>
        <w:t>Resolución derogada por el artículo 5 de la Resolución 1526 de 2016</w:t>
      </w:r>
      <w:r w:rsidR="002055A3">
        <w:rPr>
          <w:rFonts w:ascii="Verdana" w:hAnsi="Verdana"/>
        </w:rPr>
        <w:t>]</w:t>
      </w:r>
      <w:r w:rsidRPr="002055A3">
        <w:rPr>
          <w:rFonts w:ascii="Verdana" w:hAnsi="Verdana"/>
        </w:rPr>
        <w:t> </w:t>
      </w:r>
      <w:r w:rsidRPr="000663E2">
        <w:rPr>
          <w:rFonts w:ascii="Verdana" w:hAnsi="Verdana"/>
        </w:rPr>
        <w:t>La presente Resolución rige a partir de su publicación.</w:t>
      </w:r>
    </w:p>
    <w:p w14:paraId="624825C9" w14:textId="77777777" w:rsidR="000663E2" w:rsidRPr="000663E2" w:rsidRDefault="000663E2" w:rsidP="000663E2">
      <w:pPr>
        <w:jc w:val="center"/>
        <w:rPr>
          <w:rFonts w:ascii="Verdana" w:hAnsi="Verdana"/>
        </w:rPr>
      </w:pPr>
      <w:r w:rsidRPr="000663E2">
        <w:rPr>
          <w:rFonts w:ascii="Verdana" w:hAnsi="Verdana"/>
        </w:rPr>
        <w:t>Publíquese, comuníquese y cúmplase</w:t>
      </w:r>
    </w:p>
    <w:p w14:paraId="04DE6FEF" w14:textId="66BB7A0E" w:rsidR="000663E2" w:rsidRPr="000663E2" w:rsidRDefault="000663E2" w:rsidP="000663E2">
      <w:pPr>
        <w:jc w:val="center"/>
        <w:rPr>
          <w:rFonts w:ascii="Verdana" w:hAnsi="Verdana"/>
        </w:rPr>
      </w:pPr>
      <w:r w:rsidRPr="000663E2">
        <w:rPr>
          <w:rFonts w:ascii="Verdana" w:hAnsi="Verdana"/>
          <w:b/>
          <w:bCs/>
        </w:rPr>
        <w:t xml:space="preserve">Dada en Bogotá, D. C., </w:t>
      </w:r>
      <w:proofErr w:type="gramStart"/>
      <w:r w:rsidRPr="000663E2">
        <w:rPr>
          <w:rFonts w:ascii="Verdana" w:hAnsi="Verdana"/>
          <w:b/>
          <w:bCs/>
        </w:rPr>
        <w:t xml:space="preserve">a </w:t>
      </w:r>
      <w:r w:rsidR="009E69C9">
        <w:rPr>
          <w:rFonts w:ascii="Verdana" w:hAnsi="Verdana"/>
          <w:b/>
          <w:bCs/>
        </w:rPr>
        <w:t xml:space="preserve">los </w:t>
      </w:r>
      <w:r w:rsidRPr="000663E2">
        <w:rPr>
          <w:rFonts w:ascii="Verdana" w:hAnsi="Verdana"/>
          <w:b/>
          <w:bCs/>
        </w:rPr>
        <w:t>22 de febrero de 2011</w:t>
      </w:r>
      <w:proofErr w:type="gramEnd"/>
      <w:r w:rsidRPr="000663E2">
        <w:rPr>
          <w:rFonts w:ascii="Verdana" w:hAnsi="Verdana"/>
          <w:b/>
          <w:bCs/>
        </w:rPr>
        <w:t>.</w:t>
      </w:r>
    </w:p>
    <w:p w14:paraId="6478C41E" w14:textId="77777777" w:rsidR="000663E2" w:rsidRPr="000663E2" w:rsidRDefault="000663E2" w:rsidP="000663E2">
      <w:pPr>
        <w:jc w:val="center"/>
        <w:rPr>
          <w:rFonts w:ascii="Verdana" w:hAnsi="Verdana"/>
        </w:rPr>
      </w:pPr>
      <w:r w:rsidRPr="000663E2">
        <w:rPr>
          <w:rFonts w:ascii="Verdana" w:hAnsi="Verdana"/>
          <w:b/>
          <w:bCs/>
        </w:rPr>
        <w:t>ELVIRA FORERO HERNÁNDEZ</w:t>
      </w:r>
    </w:p>
    <w:p w14:paraId="080897C1" w14:textId="77777777" w:rsidR="000663E2" w:rsidRPr="000663E2" w:rsidRDefault="000663E2" w:rsidP="000663E2">
      <w:pPr>
        <w:jc w:val="center"/>
        <w:rPr>
          <w:rFonts w:ascii="Verdana" w:hAnsi="Verdana"/>
        </w:rPr>
      </w:pPr>
      <w:r w:rsidRPr="000663E2">
        <w:rPr>
          <w:rFonts w:ascii="Verdana" w:hAnsi="Verdana"/>
        </w:rPr>
        <w:t>Directora General</w:t>
      </w:r>
    </w:p>
    <w:sectPr w:rsidR="000663E2" w:rsidRPr="000663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F0"/>
    <w:rsid w:val="000663E2"/>
    <w:rsid w:val="002055A3"/>
    <w:rsid w:val="0035720E"/>
    <w:rsid w:val="00486AFF"/>
    <w:rsid w:val="00625BF0"/>
    <w:rsid w:val="009E69C9"/>
    <w:rsid w:val="00C01E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EBA4"/>
  <w15:chartTrackingRefBased/>
  <w15:docId w15:val="{B7935FAB-09F3-4119-8480-B33E84A0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63E2"/>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0663E2"/>
    <w:rPr>
      <w:color w:val="0563C1" w:themeColor="hyperlink"/>
      <w:u w:val="single"/>
    </w:rPr>
  </w:style>
  <w:style w:type="character" w:styleId="Mencinsinresolver">
    <w:name w:val="Unresolved Mention"/>
    <w:basedOn w:val="Fuentedeprrafopredeter"/>
    <w:uiPriority w:val="99"/>
    <w:semiHidden/>
    <w:unhideWhenUsed/>
    <w:rsid w:val="0006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1103">
      <w:bodyDiv w:val="1"/>
      <w:marLeft w:val="0"/>
      <w:marRight w:val="0"/>
      <w:marTop w:val="0"/>
      <w:marBottom w:val="0"/>
      <w:divBdr>
        <w:top w:val="none" w:sz="0" w:space="0" w:color="auto"/>
        <w:left w:val="none" w:sz="0" w:space="0" w:color="auto"/>
        <w:bottom w:val="none" w:sz="0" w:space="0" w:color="auto"/>
        <w:right w:val="none" w:sz="0" w:space="0" w:color="auto"/>
      </w:divBdr>
    </w:div>
    <w:div w:id="458106280">
      <w:bodyDiv w:val="1"/>
      <w:marLeft w:val="0"/>
      <w:marRight w:val="0"/>
      <w:marTop w:val="0"/>
      <w:marBottom w:val="0"/>
      <w:divBdr>
        <w:top w:val="none" w:sz="0" w:space="0" w:color="auto"/>
        <w:left w:val="none" w:sz="0" w:space="0" w:color="auto"/>
        <w:bottom w:val="none" w:sz="0" w:space="0" w:color="auto"/>
        <w:right w:val="none" w:sz="0" w:space="0" w:color="auto"/>
      </w:divBdr>
    </w:div>
    <w:div w:id="643435738">
      <w:bodyDiv w:val="1"/>
      <w:marLeft w:val="0"/>
      <w:marRight w:val="0"/>
      <w:marTop w:val="0"/>
      <w:marBottom w:val="0"/>
      <w:divBdr>
        <w:top w:val="none" w:sz="0" w:space="0" w:color="auto"/>
        <w:left w:val="none" w:sz="0" w:space="0" w:color="auto"/>
        <w:bottom w:val="none" w:sz="0" w:space="0" w:color="auto"/>
        <w:right w:val="none" w:sz="0" w:space="0" w:color="auto"/>
      </w:divBdr>
    </w:div>
    <w:div w:id="872117483">
      <w:bodyDiv w:val="1"/>
      <w:marLeft w:val="0"/>
      <w:marRight w:val="0"/>
      <w:marTop w:val="0"/>
      <w:marBottom w:val="0"/>
      <w:divBdr>
        <w:top w:val="none" w:sz="0" w:space="0" w:color="auto"/>
        <w:left w:val="none" w:sz="0" w:space="0" w:color="auto"/>
        <w:bottom w:val="none" w:sz="0" w:space="0" w:color="auto"/>
        <w:right w:val="none" w:sz="0" w:space="0" w:color="auto"/>
      </w:divBdr>
    </w:div>
    <w:div w:id="1319727180">
      <w:bodyDiv w:val="1"/>
      <w:marLeft w:val="0"/>
      <w:marRight w:val="0"/>
      <w:marTop w:val="0"/>
      <w:marBottom w:val="0"/>
      <w:divBdr>
        <w:top w:val="none" w:sz="0" w:space="0" w:color="auto"/>
        <w:left w:val="none" w:sz="0" w:space="0" w:color="auto"/>
        <w:bottom w:val="none" w:sz="0" w:space="0" w:color="auto"/>
        <w:right w:val="none" w:sz="0" w:space="0" w:color="auto"/>
      </w:divBdr>
    </w:div>
    <w:div w:id="1492939749">
      <w:bodyDiv w:val="1"/>
      <w:marLeft w:val="0"/>
      <w:marRight w:val="0"/>
      <w:marTop w:val="0"/>
      <w:marBottom w:val="0"/>
      <w:divBdr>
        <w:top w:val="none" w:sz="0" w:space="0" w:color="auto"/>
        <w:left w:val="none" w:sz="0" w:space="0" w:color="auto"/>
        <w:bottom w:val="none" w:sz="0" w:space="0" w:color="auto"/>
        <w:right w:val="none" w:sz="0" w:space="0" w:color="auto"/>
      </w:divBdr>
    </w:div>
    <w:div w:id="1508208996">
      <w:bodyDiv w:val="1"/>
      <w:marLeft w:val="0"/>
      <w:marRight w:val="0"/>
      <w:marTop w:val="0"/>
      <w:marBottom w:val="0"/>
      <w:divBdr>
        <w:top w:val="none" w:sz="0" w:space="0" w:color="auto"/>
        <w:left w:val="none" w:sz="0" w:space="0" w:color="auto"/>
        <w:bottom w:val="none" w:sz="0" w:space="0" w:color="auto"/>
        <w:right w:val="none" w:sz="0" w:space="0" w:color="auto"/>
      </w:divBdr>
    </w:div>
    <w:div w:id="179616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C9045-37D4-4596-B1ED-CD12B2D0D674}"/>
</file>

<file path=customXml/itemProps2.xml><?xml version="1.0" encoding="utf-8"?>
<ds:datastoreItem xmlns:ds="http://schemas.openxmlformats.org/officeDocument/2006/customXml" ds:itemID="{F146FCE6-27D1-4880-BAE7-05C57B729D92}"/>
</file>

<file path=customXml/itemProps3.xml><?xml version="1.0" encoding="utf-8"?>
<ds:datastoreItem xmlns:ds="http://schemas.openxmlformats.org/officeDocument/2006/customXml" ds:itemID="{8F5225A1-995A-4498-81C4-AE59EAF346AB}"/>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4542</Characters>
  <Application>Microsoft Office Word</Application>
  <DocSecurity>0</DocSecurity>
  <Lines>37</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2026-01-27T14:57:00Z</dcterms:created>
  <dcterms:modified xsi:type="dcterms:W3CDTF">2026-01-27T14:57:00Z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