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464B" w14:textId="595A5D01" w:rsidR="00EF600D" w:rsidRPr="00EF600D" w:rsidRDefault="00EF600D" w:rsidP="00EF600D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>RESOLUCION 643 DE 2010</w:t>
      </w:r>
    </w:p>
    <w:p w14:paraId="266CF1A1" w14:textId="77777777" w:rsidR="001B1107" w:rsidRPr="001B1107" w:rsidRDefault="001B1107" w:rsidP="001B1107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1B1107">
        <w:rPr>
          <w:rFonts w:ascii="Verdana" w:hAnsi="Verdana"/>
          <w:sz w:val="20"/>
          <w:szCs w:val="20"/>
          <w:lang w:val="es-ES"/>
        </w:rPr>
        <w:t>Fecha de Expedición: 5 de febrero de</w:t>
      </w:r>
    </w:p>
    <w:p w14:paraId="3C7E62D6" w14:textId="77777777" w:rsidR="001B1107" w:rsidRPr="001B1107" w:rsidRDefault="001B1107" w:rsidP="001B1107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1B1107">
        <w:rPr>
          <w:rFonts w:ascii="Verdana" w:hAnsi="Verdana"/>
          <w:sz w:val="20"/>
          <w:szCs w:val="20"/>
          <w:lang w:val="es-ES"/>
        </w:rPr>
        <w:t xml:space="preserve">Fecha de </w:t>
      </w:r>
      <w:proofErr w:type="gramStart"/>
      <w:r w:rsidRPr="001B1107">
        <w:rPr>
          <w:rFonts w:ascii="Verdana" w:hAnsi="Verdana"/>
          <w:sz w:val="20"/>
          <w:szCs w:val="20"/>
          <w:lang w:val="es-ES"/>
        </w:rPr>
        <w:t>entrada en vigencia</w:t>
      </w:r>
      <w:proofErr w:type="gramEnd"/>
      <w:r w:rsidRPr="001B1107">
        <w:rPr>
          <w:rFonts w:ascii="Verdana" w:hAnsi="Verdana"/>
          <w:sz w:val="20"/>
          <w:szCs w:val="20"/>
          <w:lang w:val="es-ES"/>
        </w:rPr>
        <w:t>: 5 de febrero de 2010</w:t>
      </w:r>
    </w:p>
    <w:p w14:paraId="7C4CF43A" w14:textId="77777777" w:rsidR="001B1107" w:rsidRDefault="001B1107" w:rsidP="001B1107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1B1107">
        <w:rPr>
          <w:rFonts w:ascii="Verdana" w:hAnsi="Verdana"/>
          <w:sz w:val="20"/>
          <w:szCs w:val="20"/>
          <w:lang w:val="es-ES"/>
        </w:rPr>
        <w:t>Estado de la vigencia: vigente</w:t>
      </w:r>
      <w:r w:rsidRPr="001B1107">
        <w:rPr>
          <w:rFonts w:ascii="Verdana" w:hAnsi="Verdana"/>
          <w:sz w:val="20"/>
          <w:szCs w:val="20"/>
          <w:lang w:val="es-ES"/>
        </w:rPr>
        <w:tab/>
      </w:r>
    </w:p>
    <w:p w14:paraId="1B4798CA" w14:textId="77777777" w:rsidR="001B1107" w:rsidRDefault="001B1107" w:rsidP="001B1107">
      <w:pPr>
        <w:pStyle w:val="Sinespaciado"/>
        <w:rPr>
          <w:rFonts w:ascii="Verdana" w:hAnsi="Verdana"/>
          <w:sz w:val="20"/>
          <w:szCs w:val="20"/>
          <w:lang w:val="es-ES"/>
        </w:rPr>
      </w:pPr>
    </w:p>
    <w:p w14:paraId="57A2922B" w14:textId="2F423DBF" w:rsidR="001B1107" w:rsidRPr="001B1107" w:rsidRDefault="001B1107" w:rsidP="001B1107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1B1107">
        <w:rPr>
          <w:rFonts w:ascii="Verdana" w:hAnsi="Verdana"/>
          <w:sz w:val="20"/>
          <w:szCs w:val="20"/>
          <w:lang w:val="es-ES"/>
        </w:rPr>
        <w:t>Fecha de publicación en Diario Oficial: N/A</w:t>
      </w:r>
    </w:p>
    <w:p w14:paraId="17F89FE1" w14:textId="12CE6114" w:rsidR="00EF600D" w:rsidRDefault="001B1107" w:rsidP="001B1107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1B1107">
        <w:rPr>
          <w:rFonts w:ascii="Verdana" w:hAnsi="Verdana"/>
          <w:sz w:val="20"/>
          <w:szCs w:val="20"/>
          <w:lang w:val="es-ES"/>
        </w:rPr>
        <w:t>Número del Diario Oficial: N/A</w:t>
      </w:r>
    </w:p>
    <w:p w14:paraId="4499E193" w14:textId="77777777" w:rsidR="001B1107" w:rsidRPr="001B1107" w:rsidRDefault="001B1107" w:rsidP="001B1107">
      <w:pPr>
        <w:pStyle w:val="Sinespaciado"/>
        <w:rPr>
          <w:rFonts w:ascii="Verdana" w:hAnsi="Verdana"/>
          <w:sz w:val="20"/>
          <w:szCs w:val="20"/>
          <w:lang w:val="es-ES"/>
        </w:rPr>
      </w:pPr>
    </w:p>
    <w:p w14:paraId="66E1A504" w14:textId="2CBED770" w:rsidR="00D567B6" w:rsidRPr="00EF600D" w:rsidRDefault="00D567B6" w:rsidP="00EF600D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>RESOLUCION 643 DE 2010</w:t>
      </w:r>
    </w:p>
    <w:p w14:paraId="6B8BEEED" w14:textId="1CB326B5" w:rsidR="00D567B6" w:rsidRPr="00EF600D" w:rsidRDefault="00D567B6" w:rsidP="00EF600D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>(</w:t>
      </w:r>
      <w:r w:rsidR="00EF600D">
        <w:rPr>
          <w:rFonts w:ascii="Verdana" w:hAnsi="Verdana"/>
          <w:b/>
          <w:bCs/>
          <w:sz w:val="22"/>
          <w:szCs w:val="22"/>
          <w:lang w:val="es-ES"/>
        </w:rPr>
        <w:t xml:space="preserve">5 de </w:t>
      </w:r>
      <w:r w:rsidRPr="00EF600D">
        <w:rPr>
          <w:rFonts w:ascii="Verdana" w:hAnsi="Verdana"/>
          <w:b/>
          <w:bCs/>
          <w:sz w:val="22"/>
          <w:szCs w:val="22"/>
          <w:lang w:val="es-ES"/>
        </w:rPr>
        <w:t>febrero)</w:t>
      </w:r>
    </w:p>
    <w:p w14:paraId="6B6C3CA9" w14:textId="62361A38" w:rsidR="00D567B6" w:rsidRPr="00EF600D" w:rsidRDefault="00D567B6" w:rsidP="00EF600D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>INSTITUTO COLOMBIANO DE BIENESTAR FAMILIAR – ICBF</w:t>
      </w:r>
    </w:p>
    <w:p w14:paraId="2C10A942" w14:textId="495BF1D8" w:rsidR="00D567B6" w:rsidRPr="00D567B6" w:rsidRDefault="00D567B6" w:rsidP="00EF600D">
      <w:pPr>
        <w:jc w:val="center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>"Por la cual se modifica parcialmente la Resolución 1615 del 12 de Julio de 2006"</w:t>
      </w:r>
    </w:p>
    <w:p w14:paraId="4F989A9F" w14:textId="12FDB72A" w:rsidR="00D567B6" w:rsidRPr="00EF600D" w:rsidRDefault="00D567B6" w:rsidP="00EF600D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>LA DIRECTORA GENERAL DEL INSTITUTO COLOMBIANO DE BIENESTAR FAMILIAR</w:t>
      </w:r>
    </w:p>
    <w:p w14:paraId="7AA16658" w14:textId="44E6D18C" w:rsidR="00D567B6" w:rsidRPr="00D567B6" w:rsidRDefault="00D567B6" w:rsidP="00EF600D">
      <w:pPr>
        <w:jc w:val="center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>En uso de sus facultades legales y estatutarias y,</w:t>
      </w:r>
    </w:p>
    <w:p w14:paraId="5EFDAF7D" w14:textId="01A420B0" w:rsidR="00D567B6" w:rsidRPr="00EF600D" w:rsidRDefault="00D567B6" w:rsidP="00EF600D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>CONSIDERANDO:</w:t>
      </w:r>
    </w:p>
    <w:p w14:paraId="19E8E491" w14:textId="206F23AA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sz w:val="22"/>
          <w:szCs w:val="22"/>
          <w:lang w:val="es-ES"/>
        </w:rPr>
        <w:t>Que mediante Resolución No.1615 del 12 de julio de 2006. se fijaron los lineamientos para el recaudo de recursos la ejecución y control presupuestal de los gastos, el reconocimiento y registro en la contabilidad y la revelación de los Estados Contables del Instituto Colombiano de Bienestar Familiar, se delegan algunas facultades y se derogan unas resoluciones.</w:t>
      </w:r>
    </w:p>
    <w:p w14:paraId="77E97A65" w14:textId="40F0ABEB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sz w:val="22"/>
          <w:szCs w:val="22"/>
          <w:lang w:val="es-ES"/>
        </w:rPr>
        <w:t xml:space="preserve">Que el </w:t>
      </w:r>
      <w:proofErr w:type="spellStart"/>
      <w:r w:rsidRPr="00EF600D">
        <w:rPr>
          <w:rFonts w:ascii="Verdana" w:hAnsi="Verdana"/>
          <w:sz w:val="22"/>
          <w:szCs w:val="22"/>
          <w:lang w:val="es-ES"/>
        </w:rPr>
        <w:t>articulo</w:t>
      </w:r>
      <w:proofErr w:type="spellEnd"/>
      <w:r w:rsidRPr="00EF600D">
        <w:rPr>
          <w:rFonts w:ascii="Verdana" w:hAnsi="Verdana"/>
          <w:sz w:val="22"/>
          <w:szCs w:val="22"/>
          <w:lang w:val="es-ES"/>
        </w:rPr>
        <w:t xml:space="preserve"> 13o Modificaciones al presupuesto en su parágrafo 2o establece, que la Dirección financiera efectuará mediante resolución semanal los traslados entre Regionales y el Nivel Nacional, dentro de los mismos conceptos de Gastos de Funcionamiento y dentro de los subproyectos, modalidades y códigos del presupuesto de Inversión.</w:t>
      </w:r>
    </w:p>
    <w:p w14:paraId="53097A83" w14:textId="77777777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sz w:val="22"/>
          <w:szCs w:val="22"/>
          <w:lang w:val="es-ES"/>
        </w:rPr>
        <w:t xml:space="preserve">Que el artículo 16o de la mencionada Resolución establece "La Dirección Financiera tramitará una resolución semanal, el </w:t>
      </w:r>
      <w:proofErr w:type="gramStart"/>
      <w:r w:rsidRPr="00EF600D">
        <w:rPr>
          <w:rFonts w:ascii="Verdana" w:hAnsi="Verdana"/>
          <w:sz w:val="22"/>
          <w:szCs w:val="22"/>
          <w:lang w:val="es-ES"/>
        </w:rPr>
        <w:t>día viernes</w:t>
      </w:r>
      <w:proofErr w:type="gramEnd"/>
      <w:r w:rsidRPr="00EF600D">
        <w:rPr>
          <w:rFonts w:ascii="Verdana" w:hAnsi="Verdana"/>
          <w:sz w:val="22"/>
          <w:szCs w:val="22"/>
          <w:lang w:val="es-ES"/>
        </w:rPr>
        <w:t xml:space="preserve">, con loa traslados entre Regionales y el Nivel Nacional, dentro de los mismos conceptos de Gastos de Funcionamiento y dentro de los subproyectos, modalidades y códigos del Presupuesto de Inversión". Igualmente establece que los </w:t>
      </w:r>
      <w:proofErr w:type="gramStart"/>
      <w:r w:rsidRPr="00EF600D">
        <w:rPr>
          <w:rFonts w:ascii="Verdana" w:hAnsi="Verdana"/>
          <w:sz w:val="22"/>
          <w:szCs w:val="22"/>
          <w:lang w:val="es-ES"/>
        </w:rPr>
        <w:t>Directores</w:t>
      </w:r>
      <w:proofErr w:type="gramEnd"/>
      <w:r w:rsidRPr="00EF600D">
        <w:rPr>
          <w:rFonts w:ascii="Verdana" w:hAnsi="Verdana"/>
          <w:sz w:val="22"/>
          <w:szCs w:val="22"/>
          <w:lang w:val="es-ES"/>
        </w:rPr>
        <w:t xml:space="preserve"> en las Regionales y Seccionales solo podrán expedir una resolución mensual.</w:t>
      </w:r>
    </w:p>
    <w:p w14:paraId="4156BF10" w14:textId="4369AE90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proofErr w:type="gramStart"/>
      <w:r w:rsidRPr="00EF600D">
        <w:rPr>
          <w:rFonts w:ascii="Verdana" w:hAnsi="Verdana"/>
          <w:sz w:val="22"/>
          <w:szCs w:val="22"/>
          <w:lang w:val="es-ES"/>
        </w:rPr>
        <w:t>Que</w:t>
      </w:r>
      <w:proofErr w:type="gramEnd"/>
      <w:r w:rsidRPr="00EF600D">
        <w:rPr>
          <w:rFonts w:ascii="Verdana" w:hAnsi="Verdana"/>
          <w:sz w:val="22"/>
          <w:szCs w:val="22"/>
          <w:lang w:val="es-ES"/>
        </w:rPr>
        <w:t xml:space="preserve"> con el fin de atender modificaciones al presupuesto de manera dinámica y acorde con las necesidades y el cumplimiento de quehacer institucional, se requiere mayor flexibilidad para la elaboración y tramite de resoluciones de: modificación al presupuesto, se hace necesario </w:t>
      </w:r>
      <w:r w:rsidRPr="00EF600D">
        <w:rPr>
          <w:rFonts w:ascii="Verdana" w:hAnsi="Verdana"/>
          <w:sz w:val="22"/>
          <w:szCs w:val="22"/>
          <w:lang w:val="es-ES"/>
        </w:rPr>
        <w:lastRenderedPageBreak/>
        <w:t>modificar el artículo 13o y el 16o en el sentido que la Dirección Financiera podrá tramitar resoluciones diarias y como mínimo una semanal.</w:t>
      </w:r>
    </w:p>
    <w:p w14:paraId="0AD2B8BC" w14:textId="7406A344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sz w:val="22"/>
          <w:szCs w:val="22"/>
          <w:lang w:val="es-ES"/>
        </w:rPr>
        <w:t xml:space="preserve">Que para dar mayor dinamismo a las modificaciones presupuestales con las necesidades institucionales que son competencia de los </w:t>
      </w:r>
      <w:proofErr w:type="gramStart"/>
      <w:r w:rsidRPr="00EF600D">
        <w:rPr>
          <w:rFonts w:ascii="Verdana" w:hAnsi="Verdana"/>
          <w:sz w:val="22"/>
          <w:szCs w:val="22"/>
          <w:lang w:val="es-ES"/>
        </w:rPr>
        <w:t>Directores Regionales</w:t>
      </w:r>
      <w:proofErr w:type="gramEnd"/>
      <w:r w:rsidRPr="00EF600D">
        <w:rPr>
          <w:rFonts w:ascii="Verdana" w:hAnsi="Verdana"/>
          <w:sz w:val="22"/>
          <w:szCs w:val="22"/>
          <w:lang w:val="es-ES"/>
        </w:rPr>
        <w:t xml:space="preserve"> o Seccionales, se requiere tramitar máximo dos resoluciones al mes.</w:t>
      </w:r>
    </w:p>
    <w:p w14:paraId="667B952A" w14:textId="2774A8A1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sz w:val="22"/>
          <w:szCs w:val="22"/>
          <w:lang w:val="es-ES"/>
        </w:rPr>
        <w:t>Que se hace necesario eliminar los centavos de las asignaciones y modificaciones presupuestales dado que el Sistema Integral de Información Financiera SIIF del Ministerio de Hacienda y Crédito Público no admite centavos.</w:t>
      </w:r>
    </w:p>
    <w:p w14:paraId="2ABC5A07" w14:textId="08F7DDE3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sz w:val="22"/>
          <w:szCs w:val="22"/>
          <w:lang w:val="es-ES"/>
        </w:rPr>
        <w:t xml:space="preserve">Qué en el artículo 49o de la Resolución 1615 de 2006, Registro de los pagos y giros electrónicos, contempla lo referente a la seguridad para las operaciones de giros y transferencias, y se dispone lo siguiente: "....En las Regionales, el </w:t>
      </w:r>
      <w:proofErr w:type="spellStart"/>
      <w:r w:rsidRPr="00EF600D">
        <w:rPr>
          <w:rFonts w:ascii="Verdana" w:hAnsi="Verdana"/>
          <w:sz w:val="22"/>
          <w:szCs w:val="22"/>
          <w:lang w:val="es-ES"/>
        </w:rPr>
        <w:t>superusuario</w:t>
      </w:r>
      <w:proofErr w:type="spellEnd"/>
      <w:r w:rsidRPr="00EF600D">
        <w:rPr>
          <w:rFonts w:ascii="Verdana" w:hAnsi="Verdana"/>
          <w:sz w:val="22"/>
          <w:szCs w:val="22"/>
          <w:lang w:val="es-ES"/>
        </w:rPr>
        <w:t xml:space="preserve"> debe ser el Director Regional y en el Nivel Nacional y Sede Nacional el Director Financiero", siendo necesario segregar las funciones de preparación, aprobación y de </w:t>
      </w:r>
      <w:proofErr w:type="spellStart"/>
      <w:r w:rsidRPr="00EF600D">
        <w:rPr>
          <w:rFonts w:ascii="Verdana" w:hAnsi="Verdana"/>
          <w:sz w:val="22"/>
          <w:szCs w:val="22"/>
          <w:lang w:val="es-ES"/>
        </w:rPr>
        <w:t>superusuario</w:t>
      </w:r>
      <w:proofErr w:type="spellEnd"/>
      <w:r w:rsidRPr="00EF600D">
        <w:rPr>
          <w:rFonts w:ascii="Verdana" w:hAnsi="Verdana"/>
          <w:sz w:val="22"/>
          <w:szCs w:val="22"/>
          <w:lang w:val="es-ES"/>
        </w:rPr>
        <w:t xml:space="preserve"> en la sede nacional y el nivel nacional, limitando y restringiendo en el caso de </w:t>
      </w:r>
      <w:proofErr w:type="spellStart"/>
      <w:r w:rsidRPr="00EF600D">
        <w:rPr>
          <w:rFonts w:ascii="Verdana" w:hAnsi="Verdana"/>
          <w:sz w:val="22"/>
          <w:szCs w:val="22"/>
          <w:lang w:val="es-ES"/>
        </w:rPr>
        <w:t>superusuario</w:t>
      </w:r>
      <w:proofErr w:type="spellEnd"/>
      <w:r w:rsidRPr="00EF600D">
        <w:rPr>
          <w:rFonts w:ascii="Verdana" w:hAnsi="Verdana"/>
          <w:sz w:val="22"/>
          <w:szCs w:val="22"/>
          <w:lang w:val="es-ES"/>
        </w:rPr>
        <w:t xml:space="preserve"> la transaccionalidad financiera permitiendo en este caso únicamente la administrativa.</w:t>
      </w:r>
    </w:p>
    <w:p w14:paraId="3EA41BAD" w14:textId="6C19075D" w:rsidR="00D567B6" w:rsidRPr="00EF600D" w:rsidRDefault="00D567B6" w:rsidP="00EF600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proofErr w:type="gramStart"/>
      <w:r w:rsidRPr="00EF600D">
        <w:rPr>
          <w:rFonts w:ascii="Verdana" w:hAnsi="Verdana"/>
          <w:sz w:val="22"/>
          <w:szCs w:val="22"/>
          <w:lang w:val="es-ES"/>
        </w:rPr>
        <w:t>Que</w:t>
      </w:r>
      <w:proofErr w:type="gramEnd"/>
      <w:r w:rsidRPr="00EF600D">
        <w:rPr>
          <w:rFonts w:ascii="Verdana" w:hAnsi="Verdana"/>
          <w:sz w:val="22"/>
          <w:szCs w:val="22"/>
          <w:lang w:val="es-ES"/>
        </w:rPr>
        <w:t xml:space="preserve"> en mérito de lo expuesto,</w:t>
      </w:r>
    </w:p>
    <w:p w14:paraId="32E56F94" w14:textId="4DD3F2A9" w:rsidR="00D567B6" w:rsidRPr="00EF600D" w:rsidRDefault="00D567B6" w:rsidP="00EF600D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>RESUELVE:</w:t>
      </w:r>
    </w:p>
    <w:p w14:paraId="54497A9E" w14:textId="405F84BD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 xml:space="preserve">ARTICULO </w:t>
      </w:r>
      <w:r w:rsidR="00EF600D" w:rsidRPr="00EF600D">
        <w:rPr>
          <w:rFonts w:ascii="Verdana" w:hAnsi="Verdana"/>
          <w:b/>
          <w:bCs/>
          <w:sz w:val="22"/>
          <w:szCs w:val="22"/>
          <w:lang w:val="es-ES"/>
        </w:rPr>
        <w:t>1o</w:t>
      </w:r>
      <w:r w:rsidRPr="00D567B6">
        <w:rPr>
          <w:rFonts w:ascii="Verdana" w:hAnsi="Verdana"/>
          <w:sz w:val="22"/>
          <w:szCs w:val="22"/>
          <w:lang w:val="es-ES"/>
        </w:rPr>
        <w:t>. Modificar parcialmente el parágrafo 2o del artículo 13o y artículo 16o de la Resolución 1615 en el cual se incluye que la Dirección Financiera podrá tramitar resoluciones de traslados presupuestales diarios y mínimo una semanal entre regionales y el Nivel Nacional.</w:t>
      </w:r>
    </w:p>
    <w:p w14:paraId="57473DE6" w14:textId="081975B3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 xml:space="preserve">PARAGRAFO </w:t>
      </w:r>
      <w:r w:rsidR="00EF600D" w:rsidRPr="00EF600D">
        <w:rPr>
          <w:rFonts w:ascii="Verdana" w:hAnsi="Verdana"/>
          <w:b/>
          <w:bCs/>
          <w:sz w:val="22"/>
          <w:szCs w:val="22"/>
          <w:lang w:val="es-ES"/>
        </w:rPr>
        <w:t>PRIMERO</w:t>
      </w:r>
      <w:r w:rsidRPr="00EF600D">
        <w:rPr>
          <w:rFonts w:ascii="Verdana" w:hAnsi="Verdana"/>
          <w:b/>
          <w:bCs/>
          <w:sz w:val="22"/>
          <w:szCs w:val="22"/>
          <w:lang w:val="es-ES"/>
        </w:rPr>
        <w:t>.</w:t>
      </w:r>
      <w:r w:rsidRPr="00D567B6">
        <w:rPr>
          <w:rFonts w:ascii="Verdana" w:hAnsi="Verdana"/>
          <w:sz w:val="22"/>
          <w:szCs w:val="22"/>
          <w:lang w:val="es-ES"/>
        </w:rPr>
        <w:t xml:space="preserve"> No se podrán solicitar ni efectuar asignaciones o modificaciones al presupuesto que Impliquen centavos.</w:t>
      </w:r>
    </w:p>
    <w:p w14:paraId="3A225566" w14:textId="2C8EA79E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 xml:space="preserve">ARTICULO </w:t>
      </w:r>
      <w:r w:rsidR="00EF600D" w:rsidRPr="00EF600D">
        <w:rPr>
          <w:rFonts w:ascii="Verdana" w:hAnsi="Verdana"/>
          <w:b/>
          <w:bCs/>
          <w:sz w:val="22"/>
          <w:szCs w:val="22"/>
          <w:lang w:val="es-ES"/>
        </w:rPr>
        <w:t>2o</w:t>
      </w:r>
      <w:r w:rsidRPr="00EF600D">
        <w:rPr>
          <w:rFonts w:ascii="Verdana" w:hAnsi="Verdana"/>
          <w:b/>
          <w:bCs/>
          <w:sz w:val="22"/>
          <w:szCs w:val="22"/>
          <w:lang w:val="es-ES"/>
        </w:rPr>
        <w:t>.</w:t>
      </w:r>
      <w:r w:rsidRPr="00D567B6">
        <w:rPr>
          <w:rFonts w:ascii="Verdana" w:hAnsi="Verdana"/>
          <w:sz w:val="22"/>
          <w:szCs w:val="22"/>
          <w:lang w:val="es-ES"/>
        </w:rPr>
        <w:t xml:space="preserve"> Modificar parcialmente el artículo 16o de la Resolución 1615 en el sentido que los </w:t>
      </w:r>
      <w:proofErr w:type="gramStart"/>
      <w:r w:rsidRPr="00D567B6">
        <w:rPr>
          <w:rFonts w:ascii="Verdana" w:hAnsi="Verdana"/>
          <w:sz w:val="22"/>
          <w:szCs w:val="22"/>
          <w:lang w:val="es-ES"/>
        </w:rPr>
        <w:t>Directores Regionales</w:t>
      </w:r>
      <w:proofErr w:type="gramEnd"/>
      <w:r w:rsidRPr="00D567B6">
        <w:rPr>
          <w:rFonts w:ascii="Verdana" w:hAnsi="Verdana"/>
          <w:sz w:val="22"/>
          <w:szCs w:val="22"/>
          <w:lang w:val="es-ES"/>
        </w:rPr>
        <w:t xml:space="preserve"> podrán expedir hasta dos resoluciones de traslados presupuestales al mes sobre las competencias otorgadas en la Resolución 1615.</w:t>
      </w:r>
    </w:p>
    <w:p w14:paraId="7A705EB8" w14:textId="64CC7E7F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EF600D">
        <w:rPr>
          <w:rFonts w:ascii="Verdana" w:hAnsi="Verdana"/>
          <w:b/>
          <w:bCs/>
          <w:sz w:val="22"/>
          <w:szCs w:val="22"/>
          <w:lang w:val="es-ES"/>
        </w:rPr>
        <w:t xml:space="preserve">ARTÍCULO </w:t>
      </w:r>
      <w:r w:rsidR="00EF600D" w:rsidRPr="00EF600D">
        <w:rPr>
          <w:rFonts w:ascii="Verdana" w:hAnsi="Verdana"/>
          <w:b/>
          <w:bCs/>
          <w:sz w:val="22"/>
          <w:szCs w:val="22"/>
          <w:lang w:val="es-ES"/>
        </w:rPr>
        <w:t>3o</w:t>
      </w:r>
      <w:r w:rsidRPr="00EF600D">
        <w:rPr>
          <w:rFonts w:ascii="Verdana" w:hAnsi="Verdana"/>
          <w:b/>
          <w:bCs/>
          <w:sz w:val="22"/>
          <w:szCs w:val="22"/>
          <w:lang w:val="es-ES"/>
        </w:rPr>
        <w:t>.</w:t>
      </w:r>
      <w:r w:rsidRPr="00D567B6">
        <w:rPr>
          <w:rFonts w:ascii="Verdana" w:hAnsi="Verdana"/>
          <w:sz w:val="22"/>
          <w:szCs w:val="22"/>
          <w:lang w:val="es-ES"/>
        </w:rPr>
        <w:t xml:space="preserve"> Modificar el artículo 49o de la Resolución 1615 de 2006, el cual quedará así: Registro de los pagos y giro electrónico. Sin excepción, todos los pagos a servidores públicos y a terceros deben ser registrados en el sistema de información financiero y efectuar el visado de PAC, previo al giro, y este se debe realizar mediante transacción electrónica a través de las cuentas corrientes dispuestas en las entidades financieras para tal fin.</w:t>
      </w:r>
    </w:p>
    <w:p w14:paraId="346C7F14" w14:textId="70C93587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lastRenderedPageBreak/>
        <w:t xml:space="preserve">Los </w:t>
      </w:r>
      <w:proofErr w:type="gramStart"/>
      <w:r w:rsidRPr="00D567B6">
        <w:rPr>
          <w:rFonts w:ascii="Verdana" w:hAnsi="Verdana"/>
          <w:sz w:val="22"/>
          <w:szCs w:val="22"/>
          <w:lang w:val="es-ES"/>
        </w:rPr>
        <w:t>Directores Regionales</w:t>
      </w:r>
      <w:proofErr w:type="gramEnd"/>
      <w:r w:rsidRPr="00D567B6">
        <w:rPr>
          <w:rFonts w:ascii="Verdana" w:hAnsi="Verdana"/>
          <w:sz w:val="22"/>
          <w:szCs w:val="22"/>
          <w:lang w:val="es-ES"/>
        </w:rPr>
        <w:t xml:space="preserve"> y los Coordinadores Financieros y Administrativo/financieros deben adelantar la gestión pertinente para que todos los pagos se realicen por esta modalidad.</w:t>
      </w:r>
    </w:p>
    <w:p w14:paraId="4C381DC9" w14:textId="79F5D80F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 xml:space="preserve">La clave del súper usuario debe ser asignada al </w:t>
      </w:r>
      <w:proofErr w:type="gramStart"/>
      <w:r w:rsidRPr="00D567B6">
        <w:rPr>
          <w:rFonts w:ascii="Verdana" w:hAnsi="Verdana"/>
          <w:sz w:val="22"/>
          <w:szCs w:val="22"/>
          <w:lang w:val="es-ES"/>
        </w:rPr>
        <w:t>Director</w:t>
      </w:r>
      <w:proofErr w:type="gramEnd"/>
      <w:r w:rsidRPr="00D567B6">
        <w:rPr>
          <w:rFonts w:ascii="Verdana" w:hAnsi="Verdana"/>
          <w:sz w:val="22"/>
          <w:szCs w:val="22"/>
          <w:lang w:val="es-ES"/>
        </w:rPr>
        <w:t xml:space="preserve"> (a) Regional en la Regional y al Coordinador del Grupo Tesorería del Nivel Nacional en la Sede, la cual es indelegable y solo debe ser utilizada para efectuar operaciones administrativas y no transaccionales. En todo caso, el súper usuario asignará las claves, tanto para la consulta como para la realización de operaciones definiendo claramente límites de horarios y cuantías de operación.</w:t>
      </w:r>
    </w:p>
    <w:p w14:paraId="423A104B" w14:textId="7F663191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 xml:space="preserve">Todas las operaciones de giros y transferencias se deben realizar desde un equipo seguro asignado únicamente para el acceso a los portales banca ríos en las Instalaciones del Instituto, de igual forma para toda operación de giro, pago y transferencia se deber utilizar dos claves independientes asignadas a servidores públicos diferentes uno como preparador y otro como autorizador, autorizados por el súper usuario. Es indispensable que para todos los casos de operaciones </w:t>
      </w:r>
      <w:r w:rsidR="00EF600D" w:rsidRPr="00D567B6">
        <w:rPr>
          <w:rFonts w:ascii="Verdana" w:hAnsi="Verdana"/>
          <w:sz w:val="22"/>
          <w:szCs w:val="22"/>
          <w:lang w:val="es-ES"/>
        </w:rPr>
        <w:t>o</w:t>
      </w:r>
      <w:r w:rsidRPr="00D567B6">
        <w:rPr>
          <w:rFonts w:ascii="Verdana" w:hAnsi="Verdana"/>
          <w:sz w:val="22"/>
          <w:szCs w:val="22"/>
          <w:lang w:val="es-ES"/>
        </w:rPr>
        <w:t xml:space="preserve"> transacciones de giro y pago deba existir doble participación.</w:t>
      </w:r>
    </w:p>
    <w:p w14:paraId="53E325B0" w14:textId="3230D5A9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 xml:space="preserve">Uno de los autorizados debe ser el Tesorero, quien prepara la operación: el segundo, el </w:t>
      </w:r>
      <w:proofErr w:type="gramStart"/>
      <w:r w:rsidRPr="00D567B6">
        <w:rPr>
          <w:rFonts w:ascii="Verdana" w:hAnsi="Verdana"/>
          <w:sz w:val="22"/>
          <w:szCs w:val="22"/>
          <w:lang w:val="es-ES"/>
        </w:rPr>
        <w:t>Director</w:t>
      </w:r>
      <w:proofErr w:type="gramEnd"/>
      <w:r w:rsidRPr="00D567B6">
        <w:rPr>
          <w:rFonts w:ascii="Verdana" w:hAnsi="Verdana"/>
          <w:sz w:val="22"/>
          <w:szCs w:val="22"/>
          <w:lang w:val="es-ES"/>
        </w:rPr>
        <w:t xml:space="preserve"> (a) Regional quien autoriza la operación, función que puede delegar, mediante resolución, en el Coordinador Financiero </w:t>
      </w:r>
      <w:proofErr w:type="spellStart"/>
      <w:r w:rsidRPr="00D567B6">
        <w:rPr>
          <w:rFonts w:ascii="Verdana" w:hAnsi="Verdana"/>
          <w:sz w:val="22"/>
          <w:szCs w:val="22"/>
          <w:lang w:val="es-ES"/>
        </w:rPr>
        <w:t>ó</w:t>
      </w:r>
      <w:proofErr w:type="spellEnd"/>
      <w:r w:rsidRPr="00D567B6">
        <w:rPr>
          <w:rFonts w:ascii="Verdana" w:hAnsi="Verdana"/>
          <w:sz w:val="22"/>
          <w:szCs w:val="22"/>
          <w:lang w:val="es-ES"/>
        </w:rPr>
        <w:t xml:space="preserve"> Administrativo/Financiero.</w:t>
      </w:r>
    </w:p>
    <w:p w14:paraId="788323B1" w14:textId="5194B0DB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>Estas mismas funciones serán ejecutadas en la Sede Nacional por el funcionario que realice las funciones de girador y por el Coordinador del Grupo Financiero Sede Nacional; y en el Nivel Nacional de igual forma para toda operación de giro, pago y transferencia se deber utilizar des claves independientes asignadas a servidores públicos diferentes uno como preparador y otro como autorizador, autorizados por el Súper usuario previa autorización de la Dirección Financiera.</w:t>
      </w:r>
    </w:p>
    <w:p w14:paraId="606D0F5E" w14:textId="6A6E9ADD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175346">
        <w:rPr>
          <w:rFonts w:ascii="Verdana" w:hAnsi="Verdana"/>
          <w:b/>
          <w:bCs/>
          <w:sz w:val="22"/>
          <w:szCs w:val="22"/>
          <w:lang w:val="es-ES"/>
        </w:rPr>
        <w:t xml:space="preserve">PARÁGRAFO </w:t>
      </w:r>
      <w:r w:rsidR="00175346" w:rsidRPr="00175346">
        <w:rPr>
          <w:rFonts w:ascii="Verdana" w:hAnsi="Verdana"/>
          <w:b/>
          <w:bCs/>
          <w:sz w:val="22"/>
          <w:szCs w:val="22"/>
          <w:lang w:val="es-ES"/>
        </w:rPr>
        <w:t>PRIMERO</w:t>
      </w:r>
      <w:r w:rsidRPr="00D567B6">
        <w:rPr>
          <w:rFonts w:ascii="Verdana" w:hAnsi="Verdana"/>
          <w:sz w:val="22"/>
          <w:szCs w:val="22"/>
          <w:lang w:val="es-ES"/>
        </w:rPr>
        <w:t xml:space="preserve">. Es responsabilidad de los </w:t>
      </w:r>
      <w:proofErr w:type="gramStart"/>
      <w:r w:rsidRPr="00D567B6">
        <w:rPr>
          <w:rFonts w:ascii="Verdana" w:hAnsi="Verdana"/>
          <w:sz w:val="22"/>
          <w:szCs w:val="22"/>
          <w:lang w:val="es-ES"/>
        </w:rPr>
        <w:t>Directores</w:t>
      </w:r>
      <w:proofErr w:type="gramEnd"/>
      <w:r w:rsidRPr="00D567B6">
        <w:rPr>
          <w:rFonts w:ascii="Verdana" w:hAnsi="Verdana"/>
          <w:sz w:val="22"/>
          <w:szCs w:val="22"/>
          <w:lang w:val="es-ES"/>
        </w:rPr>
        <w:t xml:space="preserve">, Coordinadores Financieros </w:t>
      </w:r>
      <w:r w:rsidR="00EF600D" w:rsidRPr="00D567B6">
        <w:rPr>
          <w:rFonts w:ascii="Verdana" w:hAnsi="Verdana"/>
          <w:sz w:val="22"/>
          <w:szCs w:val="22"/>
          <w:lang w:val="es-ES"/>
        </w:rPr>
        <w:t>o</w:t>
      </w:r>
      <w:r w:rsidRPr="00D567B6">
        <w:rPr>
          <w:rFonts w:ascii="Verdana" w:hAnsi="Verdana"/>
          <w:sz w:val="22"/>
          <w:szCs w:val="22"/>
          <w:lang w:val="es-ES"/>
        </w:rPr>
        <w:t xml:space="preserve"> Administrativos/ financieros, Tesoreros y Coordinador del Grupo Financiero en la Sede Nacional, implementar y tomar las medidas necesarias para garantizar el manejo seguro de los fondos y el control de las operaciones.</w:t>
      </w:r>
    </w:p>
    <w:p w14:paraId="0A008408" w14:textId="1AC4BA34" w:rsidR="00EF600D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175346">
        <w:rPr>
          <w:rFonts w:ascii="Verdana" w:hAnsi="Verdana"/>
          <w:b/>
          <w:bCs/>
          <w:sz w:val="22"/>
          <w:szCs w:val="22"/>
          <w:lang w:val="es-ES"/>
        </w:rPr>
        <w:t xml:space="preserve">PARÁGRAFO </w:t>
      </w:r>
      <w:r w:rsidR="00175346" w:rsidRPr="00175346">
        <w:rPr>
          <w:rFonts w:ascii="Verdana" w:hAnsi="Verdana"/>
          <w:b/>
          <w:bCs/>
          <w:sz w:val="22"/>
          <w:szCs w:val="22"/>
          <w:lang w:val="es-ES"/>
        </w:rPr>
        <w:t>SEGUNDO</w:t>
      </w:r>
      <w:r w:rsidRPr="00175346">
        <w:rPr>
          <w:rFonts w:ascii="Verdana" w:hAnsi="Verdana"/>
          <w:b/>
          <w:bCs/>
          <w:sz w:val="22"/>
          <w:szCs w:val="22"/>
          <w:lang w:val="es-ES"/>
        </w:rPr>
        <w:t>.</w:t>
      </w:r>
      <w:r w:rsidRPr="00D567B6">
        <w:rPr>
          <w:rFonts w:ascii="Verdana" w:hAnsi="Verdana"/>
          <w:sz w:val="22"/>
          <w:szCs w:val="22"/>
          <w:lang w:val="es-ES"/>
        </w:rPr>
        <w:t xml:space="preserve"> Únicamente en los casos excepcionales en que no se puedan hacer los pagos mediante operación electrónica, se pueden realizar pagos mediante solicitud al banco con cargo en cuenta o expedición de cheque de gerencia, para lo cual se deben observar medidas de seguridad en la solicitud, tales como: dos firmas, sello seco y sello protector, y siempre con la confirmación del banco.</w:t>
      </w:r>
    </w:p>
    <w:p w14:paraId="41EEDB76" w14:textId="77777777" w:rsidR="0017534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  <w:r w:rsidRPr="00175346">
        <w:rPr>
          <w:rFonts w:ascii="Verdana" w:hAnsi="Verdana"/>
          <w:b/>
          <w:bCs/>
          <w:sz w:val="22"/>
          <w:szCs w:val="22"/>
          <w:lang w:val="es-ES"/>
        </w:rPr>
        <w:t xml:space="preserve">ARTICULO </w:t>
      </w:r>
      <w:r w:rsidR="00175346" w:rsidRPr="00175346">
        <w:rPr>
          <w:rFonts w:ascii="Verdana" w:hAnsi="Verdana"/>
          <w:b/>
          <w:bCs/>
          <w:sz w:val="22"/>
          <w:szCs w:val="22"/>
          <w:lang w:val="es-ES"/>
        </w:rPr>
        <w:t>4o</w:t>
      </w:r>
      <w:r w:rsidRPr="00175346">
        <w:rPr>
          <w:rFonts w:ascii="Verdana" w:hAnsi="Verdana"/>
          <w:b/>
          <w:bCs/>
          <w:sz w:val="22"/>
          <w:szCs w:val="22"/>
          <w:lang w:val="es-ES"/>
        </w:rPr>
        <w:t>.</w:t>
      </w:r>
      <w:r w:rsidRPr="00D567B6">
        <w:rPr>
          <w:rFonts w:ascii="Verdana" w:hAnsi="Verdana"/>
          <w:sz w:val="22"/>
          <w:szCs w:val="22"/>
          <w:lang w:val="es-ES"/>
        </w:rPr>
        <w:t xml:space="preserve"> La presente resolución rige a partir de la fecha de su expedición.</w:t>
      </w:r>
    </w:p>
    <w:p w14:paraId="784977AB" w14:textId="1B41293A" w:rsidR="00D567B6" w:rsidRPr="00175346" w:rsidRDefault="00D567B6" w:rsidP="00175346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175346">
        <w:rPr>
          <w:rFonts w:ascii="Verdana" w:hAnsi="Verdana"/>
          <w:b/>
          <w:bCs/>
          <w:sz w:val="22"/>
          <w:szCs w:val="22"/>
          <w:lang w:val="es-ES"/>
        </w:rPr>
        <w:lastRenderedPageBreak/>
        <w:t>COMUNIQUESE Y CUMPLASE</w:t>
      </w:r>
      <w:r w:rsidR="00175346">
        <w:rPr>
          <w:rFonts w:ascii="Verdana" w:hAnsi="Verdana"/>
          <w:b/>
          <w:bCs/>
          <w:sz w:val="22"/>
          <w:szCs w:val="22"/>
          <w:lang w:val="es-ES"/>
        </w:rPr>
        <w:t>,</w:t>
      </w:r>
    </w:p>
    <w:p w14:paraId="2CACC26B" w14:textId="2FC10748" w:rsidR="00D567B6" w:rsidRPr="00D567B6" w:rsidRDefault="00D567B6" w:rsidP="00175346">
      <w:pPr>
        <w:jc w:val="center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>Dada en Bogotá D. C., a los</w:t>
      </w:r>
      <w:r w:rsidR="00175346">
        <w:rPr>
          <w:rFonts w:ascii="Verdana" w:hAnsi="Verdana"/>
          <w:sz w:val="22"/>
          <w:szCs w:val="22"/>
          <w:lang w:val="es-ES"/>
        </w:rPr>
        <w:t xml:space="preserve"> 5 días del mes de febrero de 2010</w:t>
      </w:r>
    </w:p>
    <w:p w14:paraId="161CDCD3" w14:textId="47E20881" w:rsidR="00D567B6" w:rsidRPr="00175346" w:rsidRDefault="00D567B6" w:rsidP="00175346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175346">
        <w:rPr>
          <w:rFonts w:ascii="Verdana" w:hAnsi="Verdana"/>
          <w:b/>
          <w:bCs/>
          <w:sz w:val="22"/>
          <w:szCs w:val="22"/>
          <w:lang w:val="es-ES"/>
        </w:rPr>
        <w:t>ELVIRA FORERO HERNANDEZ</w:t>
      </w:r>
    </w:p>
    <w:p w14:paraId="6C504C10" w14:textId="07824CBE" w:rsidR="00D567B6" w:rsidRPr="00D567B6" w:rsidRDefault="00EF600D" w:rsidP="00175346">
      <w:pPr>
        <w:jc w:val="center"/>
        <w:rPr>
          <w:rFonts w:ascii="Verdana" w:hAnsi="Verdana"/>
          <w:sz w:val="22"/>
          <w:szCs w:val="22"/>
          <w:lang w:val="es-ES"/>
        </w:rPr>
      </w:pPr>
      <w:r w:rsidRPr="00D567B6">
        <w:rPr>
          <w:rFonts w:ascii="Verdana" w:hAnsi="Verdana"/>
          <w:sz w:val="22"/>
          <w:szCs w:val="22"/>
          <w:lang w:val="es-ES"/>
        </w:rPr>
        <w:t>DIRECTORA GENERAL</w:t>
      </w:r>
    </w:p>
    <w:p w14:paraId="50186BBA" w14:textId="77777777" w:rsidR="00D567B6" w:rsidRPr="00D567B6" w:rsidRDefault="00D567B6" w:rsidP="00D567B6">
      <w:pPr>
        <w:jc w:val="both"/>
        <w:rPr>
          <w:rFonts w:ascii="Verdana" w:hAnsi="Verdana"/>
          <w:sz w:val="22"/>
          <w:szCs w:val="22"/>
          <w:lang w:val="es-ES"/>
        </w:rPr>
      </w:pPr>
    </w:p>
    <w:sectPr w:rsidR="00D567B6" w:rsidRPr="00D56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7622"/>
    <w:multiLevelType w:val="hybridMultilevel"/>
    <w:tmpl w:val="95185A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1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D4"/>
    <w:rsid w:val="00175346"/>
    <w:rsid w:val="001B1107"/>
    <w:rsid w:val="00235792"/>
    <w:rsid w:val="00243CB4"/>
    <w:rsid w:val="002A09D6"/>
    <w:rsid w:val="006456D4"/>
    <w:rsid w:val="006B1FAC"/>
    <w:rsid w:val="00843967"/>
    <w:rsid w:val="00861C5F"/>
    <w:rsid w:val="00A724C4"/>
    <w:rsid w:val="00D567B6"/>
    <w:rsid w:val="00ED5A02"/>
    <w:rsid w:val="00E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2200"/>
  <w15:chartTrackingRefBased/>
  <w15:docId w15:val="{178C2946-F5EC-40D2-A60A-73D2894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92"/>
  </w:style>
  <w:style w:type="paragraph" w:styleId="Ttulo1">
    <w:name w:val="heading 1"/>
    <w:basedOn w:val="Normal"/>
    <w:next w:val="Normal"/>
    <w:link w:val="Ttulo1Car"/>
    <w:uiPriority w:val="9"/>
    <w:qFormat/>
    <w:rsid w:val="0064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5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5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5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5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56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5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6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5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5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5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56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56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56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56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56D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3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B1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0A18C-930B-4A45-92C1-76E167841770}"/>
</file>

<file path=customXml/itemProps2.xml><?xml version="1.0" encoding="utf-8"?>
<ds:datastoreItem xmlns:ds="http://schemas.openxmlformats.org/officeDocument/2006/customXml" ds:itemID="{7D7DF425-8774-4487-9985-8381BEE57012}"/>
</file>

<file path=customXml/itemProps3.xml><?xml version="1.0" encoding="utf-8"?>
<ds:datastoreItem xmlns:ds="http://schemas.openxmlformats.org/officeDocument/2006/customXml" ds:itemID="{4F7FC3DC-D515-4629-B11A-F38EEFAA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2025-12-05T19:19:00Z</dcterms:created>
  <dcterms:modified xsi:type="dcterms:W3CDTF">2026-01-23T20:02:00Z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