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F77F" w14:textId="77777777" w:rsidR="008E3F1A" w:rsidRPr="008E3F1A" w:rsidRDefault="008E3F1A" w:rsidP="008E3F1A">
      <w:pPr>
        <w:pStyle w:val="Sinespaciado"/>
        <w:jc w:val="center"/>
        <w:rPr>
          <w:rFonts w:ascii="Verdana" w:hAnsi="Verdana"/>
          <w:sz w:val="22"/>
          <w:szCs w:val="22"/>
        </w:rPr>
      </w:pPr>
      <w:bookmarkStart w:id="0" w:name="_Hlk220275951"/>
      <w:r w:rsidRPr="008E3F1A">
        <w:rPr>
          <w:rFonts w:ascii="Verdana" w:hAnsi="Verdana"/>
          <w:b/>
          <w:bCs/>
          <w:sz w:val="22"/>
          <w:szCs w:val="22"/>
        </w:rPr>
        <w:t>RESOLUCIÓN 6400 DE 2012</w:t>
      </w:r>
    </w:p>
    <w:p w14:paraId="615C6A9B" w14:textId="77777777" w:rsidR="008E3F1A" w:rsidRDefault="008E3F1A" w:rsidP="00202C26">
      <w:pPr>
        <w:pStyle w:val="Sinespaciado"/>
        <w:rPr>
          <w:rFonts w:ascii="Verdana" w:hAnsi="Verdana"/>
          <w:sz w:val="20"/>
          <w:szCs w:val="20"/>
        </w:rPr>
      </w:pPr>
    </w:p>
    <w:p w14:paraId="382B115B" w14:textId="5F518198"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Fecha de Expedición: </w:t>
      </w:r>
      <w:r w:rsidR="008E3F1A">
        <w:rPr>
          <w:rFonts w:ascii="Verdana" w:hAnsi="Verdana"/>
          <w:sz w:val="20"/>
          <w:szCs w:val="20"/>
        </w:rPr>
        <w:t>21 de septiembre de 2012</w:t>
      </w:r>
    </w:p>
    <w:p w14:paraId="6745AB2B" w14:textId="19C73291"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8E3F1A">
        <w:rPr>
          <w:rFonts w:ascii="Verdana" w:hAnsi="Verdana"/>
          <w:sz w:val="20"/>
          <w:szCs w:val="20"/>
        </w:rPr>
        <w:t>21</w:t>
      </w:r>
      <w:r w:rsidRPr="00202C26">
        <w:rPr>
          <w:rFonts w:ascii="Verdana" w:hAnsi="Verdana"/>
          <w:sz w:val="20"/>
          <w:szCs w:val="20"/>
        </w:rPr>
        <w:t xml:space="preserve"> de septiembre </w:t>
      </w:r>
      <w:r w:rsidRPr="00A85783">
        <w:rPr>
          <w:rFonts w:ascii="Verdana" w:hAnsi="Verdana"/>
          <w:sz w:val="20"/>
          <w:szCs w:val="20"/>
        </w:rPr>
        <w:t xml:space="preserve">de </w:t>
      </w:r>
      <w:r w:rsidR="008E3F1A">
        <w:rPr>
          <w:rFonts w:ascii="Verdana" w:hAnsi="Verdana"/>
          <w:sz w:val="20"/>
          <w:szCs w:val="20"/>
        </w:rPr>
        <w:t>2012</w:t>
      </w:r>
    </w:p>
    <w:p w14:paraId="76C48C06" w14:textId="77777777"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Estado de la vigencia: Vigente </w:t>
      </w:r>
    </w:p>
    <w:p w14:paraId="6D3CC899" w14:textId="77777777" w:rsidR="00202C26" w:rsidRDefault="00202C26" w:rsidP="00202C26">
      <w:pPr>
        <w:pStyle w:val="Sinespaciado"/>
        <w:rPr>
          <w:rFonts w:ascii="Verdana" w:hAnsi="Verdana"/>
          <w:sz w:val="20"/>
          <w:szCs w:val="20"/>
        </w:rPr>
      </w:pPr>
    </w:p>
    <w:p w14:paraId="4FE890B0" w14:textId="77777777" w:rsidR="00202C26" w:rsidRPr="00A85783" w:rsidRDefault="00202C26" w:rsidP="00202C26">
      <w:pPr>
        <w:pStyle w:val="Sinespaciado"/>
        <w:rPr>
          <w:rFonts w:ascii="Verdana" w:hAnsi="Verdana"/>
          <w:sz w:val="20"/>
          <w:szCs w:val="20"/>
        </w:rPr>
      </w:pPr>
      <w:r w:rsidRPr="00A85783">
        <w:rPr>
          <w:rFonts w:ascii="Verdana" w:hAnsi="Verdana"/>
          <w:sz w:val="20"/>
          <w:szCs w:val="20"/>
        </w:rPr>
        <w:t>Fecha de publicación en Diario Oficial: N/A</w:t>
      </w:r>
    </w:p>
    <w:p w14:paraId="28039A90" w14:textId="77777777" w:rsidR="00202C26" w:rsidRDefault="00202C26" w:rsidP="00202C26">
      <w:pPr>
        <w:pStyle w:val="Sinespaciado"/>
        <w:rPr>
          <w:rFonts w:ascii="Verdana" w:hAnsi="Verdana"/>
          <w:sz w:val="20"/>
          <w:szCs w:val="20"/>
        </w:rPr>
      </w:pPr>
      <w:r w:rsidRPr="00A85783">
        <w:rPr>
          <w:rFonts w:ascii="Verdana" w:hAnsi="Verdana"/>
          <w:sz w:val="20"/>
          <w:szCs w:val="20"/>
        </w:rPr>
        <w:t>Número del Diario Oficial: N/A</w:t>
      </w:r>
    </w:p>
    <w:p w14:paraId="6287E78D" w14:textId="77777777" w:rsidR="00F1523C" w:rsidRDefault="00F1523C" w:rsidP="00202C26">
      <w:pPr>
        <w:pStyle w:val="Sinespaciado"/>
        <w:rPr>
          <w:rFonts w:ascii="Verdana" w:hAnsi="Verdana"/>
          <w:sz w:val="20"/>
          <w:szCs w:val="20"/>
        </w:rPr>
      </w:pPr>
    </w:p>
    <w:p w14:paraId="2E0D5E3C" w14:textId="77777777" w:rsidR="008E3F1A" w:rsidRPr="008E3F1A" w:rsidRDefault="008E3F1A" w:rsidP="008E3F1A">
      <w:pPr>
        <w:pStyle w:val="Sinespaciado"/>
        <w:jc w:val="center"/>
        <w:rPr>
          <w:rFonts w:ascii="Verdana" w:hAnsi="Verdana"/>
          <w:sz w:val="22"/>
          <w:szCs w:val="22"/>
        </w:rPr>
      </w:pPr>
      <w:r w:rsidRPr="008E3F1A">
        <w:rPr>
          <w:rFonts w:ascii="Verdana" w:hAnsi="Verdana"/>
          <w:b/>
          <w:bCs/>
          <w:sz w:val="22"/>
          <w:szCs w:val="22"/>
        </w:rPr>
        <w:t>RESOLUCIÓN 6400 DE 2012</w:t>
      </w:r>
    </w:p>
    <w:p w14:paraId="51E4E73B" w14:textId="77777777" w:rsidR="008E3F1A" w:rsidRPr="008E3F1A" w:rsidRDefault="008E3F1A" w:rsidP="008E3F1A">
      <w:pPr>
        <w:pStyle w:val="Sinespaciado"/>
        <w:jc w:val="center"/>
        <w:rPr>
          <w:rFonts w:ascii="Verdana" w:hAnsi="Verdana"/>
          <w:sz w:val="22"/>
          <w:szCs w:val="22"/>
        </w:rPr>
      </w:pPr>
      <w:r w:rsidRPr="008E3F1A">
        <w:rPr>
          <w:rFonts w:ascii="Verdana" w:hAnsi="Verdana"/>
          <w:sz w:val="22"/>
          <w:szCs w:val="22"/>
        </w:rPr>
        <w:t>(septiembre 21)</w:t>
      </w:r>
    </w:p>
    <w:p w14:paraId="37D421C3" w14:textId="77777777" w:rsidR="008E3F1A" w:rsidRPr="008E3F1A" w:rsidRDefault="008E3F1A" w:rsidP="008E3F1A">
      <w:pPr>
        <w:pStyle w:val="Sinespaciado"/>
        <w:jc w:val="center"/>
        <w:rPr>
          <w:rFonts w:ascii="Verdana" w:hAnsi="Verdana"/>
          <w:sz w:val="22"/>
          <w:szCs w:val="22"/>
        </w:rPr>
      </w:pPr>
    </w:p>
    <w:p w14:paraId="51405B8C" w14:textId="77777777" w:rsidR="008E3F1A" w:rsidRPr="008E3F1A" w:rsidRDefault="008E3F1A" w:rsidP="008E3F1A">
      <w:pPr>
        <w:pStyle w:val="Sinespaciado"/>
        <w:jc w:val="center"/>
        <w:rPr>
          <w:rFonts w:ascii="Verdana" w:hAnsi="Verdana"/>
          <w:sz w:val="22"/>
          <w:szCs w:val="22"/>
        </w:rPr>
      </w:pPr>
      <w:r w:rsidRPr="008E3F1A">
        <w:rPr>
          <w:rFonts w:ascii="Verdana" w:hAnsi="Verdana"/>
          <w:b/>
          <w:bCs/>
          <w:sz w:val="22"/>
          <w:szCs w:val="22"/>
        </w:rPr>
        <w:t>INSTITUTO COLOMBIANO DE BIENESTAR FAMILIAR</w:t>
      </w:r>
    </w:p>
    <w:p w14:paraId="2D04DB28" w14:textId="77777777" w:rsidR="008E3F1A" w:rsidRDefault="008E3F1A" w:rsidP="008E3F1A">
      <w:pPr>
        <w:pStyle w:val="Sinespaciado"/>
        <w:jc w:val="center"/>
        <w:rPr>
          <w:rFonts w:ascii="Verdana" w:hAnsi="Verdana"/>
          <w:b/>
          <w:bCs/>
          <w:sz w:val="22"/>
          <w:szCs w:val="22"/>
        </w:rPr>
      </w:pPr>
      <w:r w:rsidRPr="008E3F1A">
        <w:rPr>
          <w:rFonts w:ascii="Verdana" w:hAnsi="Verdana"/>
          <w:b/>
          <w:bCs/>
          <w:sz w:val="22"/>
          <w:szCs w:val="22"/>
        </w:rPr>
        <w:t>DIRECCIÓN GENERAL</w:t>
      </w:r>
    </w:p>
    <w:p w14:paraId="6D640155" w14:textId="77777777" w:rsidR="008E3F1A" w:rsidRPr="008E3F1A" w:rsidRDefault="008E3F1A" w:rsidP="008E3F1A">
      <w:pPr>
        <w:pStyle w:val="Sinespaciado"/>
        <w:jc w:val="center"/>
        <w:rPr>
          <w:rFonts w:ascii="Verdana" w:hAnsi="Verdana"/>
          <w:sz w:val="22"/>
          <w:szCs w:val="22"/>
        </w:rPr>
      </w:pPr>
    </w:p>
    <w:p w14:paraId="2E586A72" w14:textId="77777777" w:rsidR="008E3F1A" w:rsidRDefault="008E3F1A" w:rsidP="008E3F1A">
      <w:pPr>
        <w:pStyle w:val="Sinespaciado"/>
        <w:jc w:val="center"/>
        <w:rPr>
          <w:rFonts w:ascii="Verdana" w:hAnsi="Verdana"/>
          <w:sz w:val="22"/>
          <w:szCs w:val="22"/>
        </w:rPr>
      </w:pPr>
      <w:r w:rsidRPr="008E3F1A">
        <w:rPr>
          <w:rFonts w:ascii="Verdana" w:hAnsi="Verdana"/>
          <w:sz w:val="22"/>
          <w:szCs w:val="22"/>
        </w:rPr>
        <w:t>Por la cual se crea el Comité Nacional del Programa de Alimentación Escolar (PAE) del Instituto Colombiano de Bienestar Familiar Cecilia De la Fuente de Lleras (ICBF).</w:t>
      </w:r>
    </w:p>
    <w:p w14:paraId="2AE08CFE" w14:textId="77777777" w:rsidR="008E3F1A" w:rsidRPr="008E3F1A" w:rsidRDefault="008E3F1A" w:rsidP="008E3F1A">
      <w:pPr>
        <w:pStyle w:val="Sinespaciado"/>
        <w:jc w:val="center"/>
        <w:rPr>
          <w:rFonts w:ascii="Verdana" w:hAnsi="Verdana"/>
          <w:sz w:val="22"/>
          <w:szCs w:val="22"/>
        </w:rPr>
      </w:pPr>
    </w:p>
    <w:p w14:paraId="10F853E2" w14:textId="77777777" w:rsidR="008E3F1A" w:rsidRDefault="008E3F1A" w:rsidP="008E3F1A">
      <w:pPr>
        <w:pStyle w:val="Sinespaciado"/>
        <w:jc w:val="center"/>
        <w:rPr>
          <w:rFonts w:ascii="Verdana" w:hAnsi="Verdana"/>
          <w:b/>
          <w:bCs/>
          <w:sz w:val="22"/>
          <w:szCs w:val="22"/>
        </w:rPr>
      </w:pPr>
      <w:r w:rsidRPr="008E3F1A">
        <w:rPr>
          <w:rFonts w:ascii="Verdana" w:hAnsi="Verdana"/>
          <w:b/>
          <w:bCs/>
          <w:sz w:val="22"/>
          <w:szCs w:val="22"/>
        </w:rPr>
        <w:t>EL DIRECTOR GENERAL DEL INSTITUTO COLOMBIANO DE BIENESTAR FAMILIAR CECILIA DE LA FUENTE DE LLERAS,</w:t>
      </w:r>
    </w:p>
    <w:p w14:paraId="1070A3E6" w14:textId="77777777" w:rsidR="008E3F1A" w:rsidRPr="008E3F1A" w:rsidRDefault="008E3F1A" w:rsidP="008E3F1A">
      <w:pPr>
        <w:pStyle w:val="Sinespaciado"/>
        <w:jc w:val="center"/>
        <w:rPr>
          <w:rFonts w:ascii="Verdana" w:hAnsi="Verdana"/>
          <w:sz w:val="22"/>
          <w:szCs w:val="22"/>
        </w:rPr>
      </w:pPr>
    </w:p>
    <w:p w14:paraId="21B6CEFC" w14:textId="2B7FCD70" w:rsidR="008E3F1A" w:rsidRDefault="008E3F1A" w:rsidP="008E3F1A">
      <w:pPr>
        <w:pStyle w:val="Sinespaciado"/>
        <w:jc w:val="center"/>
        <w:rPr>
          <w:rFonts w:ascii="Verdana" w:hAnsi="Verdana"/>
          <w:sz w:val="22"/>
          <w:szCs w:val="22"/>
        </w:rPr>
      </w:pPr>
      <w:r w:rsidRPr="008E3F1A">
        <w:rPr>
          <w:rFonts w:ascii="Verdana" w:hAnsi="Verdana"/>
          <w:sz w:val="22"/>
          <w:szCs w:val="22"/>
        </w:rPr>
        <w:t>en uso de sus facultades constitucionales y legales, en especial las consagradas en el artículo 78 de la Ley 489 de 1998 y el Decreto 987 de 2012, y</w:t>
      </w:r>
    </w:p>
    <w:p w14:paraId="5AE42FD7" w14:textId="77777777" w:rsidR="008E3F1A" w:rsidRPr="008E3F1A" w:rsidRDefault="008E3F1A" w:rsidP="008E3F1A">
      <w:pPr>
        <w:pStyle w:val="Sinespaciado"/>
        <w:jc w:val="center"/>
        <w:rPr>
          <w:rFonts w:ascii="Verdana" w:hAnsi="Verdana"/>
          <w:sz w:val="22"/>
          <w:szCs w:val="22"/>
        </w:rPr>
      </w:pPr>
    </w:p>
    <w:p w14:paraId="7D2F50C4" w14:textId="77777777" w:rsidR="008E3F1A" w:rsidRDefault="008E3F1A" w:rsidP="008E3F1A">
      <w:pPr>
        <w:pStyle w:val="Sinespaciado"/>
        <w:jc w:val="center"/>
        <w:rPr>
          <w:rFonts w:ascii="Verdana" w:hAnsi="Verdana"/>
          <w:b/>
          <w:bCs/>
          <w:sz w:val="22"/>
          <w:szCs w:val="22"/>
        </w:rPr>
      </w:pPr>
      <w:r w:rsidRPr="008E3F1A">
        <w:rPr>
          <w:rFonts w:ascii="Verdana" w:hAnsi="Verdana"/>
          <w:b/>
          <w:bCs/>
          <w:sz w:val="22"/>
          <w:szCs w:val="22"/>
        </w:rPr>
        <w:t>CONSIDERANDO:</w:t>
      </w:r>
    </w:p>
    <w:p w14:paraId="5218B1A8" w14:textId="77777777" w:rsidR="008E3F1A" w:rsidRPr="008E3F1A" w:rsidRDefault="008E3F1A" w:rsidP="008E3F1A">
      <w:pPr>
        <w:pStyle w:val="Sinespaciado"/>
        <w:jc w:val="center"/>
        <w:rPr>
          <w:rFonts w:ascii="Verdana" w:hAnsi="Verdana"/>
          <w:sz w:val="22"/>
          <w:szCs w:val="22"/>
        </w:rPr>
      </w:pPr>
    </w:p>
    <w:p w14:paraId="1B3A6A63" w14:textId="480D6829" w:rsidR="008E3F1A" w:rsidRDefault="008E3F1A" w:rsidP="008E3F1A">
      <w:pPr>
        <w:pStyle w:val="Sinespaciado"/>
        <w:jc w:val="both"/>
        <w:rPr>
          <w:rFonts w:ascii="Verdana" w:hAnsi="Verdana"/>
          <w:sz w:val="22"/>
          <w:szCs w:val="22"/>
        </w:rPr>
      </w:pPr>
      <w:r w:rsidRPr="008E3F1A">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A45236A" w14:textId="77777777" w:rsidR="008E3F1A" w:rsidRPr="008E3F1A" w:rsidRDefault="008E3F1A" w:rsidP="008E3F1A">
      <w:pPr>
        <w:pStyle w:val="Sinespaciado"/>
        <w:jc w:val="both"/>
        <w:rPr>
          <w:rFonts w:ascii="Verdana" w:hAnsi="Verdana"/>
          <w:sz w:val="22"/>
          <w:szCs w:val="22"/>
        </w:rPr>
      </w:pPr>
    </w:p>
    <w:p w14:paraId="2B10231F" w14:textId="3AA9D694" w:rsidR="008E3F1A" w:rsidRDefault="008E3F1A" w:rsidP="008E3F1A">
      <w:pPr>
        <w:pStyle w:val="Sinespaciado"/>
        <w:jc w:val="both"/>
        <w:rPr>
          <w:rFonts w:ascii="Verdana" w:hAnsi="Verdana"/>
          <w:sz w:val="22"/>
          <w:szCs w:val="22"/>
        </w:rPr>
      </w:pPr>
      <w:r w:rsidRPr="008E3F1A">
        <w:rPr>
          <w:rFonts w:ascii="Verdana" w:hAnsi="Verdana"/>
          <w:sz w:val="22"/>
          <w:szCs w:val="22"/>
        </w:rPr>
        <w:t>Que mediante Decreto número 987 de 2012, </w:t>
      </w:r>
      <w:r w:rsidRPr="008E3F1A">
        <w:rPr>
          <w:rFonts w:ascii="Verdana" w:hAnsi="Verdana"/>
          <w:i/>
          <w:iCs/>
          <w:sz w:val="22"/>
          <w:szCs w:val="22"/>
        </w:rPr>
        <w:t>por el cual se modifica la estructura del ICBF </w:t>
      </w:r>
      <w:r w:rsidRPr="008E3F1A">
        <w:rPr>
          <w:rFonts w:ascii="Verdana" w:hAnsi="Verdana"/>
          <w:sz w:val="22"/>
          <w:szCs w:val="22"/>
        </w:rPr>
        <w:t>y </w:t>
      </w:r>
      <w:r w:rsidRPr="008E3F1A">
        <w:rPr>
          <w:rFonts w:ascii="Verdana" w:hAnsi="Verdana"/>
          <w:i/>
          <w:iCs/>
          <w:sz w:val="22"/>
          <w:szCs w:val="22"/>
        </w:rPr>
        <w:t>se determinan sus funciones, </w:t>
      </w:r>
      <w:r w:rsidRPr="008E3F1A">
        <w:rPr>
          <w:rFonts w:ascii="Verdana" w:hAnsi="Verdana"/>
          <w:sz w:val="22"/>
          <w:szCs w:val="22"/>
        </w:rPr>
        <w:t>se creó la Dirección de Niñez y Adolescencia, la cual tiene entre sus funciones la de liderar la implementación de las políticas, planes, programas y proyectos relativos a la niñez y la adolescencia dentro del ICBF, definidos por el Departamento Administrativo para la Prosperidad Social, y por las demás entidades y organismos competentes.</w:t>
      </w:r>
    </w:p>
    <w:p w14:paraId="51C2A14B" w14:textId="77777777" w:rsidR="008E3F1A" w:rsidRPr="008E3F1A" w:rsidRDefault="008E3F1A" w:rsidP="008E3F1A">
      <w:pPr>
        <w:pStyle w:val="Sinespaciado"/>
        <w:jc w:val="both"/>
        <w:rPr>
          <w:rFonts w:ascii="Verdana" w:hAnsi="Verdana"/>
          <w:sz w:val="22"/>
          <w:szCs w:val="22"/>
        </w:rPr>
      </w:pPr>
    </w:p>
    <w:p w14:paraId="252016DC" w14:textId="77777777" w:rsidR="008E3F1A" w:rsidRDefault="008E3F1A" w:rsidP="008E3F1A">
      <w:pPr>
        <w:pStyle w:val="Sinespaciado"/>
        <w:jc w:val="both"/>
        <w:rPr>
          <w:rFonts w:ascii="Verdana" w:hAnsi="Verdana"/>
          <w:sz w:val="22"/>
          <w:szCs w:val="22"/>
        </w:rPr>
      </w:pPr>
      <w:r w:rsidRPr="008E3F1A">
        <w:rPr>
          <w:rFonts w:ascii="Verdana" w:hAnsi="Verdana"/>
          <w:sz w:val="22"/>
          <w:szCs w:val="22"/>
        </w:rPr>
        <w:t>Que desde el año 2006, el Programa de Alimentación Escolar (PAE) ha funcionado con la orientación, financiación y lineamientos del ICBF para el sector público, vinculándose directamente con objetivos relacionados con el sistema educativo, como una estrategia para contribuir a incrementar la matrícula, reducir el ausentismo y mejorar la función cognitiva de los escolares.</w:t>
      </w:r>
    </w:p>
    <w:p w14:paraId="0B5D39D6" w14:textId="77777777" w:rsidR="008E3F1A" w:rsidRPr="008E3F1A" w:rsidRDefault="008E3F1A" w:rsidP="008E3F1A">
      <w:pPr>
        <w:pStyle w:val="Sinespaciado"/>
        <w:jc w:val="both"/>
        <w:rPr>
          <w:rFonts w:ascii="Verdana" w:hAnsi="Verdana"/>
          <w:sz w:val="22"/>
          <w:szCs w:val="22"/>
        </w:rPr>
      </w:pPr>
    </w:p>
    <w:p w14:paraId="5B19AB0B" w14:textId="77777777" w:rsidR="008E3F1A" w:rsidRDefault="008E3F1A" w:rsidP="008E3F1A">
      <w:pPr>
        <w:pStyle w:val="Sinespaciado"/>
        <w:jc w:val="both"/>
        <w:rPr>
          <w:rFonts w:ascii="Verdana" w:hAnsi="Verdana"/>
          <w:sz w:val="22"/>
          <w:szCs w:val="22"/>
        </w:rPr>
      </w:pPr>
      <w:r w:rsidRPr="008E3F1A">
        <w:rPr>
          <w:rFonts w:ascii="Verdana" w:hAnsi="Verdana"/>
          <w:sz w:val="22"/>
          <w:szCs w:val="22"/>
        </w:rPr>
        <w:t xml:space="preserve">Que el Programa de Alimentación Escolar (PAE) consiste en el suministro organizado de un complemento nutricional con alimentos inocuos a los niños, </w:t>
      </w:r>
      <w:r w:rsidRPr="008E3F1A">
        <w:rPr>
          <w:rFonts w:ascii="Verdana" w:hAnsi="Verdana"/>
          <w:sz w:val="22"/>
          <w:szCs w:val="22"/>
        </w:rPr>
        <w:lastRenderedPageBreak/>
        <w:t>las niñas y los adolescentes que se encuentran matriculados en el sistema educativo público, y al desarrollo de un conjunto de acciones alimentarias, nutricionales, de salud y de formación en adecuados hábitos alimenticios y estilos de vida saludables, que contribuyen a mejorar el desempeño de los escolares y apoyar su vinculación y permanencia en el sistema educativo, con la participación activa de la familia, la comunidad, los entes territoriales y demás entidades del Sistema Nacional de Bienestar Familiar.</w:t>
      </w:r>
    </w:p>
    <w:p w14:paraId="618198C5" w14:textId="77777777" w:rsidR="008E3F1A" w:rsidRPr="008E3F1A" w:rsidRDefault="008E3F1A" w:rsidP="008E3F1A">
      <w:pPr>
        <w:pStyle w:val="Sinespaciado"/>
        <w:jc w:val="both"/>
        <w:rPr>
          <w:rFonts w:ascii="Verdana" w:hAnsi="Verdana"/>
          <w:sz w:val="22"/>
          <w:szCs w:val="22"/>
        </w:rPr>
      </w:pPr>
    </w:p>
    <w:p w14:paraId="02C3BCE3" w14:textId="77777777" w:rsidR="008E3F1A" w:rsidRDefault="008E3F1A" w:rsidP="008E3F1A">
      <w:pPr>
        <w:pStyle w:val="Sinespaciado"/>
        <w:jc w:val="both"/>
        <w:rPr>
          <w:rFonts w:ascii="Verdana" w:hAnsi="Verdana"/>
          <w:sz w:val="22"/>
          <w:szCs w:val="22"/>
        </w:rPr>
      </w:pPr>
      <w:r w:rsidRPr="008E3F1A">
        <w:rPr>
          <w:rFonts w:ascii="Verdana" w:hAnsi="Verdana"/>
          <w:sz w:val="22"/>
          <w:szCs w:val="22"/>
        </w:rPr>
        <w:t>Que es necesario definir y aprobar las diferentes estrategias que se implementan durante cada vigencia para planificar, ejecutar y evaluar el proceso de operadores, de contratación y ejecución del PAE.</w:t>
      </w:r>
    </w:p>
    <w:p w14:paraId="659F00AC" w14:textId="77777777" w:rsidR="008E3F1A" w:rsidRPr="008E3F1A" w:rsidRDefault="008E3F1A" w:rsidP="008E3F1A">
      <w:pPr>
        <w:pStyle w:val="Sinespaciado"/>
        <w:jc w:val="both"/>
        <w:rPr>
          <w:rFonts w:ascii="Verdana" w:hAnsi="Verdana"/>
          <w:sz w:val="22"/>
          <w:szCs w:val="22"/>
        </w:rPr>
      </w:pPr>
    </w:p>
    <w:p w14:paraId="2A31F58E" w14:textId="4BEC6406" w:rsidR="008E3F1A" w:rsidRDefault="008E3F1A" w:rsidP="008E3F1A">
      <w:pPr>
        <w:pStyle w:val="Sinespaciado"/>
        <w:jc w:val="both"/>
        <w:rPr>
          <w:rFonts w:ascii="Verdana" w:hAnsi="Verdana"/>
          <w:sz w:val="22"/>
          <w:szCs w:val="22"/>
        </w:rPr>
      </w:pPr>
      <w:r w:rsidRPr="008E3F1A">
        <w:rPr>
          <w:rFonts w:ascii="Verdana" w:hAnsi="Verdana"/>
          <w:sz w:val="22"/>
          <w:szCs w:val="22"/>
        </w:rPr>
        <w:t>Que se debe garantizar el cumplimiento de los Lineamientos Técnicos Administrativos y Estándares del PAE, aprobados mediante Resolución número 6054 de 2010, modificada por la Resolución número 167 de 2012, desde el nivel central, con el fin de brindar un servicio de calidad para los beneficiarios del programa y contribuir con la garantía de los derechos de los niños, las niñas y los adolescentes.</w:t>
      </w:r>
    </w:p>
    <w:p w14:paraId="5FA82057" w14:textId="77777777" w:rsidR="008E3F1A" w:rsidRPr="008E3F1A" w:rsidRDefault="008E3F1A" w:rsidP="008E3F1A">
      <w:pPr>
        <w:pStyle w:val="Sinespaciado"/>
        <w:jc w:val="both"/>
        <w:rPr>
          <w:rFonts w:ascii="Verdana" w:hAnsi="Verdana"/>
          <w:sz w:val="22"/>
          <w:szCs w:val="22"/>
        </w:rPr>
      </w:pPr>
    </w:p>
    <w:p w14:paraId="59A61F0E" w14:textId="77777777" w:rsidR="008E3F1A" w:rsidRDefault="008E3F1A" w:rsidP="008E3F1A">
      <w:pPr>
        <w:pStyle w:val="Sinespaciado"/>
        <w:jc w:val="both"/>
        <w:rPr>
          <w:rFonts w:ascii="Verdana" w:hAnsi="Verdana"/>
          <w:sz w:val="22"/>
          <w:szCs w:val="22"/>
        </w:rPr>
      </w:pPr>
      <w:r w:rsidRPr="008E3F1A">
        <w:rPr>
          <w:rFonts w:ascii="Verdana" w:hAnsi="Verdana"/>
          <w:sz w:val="22"/>
          <w:szCs w:val="22"/>
        </w:rPr>
        <w:t>Que para el cumplimiento de las funciones y actividades anteriormente referidas se requiere crear el Comité PAE del Instituto Colombiano de Bienestar Familiar Cecilia de la Fuente de Lleras.</w:t>
      </w:r>
    </w:p>
    <w:p w14:paraId="0888009A" w14:textId="77777777" w:rsidR="008E3F1A" w:rsidRPr="008E3F1A" w:rsidRDefault="008E3F1A" w:rsidP="008E3F1A">
      <w:pPr>
        <w:pStyle w:val="Sinespaciado"/>
        <w:jc w:val="both"/>
        <w:rPr>
          <w:rFonts w:ascii="Verdana" w:hAnsi="Verdana"/>
          <w:sz w:val="22"/>
          <w:szCs w:val="22"/>
        </w:rPr>
      </w:pPr>
    </w:p>
    <w:p w14:paraId="55023E17" w14:textId="77777777" w:rsidR="008E3F1A" w:rsidRDefault="008E3F1A" w:rsidP="008E3F1A">
      <w:pPr>
        <w:pStyle w:val="Sinespaciado"/>
        <w:jc w:val="both"/>
        <w:rPr>
          <w:rFonts w:ascii="Verdana" w:hAnsi="Verdana"/>
          <w:sz w:val="22"/>
          <w:szCs w:val="22"/>
        </w:rPr>
      </w:pPr>
      <w:proofErr w:type="gramStart"/>
      <w:r w:rsidRPr="008E3F1A">
        <w:rPr>
          <w:rFonts w:ascii="Verdana" w:hAnsi="Verdana"/>
          <w:sz w:val="22"/>
          <w:szCs w:val="22"/>
        </w:rPr>
        <w:t>Que</w:t>
      </w:r>
      <w:proofErr w:type="gramEnd"/>
      <w:r w:rsidRPr="008E3F1A">
        <w:rPr>
          <w:rFonts w:ascii="Verdana" w:hAnsi="Verdana"/>
          <w:sz w:val="22"/>
          <w:szCs w:val="22"/>
        </w:rPr>
        <w:t xml:space="preserve"> en mérito de lo expuesto,</w:t>
      </w:r>
    </w:p>
    <w:p w14:paraId="21D1D1F5" w14:textId="77777777" w:rsidR="008E3F1A" w:rsidRPr="008E3F1A" w:rsidRDefault="008E3F1A" w:rsidP="008E3F1A">
      <w:pPr>
        <w:pStyle w:val="Sinespaciado"/>
        <w:jc w:val="both"/>
        <w:rPr>
          <w:rFonts w:ascii="Verdana" w:hAnsi="Verdana"/>
          <w:sz w:val="22"/>
          <w:szCs w:val="22"/>
        </w:rPr>
      </w:pPr>
    </w:p>
    <w:p w14:paraId="5214E8AC" w14:textId="77777777" w:rsidR="008E3F1A" w:rsidRDefault="008E3F1A" w:rsidP="008E3F1A">
      <w:pPr>
        <w:pStyle w:val="Sinespaciado"/>
        <w:jc w:val="center"/>
        <w:rPr>
          <w:rFonts w:ascii="Verdana" w:hAnsi="Verdana"/>
          <w:b/>
          <w:bCs/>
          <w:sz w:val="22"/>
          <w:szCs w:val="22"/>
        </w:rPr>
      </w:pPr>
      <w:r w:rsidRPr="008E3F1A">
        <w:rPr>
          <w:rFonts w:ascii="Verdana" w:hAnsi="Verdana"/>
          <w:b/>
          <w:bCs/>
          <w:sz w:val="22"/>
          <w:szCs w:val="22"/>
        </w:rPr>
        <w:t>RESUELVE:</w:t>
      </w:r>
    </w:p>
    <w:p w14:paraId="2C1F960E" w14:textId="77777777" w:rsidR="008E3F1A" w:rsidRPr="008E3F1A" w:rsidRDefault="008E3F1A" w:rsidP="008E3F1A">
      <w:pPr>
        <w:pStyle w:val="Sinespaciado"/>
        <w:jc w:val="both"/>
        <w:rPr>
          <w:rFonts w:ascii="Verdana" w:hAnsi="Verdana"/>
          <w:sz w:val="22"/>
          <w:szCs w:val="22"/>
        </w:rPr>
      </w:pPr>
    </w:p>
    <w:p w14:paraId="072EF30B" w14:textId="77777777" w:rsidR="008E3F1A" w:rsidRPr="008E3F1A" w:rsidRDefault="008E3F1A" w:rsidP="008E3F1A">
      <w:pPr>
        <w:pStyle w:val="Sinespaciado"/>
        <w:jc w:val="both"/>
        <w:rPr>
          <w:rFonts w:ascii="Verdana" w:hAnsi="Verdana"/>
          <w:sz w:val="22"/>
          <w:szCs w:val="22"/>
        </w:rPr>
      </w:pPr>
      <w:bookmarkStart w:id="1" w:name="1"/>
      <w:r w:rsidRPr="008E3F1A">
        <w:rPr>
          <w:rFonts w:ascii="Verdana" w:hAnsi="Verdana"/>
          <w:b/>
          <w:bCs/>
          <w:sz w:val="22"/>
          <w:szCs w:val="22"/>
        </w:rPr>
        <w:t>ARTÍCULO 1o. OBJETO.</w:t>
      </w:r>
      <w:bookmarkEnd w:id="1"/>
      <w:r w:rsidRPr="008E3F1A">
        <w:rPr>
          <w:rFonts w:ascii="Verdana" w:hAnsi="Verdana"/>
          <w:sz w:val="22"/>
          <w:szCs w:val="22"/>
        </w:rPr>
        <w:t> Crear el Comité del Programa de Alimentación Escolar (PAE) del Instituto Colombiano de Bienestar Familiar Cecilia De la Fuente de Lleras (ICBF), en el nivel nacional, como órgano de consulta, estudio, análisis, planificación y recomendación de políticas y criterios del PAE.</w:t>
      </w:r>
    </w:p>
    <w:p w14:paraId="2F2E9755" w14:textId="4FE3F8BD" w:rsidR="008E3F1A" w:rsidRPr="008E3F1A" w:rsidRDefault="008E3F1A" w:rsidP="008E3F1A">
      <w:pPr>
        <w:pStyle w:val="Sinespaciado"/>
        <w:jc w:val="both"/>
        <w:rPr>
          <w:rFonts w:ascii="Verdana" w:hAnsi="Verdana"/>
          <w:sz w:val="22"/>
          <w:szCs w:val="22"/>
        </w:rPr>
      </w:pPr>
    </w:p>
    <w:p w14:paraId="29706369" w14:textId="77777777" w:rsidR="008E3F1A" w:rsidRPr="008E3F1A" w:rsidRDefault="008E3F1A" w:rsidP="008E3F1A">
      <w:pPr>
        <w:pStyle w:val="Sinespaciado"/>
        <w:jc w:val="both"/>
        <w:rPr>
          <w:rFonts w:ascii="Verdana" w:hAnsi="Verdana"/>
          <w:sz w:val="22"/>
          <w:szCs w:val="22"/>
        </w:rPr>
      </w:pPr>
      <w:bookmarkStart w:id="2" w:name="2"/>
      <w:r w:rsidRPr="008E3F1A">
        <w:rPr>
          <w:rFonts w:ascii="Verdana" w:hAnsi="Verdana"/>
          <w:b/>
          <w:bCs/>
          <w:sz w:val="22"/>
          <w:szCs w:val="22"/>
        </w:rPr>
        <w:t>ARTÍCULO 2o. INTEGRACIÓN.</w:t>
      </w:r>
      <w:bookmarkEnd w:id="2"/>
      <w:r w:rsidRPr="008E3F1A">
        <w:rPr>
          <w:rFonts w:ascii="Verdana" w:hAnsi="Verdana"/>
          <w:sz w:val="22"/>
          <w:szCs w:val="22"/>
        </w:rPr>
        <w:t> El Comité Nacional PAE del ICBF estará integrado así:</w:t>
      </w:r>
    </w:p>
    <w:p w14:paraId="57A26A37"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1. El </w:t>
      </w:r>
      <w:proofErr w:type="gramStart"/>
      <w:r w:rsidRPr="008E3F1A">
        <w:rPr>
          <w:rFonts w:ascii="Verdana" w:hAnsi="Verdana"/>
          <w:sz w:val="22"/>
          <w:szCs w:val="22"/>
        </w:rPr>
        <w:t>Subdirector</w:t>
      </w:r>
      <w:proofErr w:type="gramEnd"/>
      <w:r w:rsidRPr="008E3F1A">
        <w:rPr>
          <w:rFonts w:ascii="Verdana" w:hAnsi="Verdana"/>
          <w:sz w:val="22"/>
          <w:szCs w:val="22"/>
        </w:rPr>
        <w:t xml:space="preserve"> General, quien lo presidirá.</w:t>
      </w:r>
    </w:p>
    <w:p w14:paraId="0CD1AD3B"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2. El </w:t>
      </w:r>
      <w:proofErr w:type="gramStart"/>
      <w:r w:rsidRPr="008E3F1A">
        <w:rPr>
          <w:rFonts w:ascii="Verdana" w:hAnsi="Verdana"/>
          <w:sz w:val="22"/>
          <w:szCs w:val="22"/>
        </w:rPr>
        <w:t>Director</w:t>
      </w:r>
      <w:proofErr w:type="gramEnd"/>
      <w:r w:rsidRPr="008E3F1A">
        <w:rPr>
          <w:rFonts w:ascii="Verdana" w:hAnsi="Verdana"/>
          <w:sz w:val="22"/>
          <w:szCs w:val="22"/>
        </w:rPr>
        <w:t xml:space="preserve"> de Niñez y Adolescencia.</w:t>
      </w:r>
    </w:p>
    <w:p w14:paraId="62EF5D77"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3. El </w:t>
      </w:r>
      <w:proofErr w:type="gramStart"/>
      <w:r w:rsidRPr="008E3F1A">
        <w:rPr>
          <w:rFonts w:ascii="Verdana" w:hAnsi="Verdana"/>
          <w:sz w:val="22"/>
          <w:szCs w:val="22"/>
        </w:rPr>
        <w:t>Director</w:t>
      </w:r>
      <w:proofErr w:type="gramEnd"/>
      <w:r w:rsidRPr="008E3F1A">
        <w:rPr>
          <w:rFonts w:ascii="Verdana" w:hAnsi="Verdana"/>
          <w:sz w:val="22"/>
          <w:szCs w:val="22"/>
        </w:rPr>
        <w:t xml:space="preserve"> de Nutrición, o quien este delegue.</w:t>
      </w:r>
    </w:p>
    <w:p w14:paraId="13E17E71"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4. El </w:t>
      </w:r>
      <w:proofErr w:type="gramStart"/>
      <w:r w:rsidRPr="008E3F1A">
        <w:rPr>
          <w:rFonts w:ascii="Verdana" w:hAnsi="Verdana"/>
          <w:sz w:val="22"/>
          <w:szCs w:val="22"/>
        </w:rPr>
        <w:t>Subdirector</w:t>
      </w:r>
      <w:proofErr w:type="gramEnd"/>
      <w:r w:rsidRPr="008E3F1A">
        <w:rPr>
          <w:rFonts w:ascii="Verdana" w:hAnsi="Verdana"/>
          <w:sz w:val="22"/>
          <w:szCs w:val="22"/>
        </w:rPr>
        <w:t xml:space="preserve"> de Operación de la Atención a la Niñez y a la Adolescencia.</w:t>
      </w:r>
    </w:p>
    <w:p w14:paraId="4CBC7138"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5. El </w:t>
      </w:r>
      <w:proofErr w:type="gramStart"/>
      <w:r w:rsidRPr="008E3F1A">
        <w:rPr>
          <w:rFonts w:ascii="Verdana" w:hAnsi="Verdana"/>
          <w:sz w:val="22"/>
          <w:szCs w:val="22"/>
        </w:rPr>
        <w:t>Subdirector</w:t>
      </w:r>
      <w:proofErr w:type="gramEnd"/>
      <w:r w:rsidRPr="008E3F1A">
        <w:rPr>
          <w:rFonts w:ascii="Verdana" w:hAnsi="Verdana"/>
          <w:sz w:val="22"/>
          <w:szCs w:val="22"/>
        </w:rPr>
        <w:t xml:space="preserve"> de Gestión Técnica para la Atención a la Niñez y a la Adolescencia, o quien este delegue.</w:t>
      </w:r>
    </w:p>
    <w:p w14:paraId="745045B6"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6. El </w:t>
      </w:r>
      <w:proofErr w:type="gramStart"/>
      <w:r w:rsidRPr="008E3F1A">
        <w:rPr>
          <w:rFonts w:ascii="Verdana" w:hAnsi="Verdana"/>
          <w:sz w:val="22"/>
          <w:szCs w:val="22"/>
        </w:rPr>
        <w:t>Jefe</w:t>
      </w:r>
      <w:proofErr w:type="gramEnd"/>
      <w:r w:rsidRPr="008E3F1A">
        <w:rPr>
          <w:rFonts w:ascii="Verdana" w:hAnsi="Verdana"/>
          <w:sz w:val="22"/>
          <w:szCs w:val="22"/>
        </w:rPr>
        <w:t xml:space="preserve"> de la Oficina de Aseguramiento a la Calidad, o quien este delegue.</w:t>
      </w:r>
    </w:p>
    <w:p w14:paraId="468F4530"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 xml:space="preserve">7. Los </w:t>
      </w:r>
      <w:proofErr w:type="gramStart"/>
      <w:r w:rsidRPr="008E3F1A">
        <w:rPr>
          <w:rFonts w:ascii="Verdana" w:hAnsi="Verdana"/>
          <w:sz w:val="22"/>
          <w:szCs w:val="22"/>
        </w:rPr>
        <w:t>Directores Regionales</w:t>
      </w:r>
      <w:proofErr w:type="gramEnd"/>
      <w:r w:rsidRPr="008E3F1A">
        <w:rPr>
          <w:rFonts w:ascii="Verdana" w:hAnsi="Verdana"/>
          <w:sz w:val="22"/>
          <w:szCs w:val="22"/>
        </w:rPr>
        <w:t xml:space="preserve"> que sean citados </w:t>
      </w:r>
      <w:proofErr w:type="gramStart"/>
      <w:r w:rsidRPr="008E3F1A">
        <w:rPr>
          <w:rFonts w:ascii="Verdana" w:hAnsi="Verdana"/>
          <w:sz w:val="22"/>
          <w:szCs w:val="22"/>
        </w:rPr>
        <w:t>de acuerdo a</w:t>
      </w:r>
      <w:proofErr w:type="gramEnd"/>
      <w:r w:rsidRPr="008E3F1A">
        <w:rPr>
          <w:rFonts w:ascii="Verdana" w:hAnsi="Verdana"/>
          <w:sz w:val="22"/>
          <w:szCs w:val="22"/>
        </w:rPr>
        <w:t xml:space="preserve"> la agenda a tratar.</w:t>
      </w:r>
    </w:p>
    <w:p w14:paraId="015E15D6" w14:textId="77777777" w:rsidR="008E3F1A" w:rsidRPr="008E3F1A" w:rsidRDefault="008E3F1A" w:rsidP="008E3F1A">
      <w:pPr>
        <w:pStyle w:val="Sinespaciado"/>
        <w:jc w:val="both"/>
        <w:rPr>
          <w:rFonts w:ascii="Verdana" w:hAnsi="Verdana"/>
          <w:sz w:val="22"/>
          <w:szCs w:val="22"/>
        </w:rPr>
      </w:pPr>
      <w:r w:rsidRPr="008E3F1A">
        <w:rPr>
          <w:rFonts w:ascii="Verdana" w:hAnsi="Verdana"/>
          <w:b/>
          <w:bCs/>
          <w:sz w:val="22"/>
          <w:szCs w:val="22"/>
        </w:rPr>
        <w:t>PARÁGRAFO.</w:t>
      </w:r>
      <w:r w:rsidRPr="008E3F1A">
        <w:rPr>
          <w:rFonts w:ascii="Verdana" w:hAnsi="Verdana"/>
          <w:sz w:val="22"/>
          <w:szCs w:val="22"/>
        </w:rPr>
        <w:t xml:space="preserve"> Podrán asistir a las reuniones del Comité, como invitados, otros servidores públicos de las dependencias del ICBF, entidades públicas o privadas cuya presencia se considere conveniente para el análisis de los temas en el Comité, según lo disponga el </w:t>
      </w:r>
      <w:proofErr w:type="gramStart"/>
      <w:r w:rsidRPr="008E3F1A">
        <w:rPr>
          <w:rFonts w:ascii="Verdana" w:hAnsi="Verdana"/>
          <w:sz w:val="22"/>
          <w:szCs w:val="22"/>
        </w:rPr>
        <w:t>Subdirector</w:t>
      </w:r>
      <w:proofErr w:type="gramEnd"/>
      <w:r w:rsidRPr="008E3F1A">
        <w:rPr>
          <w:rFonts w:ascii="Verdana" w:hAnsi="Verdana"/>
          <w:sz w:val="22"/>
          <w:szCs w:val="22"/>
        </w:rPr>
        <w:t xml:space="preserve"> General del ICBF.</w:t>
      </w:r>
    </w:p>
    <w:p w14:paraId="11786C97" w14:textId="60F91D40" w:rsidR="008E3F1A" w:rsidRPr="008E3F1A" w:rsidRDefault="008E3F1A" w:rsidP="008E3F1A">
      <w:pPr>
        <w:pStyle w:val="Sinespaciado"/>
        <w:jc w:val="both"/>
        <w:rPr>
          <w:rFonts w:ascii="Verdana" w:hAnsi="Verdana"/>
          <w:sz w:val="22"/>
          <w:szCs w:val="22"/>
        </w:rPr>
      </w:pPr>
    </w:p>
    <w:p w14:paraId="53EA9906" w14:textId="77777777" w:rsidR="008E3F1A" w:rsidRPr="008E3F1A" w:rsidRDefault="008E3F1A" w:rsidP="008E3F1A">
      <w:pPr>
        <w:pStyle w:val="Sinespaciado"/>
        <w:jc w:val="both"/>
        <w:rPr>
          <w:rFonts w:ascii="Verdana" w:hAnsi="Verdana"/>
          <w:sz w:val="22"/>
          <w:szCs w:val="22"/>
        </w:rPr>
      </w:pPr>
      <w:bookmarkStart w:id="3" w:name="3"/>
      <w:r w:rsidRPr="008E3F1A">
        <w:rPr>
          <w:rFonts w:ascii="Verdana" w:hAnsi="Verdana"/>
          <w:b/>
          <w:bCs/>
          <w:sz w:val="22"/>
          <w:szCs w:val="22"/>
        </w:rPr>
        <w:lastRenderedPageBreak/>
        <w:t>ARTÍCULO 3o. FUNCIONES DEL COMITÉ NACIONAL PAE.</w:t>
      </w:r>
      <w:bookmarkEnd w:id="3"/>
      <w:r w:rsidRPr="008E3F1A">
        <w:rPr>
          <w:rFonts w:ascii="Verdana" w:hAnsi="Verdana"/>
          <w:sz w:val="22"/>
          <w:szCs w:val="22"/>
        </w:rPr>
        <w:t> Son funciones del Comité las siguientes:</w:t>
      </w:r>
    </w:p>
    <w:p w14:paraId="69FD5B0C"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1. Planificar las acciones que garanticen la idónea ejecución del Programa PAE, en todo el territorio nacional.</w:t>
      </w:r>
    </w:p>
    <w:p w14:paraId="379AD80A"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2. Proponer las estrategias para la selección de los operadores del PAE, con su respectiva justificación.</w:t>
      </w:r>
    </w:p>
    <w:p w14:paraId="4A5EDB10"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3. Analizar las situaciones presentadas en los procesos de selección de operadores, contratación y operación del PAE a nivel nacional y regional, a partir de las diversas fuentes de información, tanto internas como externas.</w:t>
      </w:r>
    </w:p>
    <w:p w14:paraId="3406D014"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4. Proponer alternativas de solución a situaciones críticas de operación del PAE que permitan actuar oportunamente y garantizar el mejoramiento continuo del Programa en los ámbitos técnico, administrativo, financiero y jurídico.</w:t>
      </w:r>
    </w:p>
    <w:p w14:paraId="04694BE3"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5. Las demás que le sean asignadas por la Dirección General.</w:t>
      </w:r>
    </w:p>
    <w:p w14:paraId="5690F4EB" w14:textId="09EBA21F" w:rsidR="008E3F1A" w:rsidRPr="008E3F1A" w:rsidRDefault="008E3F1A" w:rsidP="008E3F1A">
      <w:pPr>
        <w:pStyle w:val="Sinespaciado"/>
        <w:jc w:val="both"/>
        <w:rPr>
          <w:rFonts w:ascii="Verdana" w:hAnsi="Verdana"/>
          <w:sz w:val="22"/>
          <w:szCs w:val="22"/>
        </w:rPr>
      </w:pPr>
    </w:p>
    <w:p w14:paraId="1210B0B8" w14:textId="77777777" w:rsidR="008E3F1A" w:rsidRPr="008E3F1A" w:rsidRDefault="008E3F1A" w:rsidP="008E3F1A">
      <w:pPr>
        <w:pStyle w:val="Sinespaciado"/>
        <w:jc w:val="both"/>
        <w:rPr>
          <w:rFonts w:ascii="Verdana" w:hAnsi="Verdana"/>
          <w:sz w:val="22"/>
          <w:szCs w:val="22"/>
        </w:rPr>
      </w:pPr>
      <w:bookmarkStart w:id="4" w:name="4"/>
      <w:r w:rsidRPr="008E3F1A">
        <w:rPr>
          <w:rFonts w:ascii="Verdana" w:hAnsi="Verdana"/>
          <w:b/>
          <w:bCs/>
          <w:sz w:val="22"/>
          <w:szCs w:val="22"/>
        </w:rPr>
        <w:t>ARTÍCULO 4o. REUNIONES.</w:t>
      </w:r>
      <w:bookmarkEnd w:id="4"/>
      <w:r w:rsidRPr="008E3F1A">
        <w:rPr>
          <w:rFonts w:ascii="Verdana" w:hAnsi="Verdana"/>
          <w:sz w:val="22"/>
          <w:szCs w:val="22"/>
        </w:rPr>
        <w:t> El Comité se reunirá ordinariamente por lo menos una vez al mes dentro de los diez (10) primeros días calendario, previa convocación de la Secretaría Técnica, y extraordinariamente cuando se requiera.</w:t>
      </w:r>
    </w:p>
    <w:p w14:paraId="2558320D" w14:textId="77CA585A" w:rsidR="008E3F1A" w:rsidRPr="008E3F1A" w:rsidRDefault="008E3F1A" w:rsidP="008E3F1A">
      <w:pPr>
        <w:pStyle w:val="Sinespaciado"/>
        <w:jc w:val="both"/>
        <w:rPr>
          <w:rFonts w:ascii="Verdana" w:hAnsi="Verdana"/>
          <w:sz w:val="22"/>
          <w:szCs w:val="22"/>
        </w:rPr>
      </w:pPr>
    </w:p>
    <w:p w14:paraId="4384E0D5" w14:textId="77777777" w:rsidR="008E3F1A" w:rsidRPr="008E3F1A" w:rsidRDefault="008E3F1A" w:rsidP="008E3F1A">
      <w:pPr>
        <w:pStyle w:val="Sinespaciado"/>
        <w:jc w:val="both"/>
        <w:rPr>
          <w:rFonts w:ascii="Verdana" w:hAnsi="Verdana"/>
          <w:sz w:val="22"/>
          <w:szCs w:val="22"/>
        </w:rPr>
      </w:pPr>
      <w:bookmarkStart w:id="5" w:name="5"/>
      <w:r w:rsidRPr="008E3F1A">
        <w:rPr>
          <w:rFonts w:ascii="Verdana" w:hAnsi="Verdana"/>
          <w:b/>
          <w:bCs/>
          <w:sz w:val="22"/>
          <w:szCs w:val="22"/>
        </w:rPr>
        <w:t>ARTÍCULO 5o. QUÓRUM DELIBERATORIO Y DECISORIO.</w:t>
      </w:r>
      <w:bookmarkEnd w:id="5"/>
      <w:r w:rsidRPr="008E3F1A">
        <w:rPr>
          <w:rFonts w:ascii="Verdana" w:hAnsi="Verdana"/>
          <w:sz w:val="22"/>
          <w:szCs w:val="22"/>
        </w:rPr>
        <w:t xml:space="preserve"> Se constituirá quórum </w:t>
      </w:r>
      <w:proofErr w:type="spellStart"/>
      <w:r w:rsidRPr="008E3F1A">
        <w:rPr>
          <w:rFonts w:ascii="Verdana" w:hAnsi="Verdana"/>
          <w:sz w:val="22"/>
          <w:szCs w:val="22"/>
        </w:rPr>
        <w:t>deliberatorio</w:t>
      </w:r>
      <w:proofErr w:type="spellEnd"/>
      <w:r w:rsidRPr="008E3F1A">
        <w:rPr>
          <w:rFonts w:ascii="Verdana" w:hAnsi="Verdana"/>
          <w:sz w:val="22"/>
          <w:szCs w:val="22"/>
        </w:rPr>
        <w:t xml:space="preserve"> con la participación de la mitad más uno de sus integrantes, y las decisiones se adoptarán por mayoría simple.</w:t>
      </w:r>
    </w:p>
    <w:p w14:paraId="5BB2297D" w14:textId="77777777" w:rsidR="008E3F1A" w:rsidRPr="008E3F1A" w:rsidRDefault="008E3F1A" w:rsidP="008E3F1A">
      <w:pPr>
        <w:pStyle w:val="Sinespaciado"/>
        <w:jc w:val="both"/>
        <w:rPr>
          <w:rFonts w:ascii="Verdana" w:hAnsi="Verdana"/>
          <w:sz w:val="22"/>
          <w:szCs w:val="22"/>
        </w:rPr>
      </w:pPr>
      <w:r w:rsidRPr="008E3F1A">
        <w:rPr>
          <w:rFonts w:ascii="Verdana" w:hAnsi="Verdana"/>
          <w:b/>
          <w:bCs/>
          <w:sz w:val="22"/>
          <w:szCs w:val="22"/>
        </w:rPr>
        <w:t>PARÁGRAFO.</w:t>
      </w:r>
      <w:r w:rsidRPr="008E3F1A">
        <w:rPr>
          <w:rFonts w:ascii="Verdana" w:hAnsi="Verdana"/>
          <w:sz w:val="22"/>
          <w:szCs w:val="22"/>
        </w:rPr>
        <w:t xml:space="preserve"> Las decisiones y recomendaciones que surjan de cada sesión del Comité se adoptarán y serán suscritas por todos los miembros </w:t>
      </w:r>
      <w:proofErr w:type="gramStart"/>
      <w:r w:rsidRPr="008E3F1A">
        <w:rPr>
          <w:rFonts w:ascii="Verdana" w:hAnsi="Verdana"/>
          <w:sz w:val="22"/>
          <w:szCs w:val="22"/>
        </w:rPr>
        <w:t>del mismo</w:t>
      </w:r>
      <w:proofErr w:type="gramEnd"/>
      <w:r w:rsidRPr="008E3F1A">
        <w:rPr>
          <w:rFonts w:ascii="Verdana" w:hAnsi="Verdana"/>
          <w:sz w:val="22"/>
          <w:szCs w:val="22"/>
        </w:rPr>
        <w:t>.</w:t>
      </w:r>
    </w:p>
    <w:p w14:paraId="5CEE7FA4" w14:textId="28AC71E7" w:rsidR="008E3F1A" w:rsidRPr="008E3F1A" w:rsidRDefault="008E3F1A" w:rsidP="008E3F1A">
      <w:pPr>
        <w:pStyle w:val="Sinespaciado"/>
        <w:jc w:val="both"/>
        <w:rPr>
          <w:rFonts w:ascii="Verdana" w:hAnsi="Verdana"/>
          <w:sz w:val="22"/>
          <w:szCs w:val="22"/>
        </w:rPr>
      </w:pPr>
    </w:p>
    <w:p w14:paraId="44A3B19C" w14:textId="77777777" w:rsidR="008E3F1A" w:rsidRPr="008E3F1A" w:rsidRDefault="008E3F1A" w:rsidP="008E3F1A">
      <w:pPr>
        <w:pStyle w:val="Sinespaciado"/>
        <w:jc w:val="both"/>
        <w:rPr>
          <w:rFonts w:ascii="Verdana" w:hAnsi="Verdana"/>
          <w:sz w:val="22"/>
          <w:szCs w:val="22"/>
        </w:rPr>
      </w:pPr>
      <w:bookmarkStart w:id="6" w:name="6"/>
      <w:r w:rsidRPr="008E3F1A">
        <w:rPr>
          <w:rFonts w:ascii="Verdana" w:hAnsi="Verdana"/>
          <w:b/>
          <w:bCs/>
          <w:sz w:val="22"/>
          <w:szCs w:val="22"/>
        </w:rPr>
        <w:t>ARTÍCULO 6o. SECRETARÍA TÉCNICA.</w:t>
      </w:r>
      <w:bookmarkEnd w:id="6"/>
      <w:r w:rsidRPr="008E3F1A">
        <w:rPr>
          <w:rFonts w:ascii="Verdana" w:hAnsi="Verdana"/>
          <w:sz w:val="22"/>
          <w:szCs w:val="22"/>
        </w:rPr>
        <w:t xml:space="preserve"> El Comité Nacional PAE tendrá una Secretaría Técnica que será ejercida por el </w:t>
      </w:r>
      <w:proofErr w:type="gramStart"/>
      <w:r w:rsidRPr="008E3F1A">
        <w:rPr>
          <w:rFonts w:ascii="Verdana" w:hAnsi="Verdana"/>
          <w:sz w:val="22"/>
          <w:szCs w:val="22"/>
        </w:rPr>
        <w:t>Subdirector</w:t>
      </w:r>
      <w:proofErr w:type="gramEnd"/>
      <w:r w:rsidRPr="008E3F1A">
        <w:rPr>
          <w:rFonts w:ascii="Verdana" w:hAnsi="Verdana"/>
          <w:sz w:val="22"/>
          <w:szCs w:val="22"/>
        </w:rPr>
        <w:t xml:space="preserve"> de Operación de la Atención a la Niñez y a la Adolescencia y tendrá las siguientes funciones:</w:t>
      </w:r>
    </w:p>
    <w:p w14:paraId="56E19140"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1. Convocar a los integrantes e invitados a las sesiones de trabajo del Comité PAE, mediante comunicación escrita, por lo menos con cuatro (4) días calendario de anticipación a la fecha programada y remitir la agenda.</w:t>
      </w:r>
    </w:p>
    <w:p w14:paraId="268E2D74"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2. Recibir solicitudes y temas a tratar para elaboración de la agenda en cada sesión del Comité.</w:t>
      </w:r>
    </w:p>
    <w:p w14:paraId="37726F84"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3. Elaborar las actas en cada una de las sesiones del Comité.</w:t>
      </w:r>
    </w:p>
    <w:p w14:paraId="3C2CF385"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4. Hacer seguimiento al cumplimiento de los acuerdos definidos en el Comité.</w:t>
      </w:r>
    </w:p>
    <w:p w14:paraId="2387039E"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5. Organizar y custodiar la información resultado del Comité.</w:t>
      </w:r>
    </w:p>
    <w:p w14:paraId="0DA2971F" w14:textId="77777777" w:rsidR="008E3F1A" w:rsidRPr="008E3F1A" w:rsidRDefault="008E3F1A" w:rsidP="008E3F1A">
      <w:pPr>
        <w:pStyle w:val="Sinespaciado"/>
        <w:jc w:val="both"/>
        <w:rPr>
          <w:rFonts w:ascii="Verdana" w:hAnsi="Verdana"/>
          <w:sz w:val="22"/>
          <w:szCs w:val="22"/>
        </w:rPr>
      </w:pPr>
      <w:r w:rsidRPr="008E3F1A">
        <w:rPr>
          <w:rFonts w:ascii="Verdana" w:hAnsi="Verdana"/>
          <w:sz w:val="22"/>
          <w:szCs w:val="22"/>
        </w:rPr>
        <w:t>6. Comunicar los acuerdos y propuestas derivados del Comité a las diferentes instancias conforme a las competencias.</w:t>
      </w:r>
    </w:p>
    <w:p w14:paraId="318C481F" w14:textId="7A9A7279" w:rsidR="008E3F1A" w:rsidRPr="008E3F1A" w:rsidRDefault="008E3F1A" w:rsidP="008E3F1A">
      <w:pPr>
        <w:pStyle w:val="Sinespaciado"/>
        <w:jc w:val="both"/>
        <w:rPr>
          <w:rFonts w:ascii="Verdana" w:hAnsi="Verdana"/>
          <w:sz w:val="22"/>
          <w:szCs w:val="22"/>
        </w:rPr>
      </w:pPr>
    </w:p>
    <w:p w14:paraId="6DB78827" w14:textId="77777777" w:rsidR="008E3F1A" w:rsidRPr="008E3F1A" w:rsidRDefault="008E3F1A" w:rsidP="008E3F1A">
      <w:pPr>
        <w:pStyle w:val="Sinespaciado"/>
        <w:jc w:val="both"/>
        <w:rPr>
          <w:rFonts w:ascii="Verdana" w:hAnsi="Verdana"/>
          <w:sz w:val="22"/>
          <w:szCs w:val="22"/>
        </w:rPr>
      </w:pPr>
      <w:bookmarkStart w:id="7" w:name="7"/>
      <w:r w:rsidRPr="008E3F1A">
        <w:rPr>
          <w:rFonts w:ascii="Verdana" w:hAnsi="Verdana"/>
          <w:b/>
          <w:bCs/>
          <w:sz w:val="22"/>
          <w:szCs w:val="22"/>
        </w:rPr>
        <w:t>ARTÍCULO 7o. INFORMES Y ACTAS.</w:t>
      </w:r>
      <w:bookmarkEnd w:id="7"/>
      <w:r w:rsidRPr="008E3F1A">
        <w:rPr>
          <w:rFonts w:ascii="Verdana" w:hAnsi="Verdana"/>
          <w:sz w:val="22"/>
          <w:szCs w:val="22"/>
        </w:rPr>
        <w:t xml:space="preserve"> El Comité deberá levantar actas de sus sesiones en los formatos establecidos para tal fin, las cuales deben ser llevadas </w:t>
      </w:r>
      <w:proofErr w:type="gramStart"/>
      <w:r w:rsidRPr="008E3F1A">
        <w:rPr>
          <w:rFonts w:ascii="Verdana" w:hAnsi="Verdana"/>
          <w:sz w:val="22"/>
          <w:szCs w:val="22"/>
        </w:rPr>
        <w:t>de acuerdo a</w:t>
      </w:r>
      <w:proofErr w:type="gramEnd"/>
      <w:r w:rsidRPr="008E3F1A">
        <w:rPr>
          <w:rFonts w:ascii="Verdana" w:hAnsi="Verdana"/>
          <w:sz w:val="22"/>
          <w:szCs w:val="22"/>
        </w:rPr>
        <w:t xml:space="preserve"> las tablas de retención documental.</w:t>
      </w:r>
    </w:p>
    <w:p w14:paraId="34EF3788" w14:textId="122677B5" w:rsidR="008E3F1A" w:rsidRPr="008E3F1A" w:rsidRDefault="008E3F1A" w:rsidP="008E3F1A">
      <w:pPr>
        <w:pStyle w:val="Sinespaciado"/>
        <w:jc w:val="both"/>
        <w:rPr>
          <w:rFonts w:ascii="Verdana" w:hAnsi="Verdana"/>
          <w:sz w:val="22"/>
          <w:szCs w:val="22"/>
        </w:rPr>
      </w:pPr>
    </w:p>
    <w:p w14:paraId="58321D85" w14:textId="77777777" w:rsidR="008E3F1A" w:rsidRPr="008E3F1A" w:rsidRDefault="008E3F1A" w:rsidP="008E3F1A">
      <w:pPr>
        <w:pStyle w:val="Sinespaciado"/>
        <w:jc w:val="both"/>
        <w:rPr>
          <w:rFonts w:ascii="Verdana" w:hAnsi="Verdana"/>
          <w:sz w:val="22"/>
          <w:szCs w:val="22"/>
        </w:rPr>
      </w:pPr>
      <w:bookmarkStart w:id="8" w:name="8"/>
      <w:r w:rsidRPr="008E3F1A">
        <w:rPr>
          <w:rFonts w:ascii="Verdana" w:hAnsi="Verdana"/>
          <w:b/>
          <w:bCs/>
          <w:sz w:val="22"/>
          <w:szCs w:val="22"/>
        </w:rPr>
        <w:t>ARTÍCULO 8o. VIGENCIA.</w:t>
      </w:r>
      <w:bookmarkEnd w:id="8"/>
      <w:r w:rsidRPr="008E3F1A">
        <w:rPr>
          <w:rFonts w:ascii="Verdana" w:hAnsi="Verdana"/>
          <w:sz w:val="22"/>
          <w:szCs w:val="22"/>
        </w:rPr>
        <w:t> La presente resolución rige a partir de la fecha de su publicación.</w:t>
      </w:r>
    </w:p>
    <w:p w14:paraId="15A34B3D" w14:textId="77777777" w:rsidR="008E3F1A" w:rsidRDefault="008E3F1A" w:rsidP="008E3F1A">
      <w:pPr>
        <w:pStyle w:val="Sinespaciado"/>
        <w:jc w:val="center"/>
        <w:rPr>
          <w:rFonts w:ascii="Verdana" w:hAnsi="Verdana"/>
          <w:sz w:val="22"/>
          <w:szCs w:val="22"/>
        </w:rPr>
      </w:pPr>
      <w:r w:rsidRPr="008E3F1A">
        <w:rPr>
          <w:rFonts w:ascii="Verdana" w:hAnsi="Verdana"/>
          <w:sz w:val="22"/>
          <w:szCs w:val="22"/>
        </w:rPr>
        <w:t>Publíquese, comuníquese y cúmplase.</w:t>
      </w:r>
    </w:p>
    <w:p w14:paraId="4DDF5A20" w14:textId="77777777" w:rsidR="008E3F1A" w:rsidRPr="008E3F1A" w:rsidRDefault="008E3F1A" w:rsidP="008E3F1A">
      <w:pPr>
        <w:pStyle w:val="Sinespaciado"/>
        <w:jc w:val="center"/>
        <w:rPr>
          <w:rFonts w:ascii="Verdana" w:hAnsi="Verdana"/>
          <w:sz w:val="22"/>
          <w:szCs w:val="22"/>
        </w:rPr>
      </w:pPr>
    </w:p>
    <w:p w14:paraId="348A276C" w14:textId="77777777" w:rsidR="008E3F1A" w:rsidRDefault="008E3F1A" w:rsidP="008E3F1A">
      <w:pPr>
        <w:pStyle w:val="Sinespaciado"/>
        <w:jc w:val="center"/>
        <w:rPr>
          <w:rFonts w:ascii="Verdana" w:hAnsi="Verdana"/>
          <w:sz w:val="22"/>
          <w:szCs w:val="22"/>
        </w:rPr>
      </w:pPr>
      <w:r w:rsidRPr="008E3F1A">
        <w:rPr>
          <w:rFonts w:ascii="Verdana" w:hAnsi="Verdana"/>
          <w:sz w:val="22"/>
          <w:szCs w:val="22"/>
        </w:rPr>
        <w:t>Dada en Bogotá, D. C., a 21 de septiembre de 2012.</w:t>
      </w:r>
    </w:p>
    <w:p w14:paraId="404DD0F6" w14:textId="77777777" w:rsidR="008E3F1A" w:rsidRPr="008E3F1A" w:rsidRDefault="008E3F1A" w:rsidP="008E3F1A">
      <w:pPr>
        <w:pStyle w:val="Sinespaciado"/>
        <w:jc w:val="center"/>
        <w:rPr>
          <w:rFonts w:ascii="Verdana" w:hAnsi="Verdana"/>
          <w:sz w:val="22"/>
          <w:szCs w:val="22"/>
        </w:rPr>
      </w:pPr>
    </w:p>
    <w:p w14:paraId="33171FEB" w14:textId="77777777" w:rsidR="008E3F1A" w:rsidRDefault="008E3F1A" w:rsidP="008E3F1A">
      <w:pPr>
        <w:pStyle w:val="Sinespaciado"/>
        <w:jc w:val="center"/>
        <w:rPr>
          <w:rFonts w:ascii="Verdana" w:hAnsi="Verdana"/>
          <w:sz w:val="22"/>
          <w:szCs w:val="22"/>
        </w:rPr>
      </w:pPr>
      <w:r w:rsidRPr="008E3F1A">
        <w:rPr>
          <w:rFonts w:ascii="Verdana" w:hAnsi="Verdana"/>
          <w:sz w:val="22"/>
          <w:szCs w:val="22"/>
        </w:rPr>
        <w:lastRenderedPageBreak/>
        <w:t xml:space="preserve">El </w:t>
      </w:r>
      <w:proofErr w:type="gramStart"/>
      <w:r w:rsidRPr="008E3F1A">
        <w:rPr>
          <w:rFonts w:ascii="Verdana" w:hAnsi="Verdana"/>
          <w:sz w:val="22"/>
          <w:szCs w:val="22"/>
        </w:rPr>
        <w:t>Director General</w:t>
      </w:r>
      <w:proofErr w:type="gramEnd"/>
      <w:r w:rsidRPr="008E3F1A">
        <w:rPr>
          <w:rFonts w:ascii="Verdana" w:hAnsi="Verdana"/>
          <w:sz w:val="22"/>
          <w:szCs w:val="22"/>
        </w:rPr>
        <w:t>,</w:t>
      </w:r>
    </w:p>
    <w:p w14:paraId="7C7AF37C" w14:textId="77777777" w:rsidR="008E3F1A" w:rsidRPr="008E3F1A" w:rsidRDefault="008E3F1A" w:rsidP="008E3F1A">
      <w:pPr>
        <w:pStyle w:val="Sinespaciado"/>
        <w:jc w:val="center"/>
        <w:rPr>
          <w:rFonts w:ascii="Verdana" w:hAnsi="Verdana"/>
          <w:sz w:val="22"/>
          <w:szCs w:val="22"/>
        </w:rPr>
      </w:pPr>
    </w:p>
    <w:p w14:paraId="1930515E" w14:textId="77777777" w:rsidR="008E3F1A" w:rsidRPr="008E3F1A" w:rsidRDefault="008E3F1A" w:rsidP="008E3F1A">
      <w:pPr>
        <w:pStyle w:val="Sinespaciado"/>
        <w:jc w:val="center"/>
        <w:rPr>
          <w:rFonts w:ascii="Verdana" w:hAnsi="Verdana"/>
          <w:sz w:val="22"/>
          <w:szCs w:val="22"/>
        </w:rPr>
      </w:pPr>
      <w:r w:rsidRPr="008E3F1A">
        <w:rPr>
          <w:rFonts w:ascii="Verdana" w:hAnsi="Verdana"/>
          <w:b/>
          <w:bCs/>
          <w:sz w:val="22"/>
          <w:szCs w:val="22"/>
        </w:rPr>
        <w:t>DIEGO ANDRÉS MOLANO APONTE.</w:t>
      </w:r>
    </w:p>
    <w:bookmarkEnd w:id="0"/>
    <w:p w14:paraId="71307499" w14:textId="77777777" w:rsidR="008E3F1A" w:rsidRPr="008E3F1A" w:rsidRDefault="008E3F1A" w:rsidP="008E3F1A">
      <w:pPr>
        <w:pStyle w:val="Sinespaciado"/>
        <w:jc w:val="both"/>
        <w:rPr>
          <w:rFonts w:ascii="Verdana" w:hAnsi="Verdana"/>
          <w:sz w:val="22"/>
          <w:szCs w:val="22"/>
        </w:rPr>
      </w:pPr>
    </w:p>
    <w:sectPr w:rsidR="008E3F1A" w:rsidRPr="008E3F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7E"/>
    <w:rsid w:val="00072B41"/>
    <w:rsid w:val="00202C26"/>
    <w:rsid w:val="007C60AF"/>
    <w:rsid w:val="008E3F1A"/>
    <w:rsid w:val="00C9409A"/>
    <w:rsid w:val="00E6257E"/>
    <w:rsid w:val="00F152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98FC"/>
  <w15:chartTrackingRefBased/>
  <w15:docId w15:val="{6F6B18EC-0033-4C35-B86E-023F1E5F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2C2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02C26"/>
    <w:rPr>
      <w:color w:val="0563C1" w:themeColor="hyperlink"/>
      <w:u w:val="single"/>
    </w:rPr>
  </w:style>
  <w:style w:type="character" w:styleId="Mencinsinresolver">
    <w:name w:val="Unresolved Mention"/>
    <w:basedOn w:val="Fuentedeprrafopredeter"/>
    <w:uiPriority w:val="99"/>
    <w:semiHidden/>
    <w:unhideWhenUsed/>
    <w:rsid w:val="0020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753">
      <w:bodyDiv w:val="1"/>
      <w:marLeft w:val="0"/>
      <w:marRight w:val="0"/>
      <w:marTop w:val="0"/>
      <w:marBottom w:val="0"/>
      <w:divBdr>
        <w:top w:val="none" w:sz="0" w:space="0" w:color="auto"/>
        <w:left w:val="none" w:sz="0" w:space="0" w:color="auto"/>
        <w:bottom w:val="none" w:sz="0" w:space="0" w:color="auto"/>
        <w:right w:val="none" w:sz="0" w:space="0" w:color="auto"/>
      </w:divBdr>
    </w:div>
    <w:div w:id="1008484695">
      <w:bodyDiv w:val="1"/>
      <w:marLeft w:val="0"/>
      <w:marRight w:val="0"/>
      <w:marTop w:val="0"/>
      <w:marBottom w:val="0"/>
      <w:divBdr>
        <w:top w:val="none" w:sz="0" w:space="0" w:color="auto"/>
        <w:left w:val="none" w:sz="0" w:space="0" w:color="auto"/>
        <w:bottom w:val="none" w:sz="0" w:space="0" w:color="auto"/>
        <w:right w:val="none" w:sz="0" w:space="0" w:color="auto"/>
      </w:divBdr>
    </w:div>
    <w:div w:id="1225138181">
      <w:bodyDiv w:val="1"/>
      <w:marLeft w:val="0"/>
      <w:marRight w:val="0"/>
      <w:marTop w:val="0"/>
      <w:marBottom w:val="0"/>
      <w:divBdr>
        <w:top w:val="none" w:sz="0" w:space="0" w:color="auto"/>
        <w:left w:val="none" w:sz="0" w:space="0" w:color="auto"/>
        <w:bottom w:val="none" w:sz="0" w:space="0" w:color="auto"/>
        <w:right w:val="none" w:sz="0" w:space="0" w:color="auto"/>
      </w:divBdr>
    </w:div>
    <w:div w:id="1512913108">
      <w:bodyDiv w:val="1"/>
      <w:marLeft w:val="0"/>
      <w:marRight w:val="0"/>
      <w:marTop w:val="0"/>
      <w:marBottom w:val="0"/>
      <w:divBdr>
        <w:top w:val="none" w:sz="0" w:space="0" w:color="auto"/>
        <w:left w:val="none" w:sz="0" w:space="0" w:color="auto"/>
        <w:bottom w:val="none" w:sz="0" w:space="0" w:color="auto"/>
        <w:right w:val="none" w:sz="0" w:space="0" w:color="auto"/>
      </w:divBdr>
    </w:div>
    <w:div w:id="1525897077">
      <w:bodyDiv w:val="1"/>
      <w:marLeft w:val="0"/>
      <w:marRight w:val="0"/>
      <w:marTop w:val="0"/>
      <w:marBottom w:val="0"/>
      <w:divBdr>
        <w:top w:val="none" w:sz="0" w:space="0" w:color="auto"/>
        <w:left w:val="none" w:sz="0" w:space="0" w:color="auto"/>
        <w:bottom w:val="none" w:sz="0" w:space="0" w:color="auto"/>
        <w:right w:val="none" w:sz="0" w:space="0" w:color="auto"/>
      </w:divBdr>
    </w:div>
    <w:div w:id="16966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42E1E-C566-4E54-BA12-6C6FDD3CA308}"/>
</file>

<file path=customXml/itemProps2.xml><?xml version="1.0" encoding="utf-8"?>
<ds:datastoreItem xmlns:ds="http://schemas.openxmlformats.org/officeDocument/2006/customXml" ds:itemID="{7FBD65F4-834D-45EC-B452-B5246F1D2D79}"/>
</file>

<file path=customXml/itemProps3.xml><?xml version="1.0" encoding="utf-8"?>
<ds:datastoreItem xmlns:ds="http://schemas.openxmlformats.org/officeDocument/2006/customXml" ds:itemID="{AA01E909-5AF9-4AC3-B880-38E10FC2E587}"/>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6141</Characters>
  <Application>Microsoft Office Word</Application>
  <DocSecurity>0</DocSecurity>
  <Lines>122</Lines>
  <Paragraphs>66</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2026-03-02T19:57:00Z</dcterms:created>
  <dcterms:modified xsi:type="dcterms:W3CDTF">2026-03-02T19:57:00Z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