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668B6" w14:textId="77E5961F" w:rsidR="008D580C" w:rsidRPr="008D580C" w:rsidRDefault="008D580C" w:rsidP="008D580C">
      <w:pPr>
        <w:tabs>
          <w:tab w:val="left" w:pos="1680"/>
        </w:tabs>
        <w:jc w:val="center"/>
        <w:rPr>
          <w:rFonts w:ascii="Verdana" w:hAnsi="Verdana"/>
          <w:sz w:val="22"/>
          <w:szCs w:val="22"/>
        </w:rPr>
      </w:pPr>
      <w:r w:rsidRPr="00DD32DB">
        <w:rPr>
          <w:rFonts w:ascii="Verdana" w:hAnsi="Verdana"/>
          <w:b/>
          <w:bCs/>
          <w:sz w:val="22"/>
          <w:szCs w:val="22"/>
        </w:rPr>
        <w:t>RESOLUCIÓN 6262 DE 2012</w:t>
      </w:r>
    </w:p>
    <w:p w14:paraId="6B6B8B32" w14:textId="77777777" w:rsidR="00396944" w:rsidRPr="00396944" w:rsidRDefault="00396944" w:rsidP="00396944">
      <w:pPr>
        <w:pStyle w:val="Sinespaciado"/>
        <w:rPr>
          <w:rFonts w:ascii="Verdana" w:hAnsi="Verdana"/>
          <w:sz w:val="20"/>
          <w:szCs w:val="20"/>
        </w:rPr>
      </w:pPr>
      <w:r w:rsidRPr="00396944">
        <w:rPr>
          <w:rFonts w:ascii="Verdana" w:hAnsi="Verdana"/>
          <w:sz w:val="20"/>
          <w:szCs w:val="20"/>
        </w:rPr>
        <w:t>Fecha de Expedición: 6 de septiembre de 2012</w:t>
      </w:r>
    </w:p>
    <w:p w14:paraId="17C7F19B" w14:textId="77777777" w:rsidR="00396944" w:rsidRPr="00396944" w:rsidRDefault="00396944" w:rsidP="00396944">
      <w:pPr>
        <w:pStyle w:val="Sinespaciado"/>
        <w:rPr>
          <w:rFonts w:ascii="Verdana" w:hAnsi="Verdana"/>
          <w:sz w:val="20"/>
          <w:szCs w:val="20"/>
        </w:rPr>
      </w:pPr>
      <w:r w:rsidRPr="00396944">
        <w:rPr>
          <w:rFonts w:ascii="Verdana" w:hAnsi="Verdana"/>
          <w:sz w:val="20"/>
          <w:szCs w:val="20"/>
        </w:rPr>
        <w:t xml:space="preserve">Fecha de </w:t>
      </w:r>
      <w:proofErr w:type="gramStart"/>
      <w:r w:rsidRPr="00396944">
        <w:rPr>
          <w:rFonts w:ascii="Verdana" w:hAnsi="Verdana"/>
          <w:sz w:val="20"/>
          <w:szCs w:val="20"/>
        </w:rPr>
        <w:t>entrada en vigencia</w:t>
      </w:r>
      <w:proofErr w:type="gramEnd"/>
      <w:r w:rsidRPr="00396944">
        <w:rPr>
          <w:rFonts w:ascii="Verdana" w:hAnsi="Verdana"/>
          <w:sz w:val="20"/>
          <w:szCs w:val="20"/>
        </w:rPr>
        <w:t>: 21 de septiembre de 2012</w:t>
      </w:r>
    </w:p>
    <w:p w14:paraId="6C8C8546" w14:textId="77777777" w:rsidR="00396944" w:rsidRPr="00396944" w:rsidRDefault="00396944" w:rsidP="00396944">
      <w:pPr>
        <w:pStyle w:val="Sinespaciado"/>
        <w:rPr>
          <w:rFonts w:ascii="Verdana" w:hAnsi="Verdana"/>
          <w:sz w:val="20"/>
          <w:szCs w:val="20"/>
        </w:rPr>
      </w:pPr>
      <w:r w:rsidRPr="00396944">
        <w:rPr>
          <w:rFonts w:ascii="Verdana" w:hAnsi="Verdana"/>
          <w:sz w:val="20"/>
          <w:szCs w:val="20"/>
        </w:rPr>
        <w:t>Estado de la vigencia: derogada por el artículo 6 de la Resolución 7794 de 2014</w:t>
      </w:r>
    </w:p>
    <w:p w14:paraId="3C561A3D" w14:textId="77777777" w:rsidR="00396944" w:rsidRDefault="00396944" w:rsidP="00396944">
      <w:pPr>
        <w:pStyle w:val="Sinespaciado"/>
        <w:rPr>
          <w:rFonts w:ascii="Verdana" w:hAnsi="Verdana"/>
          <w:sz w:val="20"/>
          <w:szCs w:val="20"/>
        </w:rPr>
      </w:pPr>
      <w:r w:rsidRPr="00396944">
        <w:rPr>
          <w:rFonts w:ascii="Verdana" w:hAnsi="Verdana"/>
          <w:sz w:val="20"/>
          <w:szCs w:val="20"/>
        </w:rPr>
        <w:t>Notas: Modificada por la Resolución 8075 de 30 de octubre de 2012</w:t>
      </w:r>
      <w:r w:rsidRPr="00396944">
        <w:rPr>
          <w:rFonts w:ascii="Verdana" w:hAnsi="Verdana"/>
          <w:sz w:val="20"/>
          <w:szCs w:val="20"/>
        </w:rPr>
        <w:tab/>
      </w:r>
    </w:p>
    <w:p w14:paraId="09D5C0D8" w14:textId="77777777" w:rsidR="00396944" w:rsidRDefault="00396944" w:rsidP="00396944">
      <w:pPr>
        <w:pStyle w:val="Sinespaciado"/>
        <w:rPr>
          <w:rFonts w:ascii="Verdana" w:hAnsi="Verdana"/>
          <w:sz w:val="20"/>
          <w:szCs w:val="20"/>
        </w:rPr>
      </w:pPr>
    </w:p>
    <w:p w14:paraId="65E1B095" w14:textId="4E395DF1" w:rsidR="00396944" w:rsidRPr="00396944" w:rsidRDefault="00396944" w:rsidP="00396944">
      <w:pPr>
        <w:pStyle w:val="Sinespaciado"/>
        <w:rPr>
          <w:rFonts w:ascii="Verdana" w:hAnsi="Verdana"/>
          <w:sz w:val="20"/>
          <w:szCs w:val="20"/>
        </w:rPr>
      </w:pPr>
      <w:r w:rsidRPr="00396944">
        <w:rPr>
          <w:rFonts w:ascii="Verdana" w:hAnsi="Verdana"/>
          <w:sz w:val="20"/>
          <w:szCs w:val="20"/>
        </w:rPr>
        <w:t>Fecha de publicación en Diario Oficial: 5 de octubre de 20122012</w:t>
      </w:r>
    </w:p>
    <w:p w14:paraId="02707D84" w14:textId="1E404289" w:rsidR="0088588F" w:rsidRDefault="00396944" w:rsidP="00396944">
      <w:pPr>
        <w:pStyle w:val="Sinespaciado"/>
        <w:rPr>
          <w:rFonts w:ascii="Verdana" w:hAnsi="Verdana"/>
          <w:sz w:val="20"/>
          <w:szCs w:val="20"/>
        </w:rPr>
      </w:pPr>
      <w:r w:rsidRPr="00396944">
        <w:rPr>
          <w:rFonts w:ascii="Verdana" w:hAnsi="Verdana"/>
          <w:sz w:val="20"/>
          <w:szCs w:val="20"/>
        </w:rPr>
        <w:t>Número del Diario Oficial: 48.574</w:t>
      </w:r>
    </w:p>
    <w:p w14:paraId="568E073C" w14:textId="77777777" w:rsidR="00396944" w:rsidRPr="00396944" w:rsidRDefault="00396944" w:rsidP="00396944">
      <w:pPr>
        <w:pStyle w:val="Sinespaciado"/>
        <w:rPr>
          <w:rFonts w:ascii="Verdana" w:hAnsi="Verdana"/>
          <w:sz w:val="20"/>
          <w:szCs w:val="20"/>
        </w:rPr>
      </w:pPr>
    </w:p>
    <w:p w14:paraId="3CA6ECD9" w14:textId="77777777" w:rsidR="00DD32DB" w:rsidRPr="00DD32DB" w:rsidRDefault="00DD32DB" w:rsidP="00ED422B">
      <w:pPr>
        <w:tabs>
          <w:tab w:val="left" w:pos="1680"/>
        </w:tabs>
        <w:jc w:val="center"/>
        <w:rPr>
          <w:rFonts w:ascii="Verdana" w:hAnsi="Verdana"/>
          <w:sz w:val="22"/>
          <w:szCs w:val="22"/>
        </w:rPr>
      </w:pPr>
      <w:r w:rsidRPr="00DD32DB">
        <w:rPr>
          <w:rFonts w:ascii="Verdana" w:hAnsi="Verdana"/>
          <w:b/>
          <w:bCs/>
          <w:sz w:val="22"/>
          <w:szCs w:val="22"/>
        </w:rPr>
        <w:t>RESOLUCIÓN 6262 DE 2012</w:t>
      </w:r>
    </w:p>
    <w:p w14:paraId="6AD90E15" w14:textId="560002E5" w:rsidR="00DD32DB" w:rsidRPr="00DD32DB" w:rsidRDefault="00DD32DB" w:rsidP="00ED422B">
      <w:pPr>
        <w:tabs>
          <w:tab w:val="left" w:pos="1680"/>
        </w:tabs>
        <w:jc w:val="center"/>
        <w:rPr>
          <w:rFonts w:ascii="Verdana" w:hAnsi="Verdana"/>
          <w:b/>
          <w:bCs/>
          <w:sz w:val="22"/>
          <w:szCs w:val="22"/>
        </w:rPr>
      </w:pPr>
      <w:r w:rsidRPr="00DD32DB">
        <w:rPr>
          <w:rFonts w:ascii="Verdana" w:hAnsi="Verdana"/>
          <w:b/>
          <w:bCs/>
          <w:sz w:val="22"/>
          <w:szCs w:val="22"/>
        </w:rPr>
        <w:t>(</w:t>
      </w:r>
      <w:r w:rsidR="00ED422B" w:rsidRPr="00ED422B">
        <w:rPr>
          <w:rFonts w:ascii="Verdana" w:hAnsi="Verdana"/>
          <w:b/>
          <w:bCs/>
          <w:sz w:val="22"/>
          <w:szCs w:val="22"/>
        </w:rPr>
        <w:t xml:space="preserve">20 de </w:t>
      </w:r>
      <w:r w:rsidRPr="00DD32DB">
        <w:rPr>
          <w:rFonts w:ascii="Verdana" w:hAnsi="Verdana"/>
          <w:b/>
          <w:bCs/>
          <w:sz w:val="22"/>
          <w:szCs w:val="22"/>
        </w:rPr>
        <w:t>septiembre)</w:t>
      </w:r>
    </w:p>
    <w:p w14:paraId="6719FC70" w14:textId="77777777" w:rsidR="00DD32DB" w:rsidRPr="00DD32DB" w:rsidRDefault="00DD32DB" w:rsidP="00ED422B">
      <w:pPr>
        <w:tabs>
          <w:tab w:val="left" w:pos="1680"/>
        </w:tabs>
        <w:jc w:val="center"/>
        <w:rPr>
          <w:rFonts w:ascii="Verdana" w:hAnsi="Verdana"/>
          <w:sz w:val="22"/>
          <w:szCs w:val="22"/>
        </w:rPr>
      </w:pPr>
      <w:r w:rsidRPr="00DD32DB">
        <w:rPr>
          <w:rFonts w:ascii="Verdana" w:hAnsi="Verdana"/>
          <w:b/>
          <w:bCs/>
          <w:sz w:val="22"/>
          <w:szCs w:val="22"/>
        </w:rPr>
        <w:t>INSTITUTO COLOMBIANO DE BIENESTAR FAMILIAR</w:t>
      </w:r>
    </w:p>
    <w:p w14:paraId="6AF63EA2" w14:textId="77777777" w:rsidR="00DD32DB" w:rsidRPr="00DD32DB" w:rsidRDefault="00DD32DB" w:rsidP="00ED422B">
      <w:pPr>
        <w:tabs>
          <w:tab w:val="left" w:pos="1680"/>
        </w:tabs>
        <w:jc w:val="center"/>
        <w:rPr>
          <w:rFonts w:ascii="Verdana" w:hAnsi="Verdana"/>
          <w:sz w:val="22"/>
          <w:szCs w:val="22"/>
        </w:rPr>
      </w:pPr>
      <w:r w:rsidRPr="00DD32DB">
        <w:rPr>
          <w:rFonts w:ascii="Verdana" w:hAnsi="Verdana"/>
          <w:b/>
          <w:bCs/>
          <w:sz w:val="22"/>
          <w:szCs w:val="22"/>
        </w:rPr>
        <w:t>DIRECCIÓN GENERAL</w:t>
      </w:r>
    </w:p>
    <w:p w14:paraId="0854AE71" w14:textId="2F08F4CA" w:rsidR="00DD32DB" w:rsidRPr="00DD32DB" w:rsidRDefault="00ED422B" w:rsidP="00ED422B">
      <w:pPr>
        <w:tabs>
          <w:tab w:val="left" w:pos="1680"/>
        </w:tabs>
        <w:jc w:val="center"/>
        <w:rPr>
          <w:rFonts w:ascii="Verdana" w:hAnsi="Verdana"/>
          <w:sz w:val="22"/>
          <w:szCs w:val="22"/>
        </w:rPr>
      </w:pPr>
      <w:r>
        <w:rPr>
          <w:rFonts w:ascii="Verdana" w:hAnsi="Verdana"/>
          <w:b/>
          <w:bCs/>
          <w:sz w:val="22"/>
          <w:szCs w:val="22"/>
        </w:rPr>
        <w:t>“</w:t>
      </w:r>
      <w:r w:rsidR="00DD32DB" w:rsidRPr="00DD32DB">
        <w:rPr>
          <w:rFonts w:ascii="Verdana" w:hAnsi="Verdana"/>
          <w:sz w:val="22"/>
          <w:szCs w:val="22"/>
        </w:rPr>
        <w:t>Por la cual se determinan los requisitos, perfiles y honorarios para los contratistas del Instituto Colombiano de Bienestar Familiar y se dictan otras disposiciones.</w:t>
      </w:r>
      <w:r>
        <w:rPr>
          <w:rFonts w:ascii="Verdana" w:hAnsi="Verdana"/>
          <w:sz w:val="22"/>
          <w:szCs w:val="22"/>
        </w:rPr>
        <w:t>”</w:t>
      </w:r>
    </w:p>
    <w:p w14:paraId="3BC3E623" w14:textId="77777777" w:rsidR="00DD32DB" w:rsidRPr="00DD32DB" w:rsidRDefault="00DD32DB" w:rsidP="00ED422B">
      <w:pPr>
        <w:tabs>
          <w:tab w:val="left" w:pos="1680"/>
        </w:tabs>
        <w:jc w:val="center"/>
        <w:rPr>
          <w:rFonts w:ascii="Verdana" w:hAnsi="Verdana"/>
          <w:sz w:val="22"/>
          <w:szCs w:val="22"/>
        </w:rPr>
      </w:pPr>
      <w:r w:rsidRPr="00DD32DB">
        <w:rPr>
          <w:rFonts w:ascii="Verdana" w:hAnsi="Verdana"/>
          <w:b/>
          <w:bCs/>
          <w:sz w:val="22"/>
          <w:szCs w:val="22"/>
        </w:rPr>
        <w:t>EL DIRECTOR GENERAL DEL INSTITUTO COLOMBIANO DE BIENESTAR FAMILIAR, CECILIA DE LA FUENTE DE LLERAS,</w:t>
      </w:r>
    </w:p>
    <w:p w14:paraId="6560AD12" w14:textId="4E271A75" w:rsidR="00DD32DB" w:rsidRPr="00DD32DB" w:rsidRDefault="00DD32DB" w:rsidP="00ED422B">
      <w:pPr>
        <w:tabs>
          <w:tab w:val="left" w:pos="1680"/>
        </w:tabs>
        <w:jc w:val="center"/>
        <w:rPr>
          <w:rFonts w:ascii="Verdana" w:hAnsi="Verdana"/>
          <w:sz w:val="22"/>
          <w:szCs w:val="22"/>
        </w:rPr>
      </w:pPr>
      <w:r w:rsidRPr="00DD32DB">
        <w:rPr>
          <w:rFonts w:ascii="Verdana" w:hAnsi="Verdana"/>
          <w:sz w:val="22"/>
          <w:szCs w:val="22"/>
        </w:rPr>
        <w:t>en uso de sus facultades legales y estatutarias, en especial las conferidas por el literal b) del artículo 28 de la Ley 7ª de 1979, el artículo 78 de la Ley 489 de 1998, y</w:t>
      </w:r>
    </w:p>
    <w:p w14:paraId="48DC7C02" w14:textId="77777777" w:rsidR="00DD32DB" w:rsidRPr="00DD32DB" w:rsidRDefault="00DD32DB" w:rsidP="00ED422B">
      <w:pPr>
        <w:tabs>
          <w:tab w:val="left" w:pos="1680"/>
        </w:tabs>
        <w:jc w:val="center"/>
        <w:rPr>
          <w:rFonts w:ascii="Verdana" w:hAnsi="Verdana"/>
          <w:sz w:val="22"/>
          <w:szCs w:val="22"/>
        </w:rPr>
      </w:pPr>
      <w:r w:rsidRPr="00DD32DB">
        <w:rPr>
          <w:rFonts w:ascii="Verdana" w:hAnsi="Verdana"/>
          <w:b/>
          <w:bCs/>
          <w:sz w:val="22"/>
          <w:szCs w:val="22"/>
        </w:rPr>
        <w:t>CONSIDERANDO:</w:t>
      </w:r>
    </w:p>
    <w:p w14:paraId="4D8E24DA" w14:textId="67BAC2BD" w:rsidR="00DD32DB" w:rsidRPr="00ED422B" w:rsidRDefault="00DD32DB" w:rsidP="00ED422B">
      <w:pPr>
        <w:pStyle w:val="Prrafodelista"/>
        <w:numPr>
          <w:ilvl w:val="0"/>
          <w:numId w:val="1"/>
        </w:numPr>
        <w:tabs>
          <w:tab w:val="left" w:pos="1680"/>
        </w:tabs>
        <w:rPr>
          <w:rFonts w:ascii="Verdana" w:hAnsi="Verdana"/>
          <w:sz w:val="22"/>
          <w:szCs w:val="22"/>
        </w:rPr>
      </w:pPr>
      <w:r w:rsidRPr="00ED422B">
        <w:rPr>
          <w:rFonts w:ascii="Verdana" w:hAnsi="Verdana"/>
          <w:sz w:val="22"/>
          <w:szCs w:val="22"/>
        </w:rPr>
        <w:t xml:space="preserve">Que el artículo 209 de la Constitución Política establece que la función administrativa está al servicio de los intereses generales y se desarrolla con fundamento en los principios de igualdad, moralidad, eficacia, economía, celeridad e imparcialidad y </w:t>
      </w:r>
      <w:proofErr w:type="gramStart"/>
      <w:r w:rsidRPr="00ED422B">
        <w:rPr>
          <w:rFonts w:ascii="Verdana" w:hAnsi="Verdana"/>
          <w:sz w:val="22"/>
          <w:szCs w:val="22"/>
        </w:rPr>
        <w:t>publicidad</w:t>
      </w:r>
      <w:r w:rsidRPr="00ED422B">
        <w:rPr>
          <w:rFonts w:ascii="Verdana" w:hAnsi="Verdana"/>
          <w:sz w:val="22"/>
          <w:szCs w:val="22"/>
          <w:vertAlign w:val="subscript"/>
        </w:rPr>
        <w:t>[</w:t>
      </w:r>
      <w:proofErr w:type="gramEnd"/>
      <w:r w:rsidRPr="00ED422B">
        <w:rPr>
          <w:rFonts w:ascii="Verdana" w:hAnsi="Verdana"/>
          <w:sz w:val="22"/>
          <w:szCs w:val="22"/>
          <w:vertAlign w:val="subscript"/>
        </w:rPr>
        <w:t>1]</w:t>
      </w:r>
      <w:r w:rsidRPr="00ED422B">
        <w:rPr>
          <w:rFonts w:ascii="Verdana" w:hAnsi="Verdana"/>
          <w:sz w:val="22"/>
          <w:szCs w:val="22"/>
        </w:rPr>
        <w:t>, mediante la descentralización, delegación y desconcentración de funciones.</w:t>
      </w:r>
    </w:p>
    <w:p w14:paraId="6128AE03" w14:textId="2AE720C8" w:rsidR="00DD32DB" w:rsidRPr="00ED422B" w:rsidRDefault="00DD32DB" w:rsidP="00ED422B">
      <w:pPr>
        <w:pStyle w:val="Prrafodelista"/>
        <w:numPr>
          <w:ilvl w:val="0"/>
          <w:numId w:val="1"/>
        </w:numPr>
        <w:tabs>
          <w:tab w:val="left" w:pos="1680"/>
        </w:tabs>
        <w:rPr>
          <w:rFonts w:ascii="Verdana" w:hAnsi="Verdana"/>
          <w:sz w:val="22"/>
          <w:szCs w:val="22"/>
        </w:rPr>
      </w:pPr>
      <w:r w:rsidRPr="00ED422B">
        <w:rPr>
          <w:rFonts w:ascii="Verdana" w:hAnsi="Verdana"/>
          <w:sz w:val="22"/>
          <w:szCs w:val="22"/>
        </w:rPr>
        <w:t xml:space="preserve">Que la Ley 80 de 193 </w:t>
      </w:r>
      <w:r w:rsidR="00ED422B">
        <w:rPr>
          <w:rFonts w:ascii="Verdana" w:hAnsi="Verdana"/>
          <w:sz w:val="22"/>
          <w:szCs w:val="22"/>
        </w:rPr>
        <w:t>[</w:t>
      </w:r>
      <w:r w:rsidRPr="00ED422B">
        <w:rPr>
          <w:rFonts w:ascii="Verdana" w:hAnsi="Verdana"/>
          <w:sz w:val="22"/>
          <w:szCs w:val="22"/>
        </w:rPr>
        <w:t>sic, es 1993</w:t>
      </w:r>
      <w:r w:rsidR="00ED422B">
        <w:rPr>
          <w:rFonts w:ascii="Verdana" w:hAnsi="Verdana"/>
          <w:sz w:val="22"/>
          <w:szCs w:val="22"/>
        </w:rPr>
        <w:t>]</w:t>
      </w:r>
      <w:r w:rsidRPr="00ED422B">
        <w:rPr>
          <w:rFonts w:ascii="Verdana" w:hAnsi="Verdana"/>
          <w:sz w:val="22"/>
          <w:szCs w:val="22"/>
        </w:rPr>
        <w:t>, en su artículo 26 numeral 5, establece como responsabilidad de los representantes legales de las entidades estatales, la dirección y manejo de la actividad contractual y de los procesos de selección. A su vez el artículo 3.4.2.5.1 del Decreto número 734 de 2012, consagra la facultad de contratar directamente la prestación de servicios profesionales y de apoyo a la gestión, o para la ejecución de trabajos artísticos que solo pueden encomendarse a determinadas personas naturales.</w:t>
      </w:r>
    </w:p>
    <w:p w14:paraId="70A89BBA" w14:textId="097B3378" w:rsidR="00DD32DB" w:rsidRPr="00ED422B" w:rsidRDefault="00DD32DB" w:rsidP="00ED422B">
      <w:pPr>
        <w:pStyle w:val="Prrafodelista"/>
        <w:numPr>
          <w:ilvl w:val="0"/>
          <w:numId w:val="1"/>
        </w:numPr>
        <w:tabs>
          <w:tab w:val="left" w:pos="1680"/>
        </w:tabs>
        <w:rPr>
          <w:rFonts w:ascii="Verdana" w:hAnsi="Verdana"/>
          <w:sz w:val="22"/>
          <w:szCs w:val="22"/>
        </w:rPr>
      </w:pPr>
      <w:r w:rsidRPr="00ED422B">
        <w:rPr>
          <w:rFonts w:ascii="Verdana" w:hAnsi="Verdana"/>
          <w:sz w:val="22"/>
          <w:szCs w:val="22"/>
        </w:rPr>
        <w:t xml:space="preserve">Que para el cumplimiento de los fines y objetivos de la Entidad y en observancia de los principios constitucionales de igualdad y transparencia, el Instituto Colombiano de Bienestar Familiar, debe recurrir a la celebración de contratos de prestación de servicios y de apoyo a la gestión, de conformidad con lo preceptuado en el literal h) del numeral 4 del artículo 2o de la Ley 1150 de 2007, y el artículo 3.4.2.5.1 del Decreto número 734 de 2012, para lo cual se hace necesario adoptar la tabla de </w:t>
      </w:r>
      <w:r w:rsidRPr="00ED422B">
        <w:rPr>
          <w:rFonts w:ascii="Verdana" w:hAnsi="Verdana"/>
          <w:sz w:val="22"/>
          <w:szCs w:val="22"/>
        </w:rPr>
        <w:lastRenderedPageBreak/>
        <w:t>requisitos, perfiles y honorarios, que se tendrá en cuenta para la celebración de dichos contratos, la cual será de obligatorio cumplimiento.</w:t>
      </w:r>
    </w:p>
    <w:p w14:paraId="0F6B2B54" w14:textId="60EC47F5" w:rsidR="00DD32DB" w:rsidRPr="00ED422B" w:rsidRDefault="00DD32DB" w:rsidP="00ED422B">
      <w:pPr>
        <w:pStyle w:val="Prrafodelista"/>
        <w:numPr>
          <w:ilvl w:val="0"/>
          <w:numId w:val="1"/>
        </w:numPr>
        <w:tabs>
          <w:tab w:val="left" w:pos="1680"/>
        </w:tabs>
        <w:rPr>
          <w:rFonts w:ascii="Verdana" w:hAnsi="Verdana"/>
          <w:sz w:val="22"/>
          <w:szCs w:val="22"/>
        </w:rPr>
      </w:pPr>
      <w:r w:rsidRPr="00ED422B">
        <w:rPr>
          <w:rFonts w:ascii="Verdana" w:hAnsi="Verdana"/>
          <w:sz w:val="22"/>
          <w:szCs w:val="22"/>
        </w:rPr>
        <w:t>Que el ICBF para la celebración de los contratos de prestación de servicios, adoptó mediante Resolución número 638 de 2012, la tabla de honorarios establecida por el sector de la Inclusión y Reconciliación Social, según las directrices emanadas por el Departamento Administrativo para la Prosperidad Social (DPS).</w:t>
      </w:r>
    </w:p>
    <w:p w14:paraId="1D69F9A1" w14:textId="77777777" w:rsidR="00DD32DB" w:rsidRPr="00ED422B" w:rsidRDefault="00DD32DB" w:rsidP="00ED422B">
      <w:pPr>
        <w:pStyle w:val="Prrafodelista"/>
        <w:numPr>
          <w:ilvl w:val="0"/>
          <w:numId w:val="1"/>
        </w:numPr>
        <w:tabs>
          <w:tab w:val="left" w:pos="1680"/>
        </w:tabs>
        <w:rPr>
          <w:rFonts w:ascii="Verdana" w:hAnsi="Verdana"/>
          <w:sz w:val="22"/>
          <w:szCs w:val="22"/>
        </w:rPr>
      </w:pPr>
      <w:r w:rsidRPr="00ED422B">
        <w:rPr>
          <w:rFonts w:ascii="Verdana" w:hAnsi="Verdana"/>
          <w:sz w:val="22"/>
          <w:szCs w:val="22"/>
        </w:rPr>
        <w:t xml:space="preserve">Que teniendo en cuenta las necesidades y particularidades de Instituto Colombiano de Bienestar Familiar, se hace necesario adoptar una tabla de honorarios con sus respectivos perfiles y requisitos para la celebración de los contratos de prestación de servicios y de apoyo a la gestión necesarios para el cumplimiento de sus funciones, así como señalar las equivalencias aplicables para el cumplimiento de </w:t>
      </w:r>
      <w:proofErr w:type="gramStart"/>
      <w:r w:rsidRPr="00ED422B">
        <w:rPr>
          <w:rFonts w:ascii="Verdana" w:hAnsi="Verdana"/>
          <w:sz w:val="22"/>
          <w:szCs w:val="22"/>
        </w:rPr>
        <w:t>los mismos</w:t>
      </w:r>
      <w:proofErr w:type="gramEnd"/>
      <w:r w:rsidRPr="00ED422B">
        <w:rPr>
          <w:rFonts w:ascii="Verdana" w:hAnsi="Verdana"/>
          <w:sz w:val="22"/>
          <w:szCs w:val="22"/>
        </w:rPr>
        <w:t>.</w:t>
      </w:r>
    </w:p>
    <w:p w14:paraId="059A4D3D" w14:textId="77777777" w:rsidR="00DD32DB" w:rsidRPr="00ED422B" w:rsidRDefault="00DD32DB" w:rsidP="00ED422B">
      <w:pPr>
        <w:pStyle w:val="Prrafodelista"/>
        <w:numPr>
          <w:ilvl w:val="0"/>
          <w:numId w:val="1"/>
        </w:numPr>
        <w:tabs>
          <w:tab w:val="left" w:pos="1680"/>
        </w:tabs>
        <w:rPr>
          <w:rFonts w:ascii="Verdana" w:hAnsi="Verdana"/>
          <w:sz w:val="22"/>
          <w:szCs w:val="22"/>
        </w:rPr>
      </w:pPr>
      <w:proofErr w:type="gramStart"/>
      <w:r w:rsidRPr="00ED422B">
        <w:rPr>
          <w:rFonts w:ascii="Verdana" w:hAnsi="Verdana"/>
          <w:sz w:val="22"/>
          <w:szCs w:val="22"/>
        </w:rPr>
        <w:t>Que</w:t>
      </w:r>
      <w:proofErr w:type="gramEnd"/>
      <w:r w:rsidRPr="00ED422B">
        <w:rPr>
          <w:rFonts w:ascii="Verdana" w:hAnsi="Verdana"/>
          <w:sz w:val="22"/>
          <w:szCs w:val="22"/>
        </w:rPr>
        <w:t xml:space="preserve"> en mérito de lo expuesto,</w:t>
      </w:r>
    </w:p>
    <w:p w14:paraId="0B91D609" w14:textId="77777777" w:rsidR="00DD32DB" w:rsidRPr="00DD32DB" w:rsidRDefault="00DD32DB" w:rsidP="00ED422B">
      <w:pPr>
        <w:tabs>
          <w:tab w:val="left" w:pos="1680"/>
        </w:tabs>
        <w:jc w:val="center"/>
        <w:rPr>
          <w:rFonts w:ascii="Verdana" w:hAnsi="Verdana"/>
          <w:sz w:val="22"/>
          <w:szCs w:val="22"/>
        </w:rPr>
      </w:pPr>
      <w:r w:rsidRPr="00DD32DB">
        <w:rPr>
          <w:rFonts w:ascii="Verdana" w:hAnsi="Verdana"/>
          <w:b/>
          <w:bCs/>
          <w:sz w:val="22"/>
          <w:szCs w:val="22"/>
        </w:rPr>
        <w:t>RESUELVE:</w:t>
      </w:r>
    </w:p>
    <w:p w14:paraId="74CCC593" w14:textId="77777777" w:rsidR="00DD32DB" w:rsidRPr="00DD32DB" w:rsidRDefault="00DD32DB" w:rsidP="00411525">
      <w:pPr>
        <w:tabs>
          <w:tab w:val="left" w:pos="1680"/>
        </w:tabs>
        <w:rPr>
          <w:rFonts w:ascii="Verdana" w:hAnsi="Verdana"/>
          <w:sz w:val="22"/>
          <w:szCs w:val="22"/>
        </w:rPr>
      </w:pPr>
      <w:bookmarkStart w:id="0" w:name="CAPÍTULO_I"/>
      <w:r w:rsidRPr="00DD32DB">
        <w:rPr>
          <w:rFonts w:ascii="Verdana" w:hAnsi="Verdana"/>
          <w:b/>
          <w:bCs/>
          <w:sz w:val="22"/>
          <w:szCs w:val="22"/>
        </w:rPr>
        <w:t>CAPÍTULO I.</w:t>
      </w:r>
      <w:bookmarkEnd w:id="0"/>
    </w:p>
    <w:p w14:paraId="6EC47BFB"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DEFINICIONES.</w:t>
      </w:r>
    </w:p>
    <w:p w14:paraId="4CB13ECA" w14:textId="5BDDFEC5" w:rsidR="00D949D0" w:rsidRPr="00D949D0" w:rsidRDefault="00DD32DB" w:rsidP="00D949D0">
      <w:pPr>
        <w:tabs>
          <w:tab w:val="left" w:pos="1680"/>
        </w:tabs>
        <w:rPr>
          <w:rFonts w:ascii="Verdana" w:hAnsi="Verdana"/>
          <w:sz w:val="22"/>
          <w:szCs w:val="22"/>
        </w:rPr>
      </w:pPr>
      <w:bookmarkStart w:id="1" w:name="1"/>
      <w:r w:rsidRPr="00DD32DB">
        <w:rPr>
          <w:rFonts w:ascii="Verdana" w:hAnsi="Verdana"/>
          <w:b/>
          <w:bCs/>
          <w:sz w:val="22"/>
          <w:szCs w:val="22"/>
        </w:rPr>
        <w:t>ARTÍCULO 1o. HONORARIOS.</w:t>
      </w:r>
      <w:bookmarkEnd w:id="1"/>
      <w:r w:rsidRPr="00DD32DB">
        <w:rPr>
          <w:rFonts w:ascii="Verdana" w:hAnsi="Verdana"/>
          <w:b/>
          <w:bCs/>
          <w:sz w:val="22"/>
          <w:szCs w:val="22"/>
        </w:rPr>
        <w:t> </w:t>
      </w:r>
      <w:r w:rsidR="00ED422B">
        <w:rPr>
          <w:rFonts w:ascii="Verdana" w:hAnsi="Verdana"/>
          <w:sz w:val="22"/>
          <w:szCs w:val="22"/>
        </w:rPr>
        <w:t>[</w:t>
      </w:r>
      <w:r w:rsidRPr="00DD32DB">
        <w:rPr>
          <w:rFonts w:ascii="Verdana" w:hAnsi="Verdana"/>
          <w:sz w:val="22"/>
          <w:szCs w:val="22"/>
        </w:rPr>
        <w:t>Artículo modificado por el artículo 1 de la Resolución 8075 de 2012</w:t>
      </w:r>
      <w:bookmarkStart w:id="2" w:name="2"/>
      <w:r w:rsidR="00D949D0">
        <w:rPr>
          <w:rFonts w:ascii="Verdana" w:hAnsi="Verdana"/>
          <w:sz w:val="22"/>
          <w:szCs w:val="22"/>
        </w:rPr>
        <w:t>]</w:t>
      </w:r>
      <w:r w:rsidR="00D949D0" w:rsidRPr="00D949D0">
        <w:t xml:space="preserve"> </w:t>
      </w:r>
      <w:r w:rsidR="00D949D0" w:rsidRPr="00D949D0">
        <w:rPr>
          <w:rFonts w:ascii="Verdana" w:hAnsi="Verdana"/>
          <w:sz w:val="22"/>
          <w:szCs w:val="22"/>
        </w:rPr>
        <w:t>Es aquella retribución o remuneración que se pagará al contratista por la ejecución de las actividades o trabajos previamente pactados.</w:t>
      </w:r>
    </w:p>
    <w:p w14:paraId="785AE354" w14:textId="77777777" w:rsidR="00D949D0" w:rsidRDefault="00D949D0" w:rsidP="00D949D0">
      <w:pPr>
        <w:tabs>
          <w:tab w:val="left" w:pos="1680"/>
        </w:tabs>
        <w:rPr>
          <w:rFonts w:ascii="Verdana" w:hAnsi="Verdana"/>
          <w:sz w:val="22"/>
          <w:szCs w:val="22"/>
        </w:rPr>
      </w:pPr>
      <w:r w:rsidRPr="00D949D0">
        <w:rPr>
          <w:rFonts w:ascii="Verdana" w:hAnsi="Verdana"/>
          <w:b/>
          <w:bCs/>
          <w:sz w:val="22"/>
          <w:szCs w:val="22"/>
        </w:rPr>
        <w:t>PARÁGRAFO.</w:t>
      </w:r>
      <w:r w:rsidRPr="00D949D0">
        <w:rPr>
          <w:rFonts w:ascii="Verdana" w:hAnsi="Verdana"/>
          <w:sz w:val="22"/>
          <w:szCs w:val="22"/>
        </w:rPr>
        <w:t xml:space="preserve"> Los honorarios de los contratos de prestación de servicios del Instituto Colombiano de Bienestar Familiar deberán corresponder a las necesidades, perfiles, requisitos, objeto y complejidad de las obligaciones contractuales, y deberán </w:t>
      </w:r>
      <w:proofErr w:type="gramStart"/>
      <w:r w:rsidRPr="00D949D0">
        <w:rPr>
          <w:rFonts w:ascii="Verdana" w:hAnsi="Verdana"/>
          <w:sz w:val="22"/>
          <w:szCs w:val="22"/>
        </w:rPr>
        <w:t>enmarcarse dentro de</w:t>
      </w:r>
      <w:proofErr w:type="gramEnd"/>
      <w:r w:rsidRPr="00D949D0">
        <w:rPr>
          <w:rFonts w:ascii="Verdana" w:hAnsi="Verdana"/>
          <w:sz w:val="22"/>
          <w:szCs w:val="22"/>
        </w:rPr>
        <w:t xml:space="preserve"> los rangos que se especifican en el Anexo número 1 de la presente Resolución denominado “Tabla de Honorarios, Perfiles y Requisitos del ICBF”.</w:t>
      </w:r>
    </w:p>
    <w:p w14:paraId="7243AFCD" w14:textId="4BEBD2C3"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ARTÍCULO 2o. ESTUDIOS.</w:t>
      </w:r>
      <w:bookmarkEnd w:id="2"/>
      <w:r w:rsidRPr="00DD32DB">
        <w:rPr>
          <w:rFonts w:ascii="Verdana" w:hAnsi="Verdana"/>
          <w:sz w:val="22"/>
          <w:szCs w:val="22"/>
        </w:rPr>
        <w:t> </w:t>
      </w:r>
      <w:r w:rsidR="00396944" w:rsidRPr="00DD32DB">
        <w:rPr>
          <w:rFonts w:ascii="Verdana" w:hAnsi="Verdana"/>
          <w:sz w:val="22"/>
          <w:szCs w:val="22"/>
        </w:rPr>
        <w:t xml:space="preserve"> </w:t>
      </w:r>
      <w:r w:rsidRPr="00DD32DB">
        <w:rPr>
          <w:rFonts w:ascii="Verdana" w:hAnsi="Verdana"/>
          <w:sz w:val="22"/>
          <w:szCs w:val="22"/>
        </w:rPr>
        <w:t>Son los conocimientos académicos adquiridos en instituciones públicas o privadas, debidamente reconocidas por el Gobierno Nacional, correspondientes a la educación básica primaria, básica secundaria, media vocacional; superior en los programas de pregrado en las modalidades de formación técnica profesional, tecnológica y profesional, y en programas de posgrado en las modalidades de especialización, maestría, doctorado y posdoctorado.</w:t>
      </w:r>
    </w:p>
    <w:p w14:paraId="29BC527F" w14:textId="1DD43F4C" w:rsidR="00DD32DB" w:rsidRPr="00DD32DB" w:rsidRDefault="00DD32DB" w:rsidP="00411525">
      <w:pPr>
        <w:tabs>
          <w:tab w:val="left" w:pos="1680"/>
        </w:tabs>
        <w:rPr>
          <w:rFonts w:ascii="Verdana" w:hAnsi="Verdana"/>
          <w:sz w:val="22"/>
          <w:szCs w:val="22"/>
        </w:rPr>
      </w:pPr>
      <w:bookmarkStart w:id="3" w:name="3"/>
      <w:r w:rsidRPr="00DD32DB">
        <w:rPr>
          <w:rFonts w:ascii="Verdana" w:hAnsi="Verdana"/>
          <w:b/>
          <w:bCs/>
          <w:sz w:val="22"/>
          <w:szCs w:val="22"/>
        </w:rPr>
        <w:t>ARTÍCULO 3o. EXPERIENCIA PROFESIONAL.</w:t>
      </w:r>
      <w:bookmarkEnd w:id="3"/>
      <w:r w:rsidRPr="00DD32DB">
        <w:rPr>
          <w:rFonts w:ascii="Verdana" w:hAnsi="Verdana"/>
          <w:sz w:val="22"/>
          <w:szCs w:val="22"/>
        </w:rPr>
        <w:t> </w:t>
      </w:r>
      <w:r w:rsidR="00396944" w:rsidRPr="00DD32DB">
        <w:rPr>
          <w:rFonts w:ascii="Verdana" w:hAnsi="Verdana"/>
          <w:sz w:val="22"/>
          <w:szCs w:val="22"/>
        </w:rPr>
        <w:t xml:space="preserve"> </w:t>
      </w:r>
      <w:r w:rsidRPr="00DD32DB">
        <w:rPr>
          <w:rFonts w:ascii="Verdana" w:hAnsi="Verdana"/>
          <w:sz w:val="22"/>
          <w:szCs w:val="22"/>
        </w:rPr>
        <w:t>Es la adquirida a partir de la terminación y aprobación de todas las materias que conforman el pénsum académico de la respectiva formación profesional, diferente a la Técnica Profesional y Tecnológica, en el ejercicio de las actividades propias de la profesión o disciplina exigida para el desempeño del empleo.</w:t>
      </w:r>
    </w:p>
    <w:p w14:paraId="38B591E7" w14:textId="1909287D"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 xml:space="preserve">PARÁGRAFO </w:t>
      </w:r>
      <w:r w:rsidR="00D949D0">
        <w:rPr>
          <w:rFonts w:ascii="Verdana" w:hAnsi="Verdana"/>
          <w:b/>
          <w:bCs/>
          <w:sz w:val="22"/>
          <w:szCs w:val="22"/>
        </w:rPr>
        <w:t>PRIMERO</w:t>
      </w:r>
      <w:r w:rsidRPr="00DD32DB">
        <w:rPr>
          <w:rFonts w:ascii="Verdana" w:hAnsi="Verdana"/>
          <w:b/>
          <w:bCs/>
          <w:sz w:val="22"/>
          <w:szCs w:val="22"/>
        </w:rPr>
        <w:t>.</w:t>
      </w:r>
      <w:r w:rsidRPr="00DD32DB">
        <w:rPr>
          <w:rFonts w:ascii="Verdana" w:hAnsi="Verdana"/>
          <w:sz w:val="22"/>
          <w:szCs w:val="22"/>
        </w:rPr>
        <w:t xml:space="preserve"> La experiencia profesional de aquellas carreras que requieren registro o tarjeta </w:t>
      </w:r>
      <w:proofErr w:type="gramStart"/>
      <w:r w:rsidRPr="00DD32DB">
        <w:rPr>
          <w:rFonts w:ascii="Verdana" w:hAnsi="Verdana"/>
          <w:sz w:val="22"/>
          <w:szCs w:val="22"/>
        </w:rPr>
        <w:t>profesional,</w:t>
      </w:r>
      <w:proofErr w:type="gramEnd"/>
      <w:r w:rsidRPr="00DD32DB">
        <w:rPr>
          <w:rFonts w:ascii="Verdana" w:hAnsi="Verdana"/>
          <w:sz w:val="22"/>
          <w:szCs w:val="22"/>
        </w:rPr>
        <w:t xml:space="preserve"> será contada a partir de la expedición de dichos documentos, en virtud de las obligaciones de ley que hacen exigible su expedición.</w:t>
      </w:r>
    </w:p>
    <w:p w14:paraId="463E3436" w14:textId="6CA7E036"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lastRenderedPageBreak/>
        <w:t xml:space="preserve">PARÁGRAFO </w:t>
      </w:r>
      <w:r w:rsidR="00D949D0">
        <w:rPr>
          <w:rFonts w:ascii="Verdana" w:hAnsi="Verdana"/>
          <w:b/>
          <w:bCs/>
          <w:sz w:val="22"/>
          <w:szCs w:val="22"/>
        </w:rPr>
        <w:t>SEGUNDO</w:t>
      </w:r>
      <w:r w:rsidRPr="00DD32DB">
        <w:rPr>
          <w:rFonts w:ascii="Verdana" w:hAnsi="Verdana"/>
          <w:b/>
          <w:bCs/>
          <w:sz w:val="22"/>
          <w:szCs w:val="22"/>
        </w:rPr>
        <w:t>.</w:t>
      </w:r>
      <w:r w:rsidRPr="00DD32DB">
        <w:rPr>
          <w:rFonts w:ascii="Verdana" w:hAnsi="Verdana"/>
          <w:sz w:val="22"/>
          <w:szCs w:val="22"/>
        </w:rPr>
        <w:t> En todo caso el área interesada, verificará si para el ejercicio de una profesión específica, existen excepciones para el conteo de la experiencia profesional, aun cuando existiendo el requisito de registro o tarjeta profesional, la experiencia se cuente desde la terminación de materias o desde la expedición del título de pregrado.</w:t>
      </w:r>
    </w:p>
    <w:p w14:paraId="6E728763" w14:textId="728D089E" w:rsidR="00DD32DB" w:rsidRPr="00DD32DB" w:rsidRDefault="00DD32DB" w:rsidP="00411525">
      <w:pPr>
        <w:tabs>
          <w:tab w:val="left" w:pos="1680"/>
        </w:tabs>
        <w:rPr>
          <w:rFonts w:ascii="Verdana" w:hAnsi="Verdana"/>
          <w:sz w:val="22"/>
          <w:szCs w:val="22"/>
        </w:rPr>
      </w:pPr>
      <w:bookmarkStart w:id="4" w:name="4"/>
      <w:r w:rsidRPr="00DD32DB">
        <w:rPr>
          <w:rFonts w:ascii="Verdana" w:hAnsi="Verdana"/>
          <w:b/>
          <w:bCs/>
          <w:sz w:val="22"/>
          <w:szCs w:val="22"/>
        </w:rPr>
        <w:t>ARTÍCULO 4o. EXPERIENCIA RELACIONADA.</w:t>
      </w:r>
      <w:bookmarkEnd w:id="4"/>
      <w:r w:rsidRPr="00DD32DB">
        <w:rPr>
          <w:rFonts w:ascii="Verdana" w:hAnsi="Verdana"/>
          <w:sz w:val="22"/>
          <w:szCs w:val="22"/>
        </w:rPr>
        <w:t> </w:t>
      </w:r>
      <w:r w:rsidRPr="00DD32DB">
        <w:rPr>
          <w:rFonts w:ascii="Verdana" w:hAnsi="Verdana"/>
          <w:b/>
          <w:bCs/>
          <w:sz w:val="22"/>
          <w:szCs w:val="22"/>
        </w:rPr>
        <w:t> </w:t>
      </w:r>
      <w:r w:rsidRPr="00DD32DB">
        <w:rPr>
          <w:rFonts w:ascii="Verdana" w:hAnsi="Verdana"/>
          <w:sz w:val="22"/>
          <w:szCs w:val="22"/>
        </w:rPr>
        <w:t>Es la adquirida en el ejercicio de empleos o actividades que tengan funciones similares al objeto y actividades a desarrollar.</w:t>
      </w:r>
    </w:p>
    <w:p w14:paraId="3AC0D002" w14:textId="27909694" w:rsidR="00DD32DB" w:rsidRPr="00DD32DB" w:rsidRDefault="00DD32DB" w:rsidP="00411525">
      <w:pPr>
        <w:tabs>
          <w:tab w:val="left" w:pos="1680"/>
        </w:tabs>
        <w:rPr>
          <w:rFonts w:ascii="Verdana" w:hAnsi="Verdana"/>
          <w:sz w:val="22"/>
          <w:szCs w:val="22"/>
        </w:rPr>
      </w:pPr>
      <w:bookmarkStart w:id="5" w:name="5"/>
      <w:r w:rsidRPr="00DD32DB">
        <w:rPr>
          <w:rFonts w:ascii="Verdana" w:hAnsi="Verdana"/>
          <w:b/>
          <w:bCs/>
          <w:sz w:val="22"/>
          <w:szCs w:val="22"/>
        </w:rPr>
        <w:t>ARTÍCULO 5o. CERTIFICADO DE IDONEIDAD Y EXPERIENCIA.</w:t>
      </w:r>
      <w:bookmarkEnd w:id="5"/>
      <w:r w:rsidRPr="00DD32DB">
        <w:rPr>
          <w:rFonts w:ascii="Verdana" w:hAnsi="Verdana"/>
          <w:sz w:val="22"/>
          <w:szCs w:val="22"/>
        </w:rPr>
        <w:t> </w:t>
      </w:r>
      <w:r w:rsidRPr="00DD32DB">
        <w:rPr>
          <w:rFonts w:ascii="Verdana" w:hAnsi="Verdana"/>
          <w:b/>
          <w:bCs/>
          <w:sz w:val="22"/>
          <w:szCs w:val="22"/>
        </w:rPr>
        <w:t> </w:t>
      </w:r>
      <w:r w:rsidRPr="00DD32DB">
        <w:rPr>
          <w:rFonts w:ascii="Verdana" w:hAnsi="Verdana"/>
          <w:sz w:val="22"/>
          <w:szCs w:val="22"/>
        </w:rPr>
        <w:t>Es el documento suscrito por el jefe o director de área en el cual se certifican los requisitos de estudios y experiencia que acredita el futuro contratista.</w:t>
      </w:r>
    </w:p>
    <w:p w14:paraId="11F8BE10"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PARÁGRAFO 1o.</w:t>
      </w:r>
      <w:r w:rsidRPr="00DD32DB">
        <w:rPr>
          <w:rFonts w:ascii="Verdana" w:hAnsi="Verdana"/>
          <w:sz w:val="22"/>
          <w:szCs w:val="22"/>
        </w:rPr>
        <w:t> La referencia en cuanto a los títulos acreditados deberá contener el nombre del título obtenido, la institución que otorga el título y la fecha en que fue otorgado.</w:t>
      </w:r>
    </w:p>
    <w:p w14:paraId="0EA01D6B"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PARÁGRAFO 2o.</w:t>
      </w:r>
      <w:r w:rsidRPr="00DD32DB">
        <w:rPr>
          <w:rFonts w:ascii="Verdana" w:hAnsi="Verdana"/>
          <w:sz w:val="22"/>
          <w:szCs w:val="22"/>
        </w:rPr>
        <w:t> La experiencia que se certifique deberá ser totalizada, señalando el número de años y/o meses realmente acreditados.</w:t>
      </w:r>
    </w:p>
    <w:p w14:paraId="2F954ECA" w14:textId="77777777" w:rsidR="00DD32DB" w:rsidRPr="00DD32DB" w:rsidRDefault="00DD32DB" w:rsidP="00411525">
      <w:pPr>
        <w:tabs>
          <w:tab w:val="left" w:pos="1680"/>
        </w:tabs>
        <w:rPr>
          <w:rFonts w:ascii="Verdana" w:hAnsi="Verdana"/>
          <w:sz w:val="22"/>
          <w:szCs w:val="22"/>
        </w:rPr>
      </w:pPr>
      <w:bookmarkStart w:id="6" w:name="CAPÍTULO_II"/>
      <w:r w:rsidRPr="00DD32DB">
        <w:rPr>
          <w:rFonts w:ascii="Verdana" w:hAnsi="Verdana"/>
          <w:b/>
          <w:bCs/>
          <w:sz w:val="22"/>
          <w:szCs w:val="22"/>
        </w:rPr>
        <w:t>CAPÍTULO II.</w:t>
      </w:r>
      <w:bookmarkEnd w:id="6"/>
    </w:p>
    <w:p w14:paraId="2749D2FA" w14:textId="1711EDBF"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CERTIFICACIONES.</w:t>
      </w:r>
    </w:p>
    <w:p w14:paraId="562F97E3" w14:textId="5E46155D" w:rsidR="00DD32DB" w:rsidRPr="00DD32DB" w:rsidRDefault="00DD32DB" w:rsidP="00411525">
      <w:pPr>
        <w:tabs>
          <w:tab w:val="left" w:pos="1680"/>
        </w:tabs>
        <w:rPr>
          <w:rFonts w:ascii="Verdana" w:hAnsi="Verdana"/>
          <w:sz w:val="22"/>
          <w:szCs w:val="22"/>
        </w:rPr>
      </w:pPr>
      <w:bookmarkStart w:id="7" w:name="6"/>
      <w:r w:rsidRPr="00DD32DB">
        <w:rPr>
          <w:rFonts w:ascii="Verdana" w:hAnsi="Verdana"/>
          <w:b/>
          <w:bCs/>
          <w:sz w:val="22"/>
          <w:szCs w:val="22"/>
        </w:rPr>
        <w:t>ARTÍCULO 6o. CERTIFICACIÓN DE ESTUDIOS.</w:t>
      </w:r>
      <w:bookmarkEnd w:id="7"/>
      <w:r w:rsidRPr="00DD32DB">
        <w:rPr>
          <w:rFonts w:ascii="Verdana" w:hAnsi="Verdana"/>
          <w:sz w:val="22"/>
          <w:szCs w:val="22"/>
        </w:rPr>
        <w:t> </w:t>
      </w:r>
      <w:r w:rsidR="00396944" w:rsidRPr="00DD32DB">
        <w:rPr>
          <w:rFonts w:ascii="Verdana" w:hAnsi="Verdana"/>
          <w:sz w:val="22"/>
          <w:szCs w:val="22"/>
        </w:rPr>
        <w:t xml:space="preserve"> </w:t>
      </w:r>
      <w:r w:rsidRPr="00DD32DB">
        <w:rPr>
          <w:rFonts w:ascii="Verdana" w:hAnsi="Verdana"/>
          <w:sz w:val="22"/>
          <w:szCs w:val="22"/>
        </w:rPr>
        <w:t>Los estudios se acreditarán mediante la presentación de certificados, diplomas, o títulos otorgados por las instituciones correspondientes.</w:t>
      </w:r>
    </w:p>
    <w:p w14:paraId="674D729C" w14:textId="34038984"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PARÁGRAFO.</w:t>
      </w:r>
      <w:r w:rsidRPr="00DD32DB">
        <w:rPr>
          <w:rFonts w:ascii="Verdana" w:hAnsi="Verdana"/>
          <w:sz w:val="22"/>
          <w:szCs w:val="22"/>
        </w:rPr>
        <w:t> Los estudios realizados y los títulos obtenidos en el exterior requerirán para su validez, la homologación y convalidación por parte del Ministerio de Educación Nacional o de la autoridad competente.</w:t>
      </w:r>
    </w:p>
    <w:p w14:paraId="2132B167" w14:textId="41AE8A65" w:rsidR="00DD32DB" w:rsidRPr="00DD32DB" w:rsidRDefault="00DD32DB" w:rsidP="00411525">
      <w:pPr>
        <w:tabs>
          <w:tab w:val="left" w:pos="1680"/>
        </w:tabs>
        <w:rPr>
          <w:rFonts w:ascii="Verdana" w:hAnsi="Verdana"/>
          <w:sz w:val="22"/>
          <w:szCs w:val="22"/>
        </w:rPr>
      </w:pPr>
      <w:bookmarkStart w:id="8" w:name="7"/>
      <w:r w:rsidRPr="00DD32DB">
        <w:rPr>
          <w:rFonts w:ascii="Verdana" w:hAnsi="Verdana"/>
          <w:b/>
          <w:bCs/>
          <w:sz w:val="22"/>
          <w:szCs w:val="22"/>
        </w:rPr>
        <w:t>ARTÍCULO 7o. CERTIFICACIÓN DE EXPERIENCIA.</w:t>
      </w:r>
      <w:bookmarkEnd w:id="8"/>
      <w:r w:rsidRPr="00DD32DB">
        <w:rPr>
          <w:rFonts w:ascii="Verdana" w:hAnsi="Verdana"/>
          <w:sz w:val="22"/>
          <w:szCs w:val="22"/>
        </w:rPr>
        <w:t> </w:t>
      </w:r>
      <w:r w:rsidRPr="00DD32DB">
        <w:rPr>
          <w:rFonts w:ascii="Verdana" w:hAnsi="Verdana"/>
          <w:b/>
          <w:bCs/>
          <w:sz w:val="22"/>
          <w:szCs w:val="22"/>
        </w:rPr>
        <w:t> </w:t>
      </w:r>
      <w:r w:rsidRPr="00DD32DB">
        <w:rPr>
          <w:rFonts w:ascii="Verdana" w:hAnsi="Verdana"/>
          <w:sz w:val="22"/>
          <w:szCs w:val="22"/>
        </w:rPr>
        <w:t>La experiencia se acreditará mediante la presentación de constancias escritas, expedidas por la autoridad competente de las respectivas instituciones oficiales o privadas.</w:t>
      </w:r>
    </w:p>
    <w:p w14:paraId="30CC710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Las certificaciones o declaraciones de experiencia deberán contener como mínimo el nombre o razón social de la entidad o empresa, el tiempo de servicio y el objeto o relación de funciones y/o actividades desempeñadas.</w:t>
      </w:r>
    </w:p>
    <w:p w14:paraId="2E1893ED"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PARÁGRAFO 1o.</w:t>
      </w:r>
      <w:r w:rsidRPr="00DD32DB">
        <w:rPr>
          <w:rFonts w:ascii="Verdana" w:hAnsi="Verdana"/>
          <w:sz w:val="22"/>
          <w:szCs w:val="22"/>
        </w:rPr>
        <w:t> Cuando los tiempos de experiencia que se acrediten se traslapen, el tiempo de experiencia se contabilizará por una sola vez.</w:t>
      </w:r>
    </w:p>
    <w:p w14:paraId="7FEFAD08"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PARÁGRAFO 2o.</w:t>
      </w:r>
      <w:r w:rsidRPr="00DD32DB">
        <w:rPr>
          <w:rFonts w:ascii="Verdana" w:hAnsi="Verdana"/>
          <w:sz w:val="22"/>
          <w:szCs w:val="22"/>
        </w:rPr>
        <w:t> Cuando las certificaciones indiquen una jornada laboral inferior a ocho (8) horas diarias, el tiempo de experiencia se establecerá sumando las horas trabajadas y dividiendo el resultado entre ocho (8).</w:t>
      </w:r>
    </w:p>
    <w:p w14:paraId="28CE061E" w14:textId="77777777" w:rsidR="00DD32DB" w:rsidRPr="00DD32DB" w:rsidRDefault="00DD32DB" w:rsidP="00411525">
      <w:pPr>
        <w:tabs>
          <w:tab w:val="left" w:pos="1680"/>
        </w:tabs>
        <w:rPr>
          <w:rFonts w:ascii="Verdana" w:hAnsi="Verdana"/>
          <w:sz w:val="22"/>
          <w:szCs w:val="22"/>
        </w:rPr>
      </w:pPr>
      <w:bookmarkStart w:id="9" w:name="CAPÍTULO_III"/>
      <w:r w:rsidRPr="00DD32DB">
        <w:rPr>
          <w:rFonts w:ascii="Verdana" w:hAnsi="Verdana"/>
          <w:b/>
          <w:bCs/>
          <w:sz w:val="22"/>
          <w:szCs w:val="22"/>
        </w:rPr>
        <w:t>CAPÍTULO III.</w:t>
      </w:r>
      <w:bookmarkEnd w:id="9"/>
    </w:p>
    <w:p w14:paraId="1D72837A" w14:textId="6C567076"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 xml:space="preserve">EQUIVALENCIAS ENTRE ESTUDIOS Y </w:t>
      </w:r>
      <w:r w:rsidRPr="00396944">
        <w:rPr>
          <w:rFonts w:ascii="Verdana" w:hAnsi="Verdana"/>
          <w:b/>
          <w:bCs/>
          <w:sz w:val="22"/>
          <w:szCs w:val="22"/>
        </w:rPr>
        <w:t>EXPERIENCIA</w:t>
      </w:r>
      <w:r w:rsidRPr="00DD32DB">
        <w:rPr>
          <w:rFonts w:ascii="Verdana" w:hAnsi="Verdana"/>
          <w:sz w:val="22"/>
          <w:szCs w:val="22"/>
        </w:rPr>
        <w:t>.</w:t>
      </w:r>
    </w:p>
    <w:p w14:paraId="4D2AB1D1" w14:textId="521CB3ED" w:rsidR="00DD32DB" w:rsidRPr="00DD32DB" w:rsidRDefault="00DD32DB" w:rsidP="00411525">
      <w:pPr>
        <w:tabs>
          <w:tab w:val="left" w:pos="1680"/>
        </w:tabs>
        <w:rPr>
          <w:rFonts w:ascii="Verdana" w:hAnsi="Verdana"/>
          <w:sz w:val="22"/>
          <w:szCs w:val="22"/>
        </w:rPr>
      </w:pPr>
      <w:bookmarkStart w:id="10" w:name="8"/>
      <w:r w:rsidRPr="00396944">
        <w:rPr>
          <w:rFonts w:ascii="Verdana" w:hAnsi="Verdana"/>
          <w:b/>
          <w:bCs/>
          <w:sz w:val="22"/>
          <w:szCs w:val="22"/>
        </w:rPr>
        <w:t>ARTÍCULO 8o. EQUIVALENCIAS</w:t>
      </w:r>
      <w:bookmarkEnd w:id="10"/>
      <w:r w:rsidR="00396944">
        <w:rPr>
          <w:rFonts w:ascii="Verdana" w:hAnsi="Verdana"/>
          <w:sz w:val="22"/>
          <w:szCs w:val="22"/>
        </w:rPr>
        <w:t xml:space="preserve">. </w:t>
      </w:r>
      <w:r w:rsidRPr="00DD32DB">
        <w:rPr>
          <w:rFonts w:ascii="Verdana" w:hAnsi="Verdana"/>
          <w:sz w:val="22"/>
          <w:szCs w:val="22"/>
        </w:rPr>
        <w:t xml:space="preserve">De acuerdo con la jerarquía, obligaciones, competencias y responsabilidades de cada contrato, se podrá dar aplicación a </w:t>
      </w:r>
      <w:r w:rsidRPr="00DD32DB">
        <w:rPr>
          <w:rFonts w:ascii="Verdana" w:hAnsi="Verdana"/>
          <w:sz w:val="22"/>
          <w:szCs w:val="22"/>
        </w:rPr>
        <w:lastRenderedPageBreak/>
        <w:t>las equivalencias señaladas en el Anexo número 2 de la presente Resolución, denominado “Tabla de equivalencias”.</w:t>
      </w:r>
    </w:p>
    <w:p w14:paraId="79F48F3D" w14:textId="77777777" w:rsidR="00DD32DB" w:rsidRPr="00DD32DB" w:rsidRDefault="00DD32DB" w:rsidP="00411525">
      <w:pPr>
        <w:tabs>
          <w:tab w:val="left" w:pos="1680"/>
        </w:tabs>
        <w:rPr>
          <w:rFonts w:ascii="Verdana" w:hAnsi="Verdana"/>
          <w:sz w:val="22"/>
          <w:szCs w:val="22"/>
        </w:rPr>
      </w:pPr>
      <w:bookmarkStart w:id="11" w:name="CAPÍTULO_IV"/>
      <w:r w:rsidRPr="00DD32DB">
        <w:rPr>
          <w:rFonts w:ascii="Verdana" w:hAnsi="Verdana"/>
          <w:b/>
          <w:bCs/>
          <w:sz w:val="22"/>
          <w:szCs w:val="22"/>
        </w:rPr>
        <w:t>CAPÍTULO IV.</w:t>
      </w:r>
      <w:bookmarkEnd w:id="11"/>
    </w:p>
    <w:p w14:paraId="3CB02A1D" w14:textId="69EF76F6"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DISPOSICIONES VARIAS.</w:t>
      </w:r>
    </w:p>
    <w:p w14:paraId="090AF932" w14:textId="3B28CB00" w:rsidR="00DD32DB" w:rsidRPr="00DD32DB" w:rsidRDefault="00DD32DB" w:rsidP="00411525">
      <w:pPr>
        <w:tabs>
          <w:tab w:val="left" w:pos="1680"/>
        </w:tabs>
        <w:rPr>
          <w:rFonts w:ascii="Verdana" w:hAnsi="Verdana"/>
          <w:sz w:val="22"/>
          <w:szCs w:val="22"/>
        </w:rPr>
      </w:pPr>
      <w:bookmarkStart w:id="12" w:name="9"/>
      <w:r w:rsidRPr="00DD32DB">
        <w:rPr>
          <w:rFonts w:ascii="Verdana" w:hAnsi="Verdana"/>
          <w:b/>
          <w:bCs/>
          <w:sz w:val="22"/>
          <w:szCs w:val="22"/>
        </w:rPr>
        <w:t>ARTÍCULO 9o. ADOPCIÓN TABLA DE HONORARIOS.</w:t>
      </w:r>
      <w:bookmarkEnd w:id="12"/>
      <w:r w:rsidRPr="00DD32DB">
        <w:rPr>
          <w:rFonts w:ascii="Verdana" w:hAnsi="Verdana"/>
          <w:sz w:val="22"/>
          <w:szCs w:val="22"/>
        </w:rPr>
        <w:t> </w:t>
      </w:r>
      <w:r w:rsidR="00396944" w:rsidRPr="00DD32DB">
        <w:rPr>
          <w:rFonts w:ascii="Verdana" w:hAnsi="Verdana"/>
          <w:sz w:val="22"/>
          <w:szCs w:val="22"/>
        </w:rPr>
        <w:t xml:space="preserve"> </w:t>
      </w:r>
      <w:r w:rsidRPr="00DD32DB">
        <w:rPr>
          <w:rFonts w:ascii="Verdana" w:hAnsi="Verdana"/>
          <w:sz w:val="22"/>
          <w:szCs w:val="22"/>
        </w:rPr>
        <w:t>Adóptese la “Tabla de Honorarios, Perfiles y Requisitos del ICBF” contenida en el Anexo 1, la cual será aplicable a los contratos de prestación de servicios del Instituto Colombiano de Bienestar Familiar.</w:t>
      </w:r>
    </w:p>
    <w:p w14:paraId="0506BACD" w14:textId="3F3E7917" w:rsidR="00DD32DB" w:rsidRPr="00DD32DB" w:rsidRDefault="00DD32DB" w:rsidP="00411525">
      <w:pPr>
        <w:tabs>
          <w:tab w:val="left" w:pos="1680"/>
        </w:tabs>
        <w:rPr>
          <w:rFonts w:ascii="Verdana" w:hAnsi="Verdana"/>
          <w:sz w:val="22"/>
          <w:szCs w:val="22"/>
        </w:rPr>
      </w:pPr>
      <w:bookmarkStart w:id="13" w:name="10"/>
      <w:r w:rsidRPr="00DD32DB">
        <w:rPr>
          <w:rFonts w:ascii="Verdana" w:hAnsi="Verdana"/>
          <w:b/>
          <w:bCs/>
          <w:sz w:val="22"/>
          <w:szCs w:val="22"/>
        </w:rPr>
        <w:t>ARTÍCULO 10</w:t>
      </w:r>
      <w:r w:rsidR="00D949D0">
        <w:rPr>
          <w:rFonts w:ascii="Verdana" w:hAnsi="Verdana"/>
          <w:b/>
          <w:bCs/>
          <w:sz w:val="22"/>
          <w:szCs w:val="22"/>
        </w:rPr>
        <w:t>o</w:t>
      </w:r>
      <w:r w:rsidRPr="00DD32DB">
        <w:rPr>
          <w:rFonts w:ascii="Verdana" w:hAnsi="Verdana"/>
          <w:b/>
          <w:bCs/>
          <w:sz w:val="22"/>
          <w:szCs w:val="22"/>
        </w:rPr>
        <w:t>. CATEGORÍA PROFESIONAL ALTAMENTE CALIFICADO.</w:t>
      </w:r>
      <w:bookmarkEnd w:id="13"/>
      <w:r w:rsidRPr="00DD32DB">
        <w:rPr>
          <w:rFonts w:ascii="Verdana" w:hAnsi="Verdana"/>
          <w:sz w:val="22"/>
          <w:szCs w:val="22"/>
        </w:rPr>
        <w:t> </w:t>
      </w:r>
      <w:r w:rsidR="00ED422B" w:rsidRPr="00D949D0">
        <w:rPr>
          <w:rFonts w:ascii="Verdana" w:hAnsi="Verdana"/>
          <w:sz w:val="22"/>
          <w:szCs w:val="22"/>
        </w:rPr>
        <w:t>[</w:t>
      </w:r>
      <w:r w:rsidRPr="00DD32DB">
        <w:rPr>
          <w:rFonts w:ascii="Verdana" w:hAnsi="Verdana"/>
          <w:sz w:val="22"/>
          <w:szCs w:val="22"/>
        </w:rPr>
        <w:t>Resolución derogada por el artículo 6 de la Resolución 7794 de 2014</w:t>
      </w:r>
      <w:r w:rsidR="00ED422B" w:rsidRPr="00D949D0">
        <w:rPr>
          <w:rFonts w:ascii="Verdana" w:hAnsi="Verdana"/>
          <w:sz w:val="22"/>
          <w:szCs w:val="22"/>
        </w:rPr>
        <w:t>]</w:t>
      </w:r>
      <w:r w:rsidRPr="00DD32DB">
        <w:rPr>
          <w:rFonts w:ascii="Verdana" w:hAnsi="Verdana"/>
          <w:b/>
          <w:bCs/>
          <w:sz w:val="22"/>
          <w:szCs w:val="22"/>
        </w:rPr>
        <w:t> </w:t>
      </w:r>
      <w:r w:rsidRPr="00DD32DB">
        <w:rPr>
          <w:rFonts w:ascii="Verdana" w:hAnsi="Verdana"/>
          <w:sz w:val="22"/>
          <w:szCs w:val="22"/>
        </w:rPr>
        <w:t>Se entiende por servicios altamente calificados aquellos requeridos en situaciones de alto nivel de especialidad, complejidad y detalle.</w:t>
      </w:r>
    </w:p>
    <w:p w14:paraId="6E38F075"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PARÁGRAFO.</w:t>
      </w:r>
      <w:r w:rsidRPr="00DD32DB">
        <w:rPr>
          <w:rFonts w:ascii="Verdana" w:hAnsi="Verdana"/>
          <w:sz w:val="22"/>
          <w:szCs w:val="22"/>
        </w:rPr>
        <w:t> De manera excepcional, para aquellos eventos en los que se requiera contratar servicios altamente calificados, el Representante Legal del ICBF deberá certificar el cumplimiento de los siguientes aspectos:</w:t>
      </w:r>
    </w:p>
    <w:p w14:paraId="196DBC3B" w14:textId="3521F665" w:rsidR="00DD32DB" w:rsidRPr="00D949D0" w:rsidRDefault="00DD32DB" w:rsidP="00D949D0">
      <w:pPr>
        <w:pStyle w:val="Prrafodelista"/>
        <w:numPr>
          <w:ilvl w:val="0"/>
          <w:numId w:val="3"/>
        </w:numPr>
        <w:tabs>
          <w:tab w:val="left" w:pos="1680"/>
        </w:tabs>
        <w:rPr>
          <w:rFonts w:ascii="Verdana" w:hAnsi="Verdana"/>
          <w:sz w:val="22"/>
          <w:szCs w:val="22"/>
        </w:rPr>
      </w:pPr>
      <w:r w:rsidRPr="00D949D0">
        <w:rPr>
          <w:rFonts w:ascii="Verdana" w:hAnsi="Verdana"/>
          <w:sz w:val="22"/>
          <w:szCs w:val="22"/>
        </w:rPr>
        <w:t>Justificar la necesidad del servicio personal altamente calificado;</w:t>
      </w:r>
    </w:p>
    <w:p w14:paraId="21DAE380" w14:textId="39E37842" w:rsidR="00DD32DB" w:rsidRPr="00D949D0" w:rsidRDefault="00DD32DB" w:rsidP="00D949D0">
      <w:pPr>
        <w:pStyle w:val="Prrafodelista"/>
        <w:numPr>
          <w:ilvl w:val="0"/>
          <w:numId w:val="3"/>
        </w:numPr>
        <w:tabs>
          <w:tab w:val="left" w:pos="1680"/>
        </w:tabs>
        <w:rPr>
          <w:rFonts w:ascii="Verdana" w:hAnsi="Verdana"/>
          <w:sz w:val="22"/>
          <w:szCs w:val="22"/>
        </w:rPr>
      </w:pPr>
      <w:r w:rsidRPr="00D949D0">
        <w:rPr>
          <w:rFonts w:ascii="Verdana" w:hAnsi="Verdana"/>
          <w:sz w:val="22"/>
          <w:szCs w:val="22"/>
        </w:rPr>
        <w:t>Indicar las características y calidades específicas altamente calificadas que reúne el contratista para la ejecución del contrato; y</w:t>
      </w:r>
    </w:p>
    <w:p w14:paraId="3E5DCC72" w14:textId="30EDC781" w:rsidR="00DD32DB" w:rsidRPr="00D949D0" w:rsidRDefault="00DD32DB" w:rsidP="00411525">
      <w:pPr>
        <w:pStyle w:val="Prrafodelista"/>
        <w:numPr>
          <w:ilvl w:val="0"/>
          <w:numId w:val="3"/>
        </w:numPr>
        <w:tabs>
          <w:tab w:val="left" w:pos="1680"/>
        </w:tabs>
        <w:rPr>
          <w:rFonts w:ascii="Verdana" w:hAnsi="Verdana"/>
          <w:sz w:val="22"/>
          <w:szCs w:val="22"/>
        </w:rPr>
      </w:pPr>
      <w:r w:rsidRPr="00D949D0">
        <w:rPr>
          <w:rFonts w:ascii="Verdana" w:hAnsi="Verdana"/>
          <w:sz w:val="22"/>
          <w:szCs w:val="22"/>
        </w:rPr>
        <w:t>Determinar las características de los productos y/o servicios que se espera obtener.</w:t>
      </w:r>
    </w:p>
    <w:p w14:paraId="53A2D7E9" w14:textId="60820E60" w:rsidR="00DD32DB" w:rsidRPr="00DD32DB" w:rsidRDefault="00DD32DB" w:rsidP="00411525">
      <w:pPr>
        <w:tabs>
          <w:tab w:val="left" w:pos="1680"/>
        </w:tabs>
        <w:rPr>
          <w:rFonts w:ascii="Verdana" w:hAnsi="Verdana"/>
          <w:sz w:val="22"/>
          <w:szCs w:val="22"/>
        </w:rPr>
      </w:pPr>
      <w:bookmarkStart w:id="14" w:name="11"/>
      <w:r w:rsidRPr="00DD32DB">
        <w:rPr>
          <w:rFonts w:ascii="Verdana" w:hAnsi="Verdana"/>
          <w:b/>
          <w:bCs/>
          <w:sz w:val="22"/>
          <w:szCs w:val="22"/>
        </w:rPr>
        <w:t>ARTÍCULO 11</w:t>
      </w:r>
      <w:r w:rsidR="00D949D0">
        <w:rPr>
          <w:rFonts w:ascii="Verdana" w:hAnsi="Verdana"/>
          <w:b/>
          <w:bCs/>
          <w:sz w:val="22"/>
          <w:szCs w:val="22"/>
        </w:rPr>
        <w:t>o</w:t>
      </w:r>
      <w:r w:rsidRPr="00DD32DB">
        <w:rPr>
          <w:rFonts w:ascii="Verdana" w:hAnsi="Verdana"/>
          <w:b/>
          <w:bCs/>
          <w:sz w:val="22"/>
          <w:szCs w:val="22"/>
        </w:rPr>
        <w:t>. ACTUALIZACIÓN.</w:t>
      </w:r>
      <w:bookmarkEnd w:id="14"/>
      <w:r w:rsidRPr="00DD32DB">
        <w:rPr>
          <w:rFonts w:ascii="Verdana" w:hAnsi="Verdana"/>
          <w:sz w:val="22"/>
          <w:szCs w:val="22"/>
        </w:rPr>
        <w:t> </w:t>
      </w:r>
      <w:r w:rsidR="00396944" w:rsidRPr="00DD32DB">
        <w:rPr>
          <w:rFonts w:ascii="Verdana" w:hAnsi="Verdana"/>
          <w:sz w:val="22"/>
          <w:szCs w:val="22"/>
        </w:rPr>
        <w:t xml:space="preserve"> </w:t>
      </w:r>
      <w:r w:rsidRPr="00DD32DB">
        <w:rPr>
          <w:rFonts w:ascii="Verdana" w:hAnsi="Verdana"/>
          <w:sz w:val="22"/>
          <w:szCs w:val="22"/>
        </w:rPr>
        <w:t xml:space="preserve">Los honorarios establecidos mediante la presente resolución se actualizarán anualmente, </w:t>
      </w:r>
      <w:proofErr w:type="gramStart"/>
      <w:r w:rsidRPr="00DD32DB">
        <w:rPr>
          <w:rFonts w:ascii="Verdana" w:hAnsi="Verdana"/>
          <w:sz w:val="22"/>
          <w:szCs w:val="22"/>
        </w:rPr>
        <w:t>de acuerdo a</w:t>
      </w:r>
      <w:proofErr w:type="gramEnd"/>
      <w:r w:rsidRPr="00DD32DB">
        <w:rPr>
          <w:rFonts w:ascii="Verdana" w:hAnsi="Verdana"/>
          <w:sz w:val="22"/>
          <w:szCs w:val="22"/>
        </w:rPr>
        <w:t xml:space="preserve"> las directrices remitidas por el Ministerio de Hacienda y Crédito Público para el anteproyecto del presupuesto del respectivo año.</w:t>
      </w:r>
    </w:p>
    <w:p w14:paraId="617A6EF2" w14:textId="7E7DC623" w:rsidR="00DD32DB" w:rsidRPr="00DD32DB" w:rsidRDefault="00DD32DB" w:rsidP="00411525">
      <w:pPr>
        <w:tabs>
          <w:tab w:val="left" w:pos="1680"/>
        </w:tabs>
        <w:rPr>
          <w:rFonts w:ascii="Verdana" w:hAnsi="Verdana"/>
          <w:sz w:val="22"/>
          <w:szCs w:val="22"/>
        </w:rPr>
      </w:pPr>
      <w:bookmarkStart w:id="15" w:name="12"/>
      <w:r w:rsidRPr="00DD32DB">
        <w:rPr>
          <w:rFonts w:ascii="Verdana" w:hAnsi="Verdana"/>
          <w:b/>
          <w:bCs/>
          <w:sz w:val="22"/>
          <w:szCs w:val="22"/>
        </w:rPr>
        <w:t>ARTÍCULO 12</w:t>
      </w:r>
      <w:r w:rsidR="00D949D0">
        <w:rPr>
          <w:rFonts w:ascii="Verdana" w:hAnsi="Verdana"/>
          <w:b/>
          <w:bCs/>
          <w:sz w:val="22"/>
          <w:szCs w:val="22"/>
        </w:rPr>
        <w:t>o</w:t>
      </w:r>
      <w:r w:rsidRPr="00DD32DB">
        <w:rPr>
          <w:rFonts w:ascii="Verdana" w:hAnsi="Verdana"/>
          <w:b/>
          <w:bCs/>
          <w:sz w:val="22"/>
          <w:szCs w:val="22"/>
        </w:rPr>
        <w:t>.</w:t>
      </w:r>
      <w:bookmarkEnd w:id="15"/>
      <w:r w:rsidRPr="00DD32DB">
        <w:rPr>
          <w:rFonts w:ascii="Verdana" w:hAnsi="Verdana"/>
          <w:sz w:val="22"/>
          <w:szCs w:val="22"/>
        </w:rPr>
        <w:t> </w:t>
      </w:r>
      <w:r w:rsidR="00ED422B" w:rsidRPr="00D949D0">
        <w:rPr>
          <w:rFonts w:ascii="Verdana" w:hAnsi="Verdana"/>
          <w:sz w:val="22"/>
          <w:szCs w:val="22"/>
        </w:rPr>
        <w:t>[</w:t>
      </w:r>
      <w:r w:rsidRPr="00DD32DB">
        <w:rPr>
          <w:rFonts w:ascii="Verdana" w:hAnsi="Verdana"/>
          <w:sz w:val="22"/>
          <w:szCs w:val="22"/>
        </w:rPr>
        <w:t>Resolución derogada por el artículo 6 de la Resolución 7794 de 2014</w:t>
      </w:r>
      <w:r w:rsidR="00ED422B" w:rsidRPr="00D949D0">
        <w:rPr>
          <w:rFonts w:ascii="Verdana" w:hAnsi="Verdana"/>
          <w:sz w:val="22"/>
          <w:szCs w:val="22"/>
        </w:rPr>
        <w:t>]</w:t>
      </w:r>
      <w:r w:rsidRPr="00DD32DB">
        <w:rPr>
          <w:rFonts w:ascii="Verdana" w:hAnsi="Verdana"/>
          <w:b/>
          <w:bCs/>
          <w:sz w:val="22"/>
          <w:szCs w:val="22"/>
        </w:rPr>
        <w:t> </w:t>
      </w:r>
      <w:r w:rsidRPr="00DD32DB">
        <w:rPr>
          <w:rFonts w:ascii="Verdana" w:hAnsi="Verdana"/>
          <w:sz w:val="22"/>
          <w:szCs w:val="22"/>
        </w:rPr>
        <w:t>Las Direcciones Regionales del ICBF contratarán sus necesidades de conformidad con las necesidades y rangos aprobados en la Dirección General.</w:t>
      </w:r>
    </w:p>
    <w:p w14:paraId="30FF309A" w14:textId="2D07BE48" w:rsidR="00DD32DB" w:rsidRPr="00DD32DB" w:rsidRDefault="00DD32DB" w:rsidP="00411525">
      <w:pPr>
        <w:tabs>
          <w:tab w:val="left" w:pos="1680"/>
        </w:tabs>
        <w:rPr>
          <w:rFonts w:ascii="Verdana" w:hAnsi="Verdana"/>
          <w:sz w:val="22"/>
          <w:szCs w:val="22"/>
        </w:rPr>
      </w:pPr>
      <w:bookmarkStart w:id="16" w:name="13"/>
      <w:r w:rsidRPr="00DD32DB">
        <w:rPr>
          <w:rFonts w:ascii="Verdana" w:hAnsi="Verdana"/>
          <w:b/>
          <w:bCs/>
          <w:sz w:val="22"/>
          <w:szCs w:val="22"/>
        </w:rPr>
        <w:t>ARTÍCULO 13</w:t>
      </w:r>
      <w:r w:rsidR="00D949D0">
        <w:rPr>
          <w:rFonts w:ascii="Verdana" w:hAnsi="Verdana"/>
          <w:b/>
          <w:bCs/>
          <w:sz w:val="22"/>
          <w:szCs w:val="22"/>
        </w:rPr>
        <w:t>o</w:t>
      </w:r>
      <w:r w:rsidRPr="00DD32DB">
        <w:rPr>
          <w:rFonts w:ascii="Verdana" w:hAnsi="Verdana"/>
          <w:b/>
          <w:bCs/>
          <w:sz w:val="22"/>
          <w:szCs w:val="22"/>
        </w:rPr>
        <w:t>. VIGENCIA Y DEROGATORIA.</w:t>
      </w:r>
      <w:bookmarkEnd w:id="16"/>
      <w:r w:rsidRPr="00DD32DB">
        <w:rPr>
          <w:rFonts w:ascii="Verdana" w:hAnsi="Verdana"/>
          <w:sz w:val="22"/>
          <w:szCs w:val="22"/>
        </w:rPr>
        <w:t> </w:t>
      </w:r>
      <w:r w:rsidR="00ED422B" w:rsidRPr="00396944">
        <w:rPr>
          <w:rFonts w:ascii="Verdana" w:hAnsi="Verdana"/>
          <w:sz w:val="22"/>
          <w:szCs w:val="22"/>
        </w:rPr>
        <w:t>[</w:t>
      </w:r>
      <w:r w:rsidRPr="00396944">
        <w:rPr>
          <w:rFonts w:ascii="Verdana" w:hAnsi="Verdana"/>
          <w:sz w:val="22"/>
          <w:szCs w:val="22"/>
        </w:rPr>
        <w:t>Resolución derogada por el artículo 6 de la Resolución 7794 de 2014</w:t>
      </w:r>
      <w:r w:rsidR="00ED422B" w:rsidRPr="00396944">
        <w:rPr>
          <w:rFonts w:ascii="Verdana" w:hAnsi="Verdana"/>
          <w:sz w:val="22"/>
          <w:szCs w:val="22"/>
        </w:rPr>
        <w:t>]</w:t>
      </w:r>
      <w:r w:rsidRPr="00DD32DB">
        <w:rPr>
          <w:rFonts w:ascii="Verdana" w:hAnsi="Verdana"/>
          <w:b/>
          <w:bCs/>
          <w:sz w:val="22"/>
          <w:szCs w:val="22"/>
        </w:rPr>
        <w:t> </w:t>
      </w:r>
      <w:r w:rsidRPr="00DD32DB">
        <w:rPr>
          <w:rFonts w:ascii="Verdana" w:hAnsi="Verdana"/>
          <w:sz w:val="22"/>
          <w:szCs w:val="22"/>
        </w:rPr>
        <w:t>La presente resolución rige a partir de su expedición y deroga las disposiciones que le son contrarias, especialmente la Resolución número 638 de 2012.</w:t>
      </w:r>
    </w:p>
    <w:p w14:paraId="48F852FF" w14:textId="15D746D1" w:rsidR="00DD32DB" w:rsidRPr="00DD32DB" w:rsidRDefault="00D949D0" w:rsidP="00411525">
      <w:pPr>
        <w:tabs>
          <w:tab w:val="left" w:pos="1680"/>
        </w:tabs>
        <w:rPr>
          <w:rFonts w:ascii="Verdana" w:hAnsi="Verdana"/>
          <w:b/>
          <w:bCs/>
          <w:sz w:val="22"/>
          <w:szCs w:val="22"/>
        </w:rPr>
      </w:pPr>
      <w:r w:rsidRPr="00D949D0">
        <w:rPr>
          <w:rFonts w:ascii="Verdana" w:hAnsi="Verdana"/>
          <w:b/>
          <w:bCs/>
          <w:sz w:val="22"/>
          <w:szCs w:val="22"/>
        </w:rPr>
        <w:t>PUBLÍQUESE, COMUNÍQUESE Y CÚMPLASE</w:t>
      </w:r>
      <w:r>
        <w:rPr>
          <w:rFonts w:ascii="Verdana" w:hAnsi="Verdana"/>
          <w:b/>
          <w:bCs/>
          <w:sz w:val="22"/>
          <w:szCs w:val="22"/>
        </w:rPr>
        <w:t xml:space="preserve">, </w:t>
      </w:r>
    </w:p>
    <w:p w14:paraId="7994CC50" w14:textId="667E0BD0" w:rsidR="00DD32DB" w:rsidRPr="00DD32DB" w:rsidRDefault="00DD32DB" w:rsidP="00411525">
      <w:pPr>
        <w:tabs>
          <w:tab w:val="left" w:pos="1680"/>
        </w:tabs>
        <w:rPr>
          <w:rFonts w:ascii="Verdana" w:hAnsi="Verdana"/>
          <w:sz w:val="22"/>
          <w:szCs w:val="22"/>
        </w:rPr>
      </w:pPr>
      <w:r w:rsidRPr="00DD32DB">
        <w:rPr>
          <w:rFonts w:ascii="Verdana" w:hAnsi="Verdana"/>
          <w:sz w:val="22"/>
          <w:szCs w:val="22"/>
        </w:rPr>
        <w:t xml:space="preserve">Dada en Bogotá, D. C., a </w:t>
      </w:r>
      <w:r w:rsidR="00D949D0">
        <w:rPr>
          <w:rFonts w:ascii="Verdana" w:hAnsi="Verdana"/>
          <w:sz w:val="22"/>
          <w:szCs w:val="22"/>
        </w:rPr>
        <w:t xml:space="preserve">los </w:t>
      </w:r>
      <w:r w:rsidRPr="00DD32DB">
        <w:rPr>
          <w:rFonts w:ascii="Verdana" w:hAnsi="Verdana"/>
          <w:sz w:val="22"/>
          <w:szCs w:val="22"/>
        </w:rPr>
        <w:t>20</w:t>
      </w:r>
      <w:r w:rsidR="00D949D0">
        <w:rPr>
          <w:rFonts w:ascii="Verdana" w:hAnsi="Verdana"/>
          <w:sz w:val="22"/>
          <w:szCs w:val="22"/>
        </w:rPr>
        <w:t xml:space="preserve"> días del mes</w:t>
      </w:r>
      <w:r w:rsidRPr="00DD32DB">
        <w:rPr>
          <w:rFonts w:ascii="Verdana" w:hAnsi="Verdana"/>
          <w:sz w:val="22"/>
          <w:szCs w:val="22"/>
        </w:rPr>
        <w:t xml:space="preserve"> de septiembre de 2012.</w:t>
      </w:r>
    </w:p>
    <w:p w14:paraId="14515DEC" w14:textId="77777777" w:rsidR="00D949D0" w:rsidRPr="00DD32DB" w:rsidRDefault="00D949D0" w:rsidP="00396944">
      <w:pPr>
        <w:tabs>
          <w:tab w:val="left" w:pos="1680"/>
        </w:tabs>
        <w:jc w:val="center"/>
        <w:rPr>
          <w:rFonts w:ascii="Verdana" w:hAnsi="Verdana"/>
          <w:sz w:val="22"/>
          <w:szCs w:val="22"/>
        </w:rPr>
      </w:pPr>
      <w:r w:rsidRPr="00DD32DB">
        <w:rPr>
          <w:rFonts w:ascii="Verdana" w:hAnsi="Verdana"/>
          <w:b/>
          <w:bCs/>
          <w:sz w:val="22"/>
          <w:szCs w:val="22"/>
        </w:rPr>
        <w:t>DIEGO ANDRÉS MOLANO APONTE.</w:t>
      </w:r>
    </w:p>
    <w:p w14:paraId="5C6F046F" w14:textId="322CD800" w:rsidR="00DD32DB" w:rsidRPr="00DD32DB" w:rsidRDefault="00D949D0" w:rsidP="00396944">
      <w:pPr>
        <w:tabs>
          <w:tab w:val="left" w:pos="1680"/>
        </w:tabs>
        <w:jc w:val="center"/>
        <w:rPr>
          <w:rFonts w:ascii="Verdana" w:hAnsi="Verdana"/>
          <w:sz w:val="22"/>
          <w:szCs w:val="22"/>
        </w:rPr>
      </w:pPr>
      <w:r w:rsidRPr="00DD32DB">
        <w:rPr>
          <w:rFonts w:ascii="Verdana" w:hAnsi="Verdana"/>
          <w:sz w:val="22"/>
          <w:szCs w:val="22"/>
        </w:rPr>
        <w:t>EL DIRECTOR GENERAL</w:t>
      </w:r>
    </w:p>
    <w:p w14:paraId="0B046FC8" w14:textId="77777777" w:rsidR="00396944" w:rsidRDefault="00396944" w:rsidP="00411525">
      <w:pPr>
        <w:tabs>
          <w:tab w:val="left" w:pos="1680"/>
        </w:tabs>
        <w:rPr>
          <w:rFonts w:ascii="Verdana" w:hAnsi="Verdana"/>
          <w:sz w:val="22"/>
          <w:szCs w:val="22"/>
        </w:rPr>
      </w:pPr>
    </w:p>
    <w:p w14:paraId="4C892B73" w14:textId="3A2726B3" w:rsidR="00DD32DB" w:rsidRPr="00DD32DB" w:rsidRDefault="00ED422B" w:rsidP="00411525">
      <w:pPr>
        <w:tabs>
          <w:tab w:val="left" w:pos="1680"/>
        </w:tabs>
        <w:rPr>
          <w:rFonts w:ascii="Verdana" w:hAnsi="Verdana"/>
          <w:sz w:val="22"/>
          <w:szCs w:val="22"/>
        </w:rPr>
      </w:pPr>
      <w:r>
        <w:rPr>
          <w:rFonts w:ascii="Verdana" w:hAnsi="Verdana"/>
          <w:sz w:val="22"/>
          <w:szCs w:val="22"/>
        </w:rPr>
        <w:t>[</w:t>
      </w:r>
      <w:r w:rsidR="00DD32DB" w:rsidRPr="00DD32DB">
        <w:rPr>
          <w:rFonts w:ascii="Verdana" w:hAnsi="Verdana"/>
          <w:sz w:val="22"/>
          <w:szCs w:val="22"/>
        </w:rPr>
        <w:t>Tabla modificada por el artículo 2 de la Resolución 8075 de 2012.</w:t>
      </w:r>
      <w:r>
        <w:rPr>
          <w:rFonts w:ascii="Verdana" w:hAnsi="Verdana"/>
          <w:sz w:val="22"/>
          <w:szCs w:val="22"/>
        </w:rPr>
        <w:t>]</w:t>
      </w:r>
    </w:p>
    <w:p w14:paraId="7120CE73"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Tabla de honorarios, perfiles y requisitos del ICF</w:t>
      </w:r>
    </w:p>
    <w:tbl>
      <w:tblPr>
        <w:tblW w:w="3850" w:type="pct"/>
        <w:tblCellSpacing w:w="15" w:type="dxa"/>
        <w:tblInd w:w="14" w:type="dxa"/>
        <w:tblCellMar>
          <w:top w:w="15" w:type="dxa"/>
          <w:left w:w="15" w:type="dxa"/>
          <w:bottom w:w="15" w:type="dxa"/>
          <w:right w:w="15" w:type="dxa"/>
        </w:tblCellMar>
        <w:tblLook w:val="04A0" w:firstRow="1" w:lastRow="0" w:firstColumn="1" w:lastColumn="0" w:noHBand="0" w:noVBand="1"/>
      </w:tblPr>
      <w:tblGrid>
        <w:gridCol w:w="1463"/>
        <w:gridCol w:w="483"/>
        <w:gridCol w:w="1054"/>
        <w:gridCol w:w="744"/>
        <w:gridCol w:w="1185"/>
        <w:gridCol w:w="946"/>
        <w:gridCol w:w="698"/>
        <w:gridCol w:w="786"/>
        <w:gridCol w:w="389"/>
        <w:gridCol w:w="1056"/>
      </w:tblGrid>
      <w:tr w:rsidR="00DD32DB" w:rsidRPr="00DD32DB" w14:paraId="080B1BB9" w14:textId="77777777" w:rsidTr="00411525">
        <w:trPr>
          <w:gridAfter w:val="2"/>
          <w:wAfter w:w="2372" w:type="dxa"/>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9CF72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lastRenderedPageBreak/>
              <w:t>Categoría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C28A3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Nivel</w:t>
            </w:r>
          </w:p>
        </w:tc>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3DC4F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Requisitos mínimos</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B9EEC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Valor $</w:t>
            </w:r>
            <w:r w:rsidRPr="00DD32DB">
              <w:rPr>
                <w:rFonts w:ascii="Verdana" w:hAnsi="Verdana"/>
                <w:sz w:val="22"/>
                <w:szCs w:val="22"/>
              </w:rPr>
              <w:br/>
              <w:t>honorarios 2012</w:t>
            </w:r>
          </w:p>
        </w:tc>
      </w:tr>
      <w:tr w:rsidR="00DD32DB" w:rsidRPr="00DD32DB" w14:paraId="0D0809AF" w14:textId="77777777" w:rsidTr="00411525">
        <w:trPr>
          <w:gridAfter w:val="2"/>
          <w:wAfter w:w="2372" w:type="dxa"/>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D33353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8E455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xml:space="preserve">Universidad Maestría Especializado Tecnología Técnica Bachiller </w:t>
            </w:r>
            <w:proofErr w:type="spellStart"/>
            <w:r w:rsidRPr="00DD32DB">
              <w:rPr>
                <w:rFonts w:ascii="Verdana" w:hAnsi="Verdana"/>
                <w:sz w:val="22"/>
                <w:szCs w:val="22"/>
              </w:rPr>
              <w:t>Exp</w:t>
            </w:r>
            <w:proofErr w:type="spellEnd"/>
            <w:r w:rsidRPr="00DD32DB">
              <w:rPr>
                <w:rFonts w:ascii="Verdana" w:hAnsi="Verdana"/>
                <w:sz w:val="22"/>
                <w:szCs w:val="22"/>
              </w:rPr>
              <w:t>. Meses</w:t>
            </w:r>
          </w:p>
        </w:tc>
      </w:tr>
      <w:tr w:rsidR="00DD32DB" w:rsidRPr="00DD32DB" w14:paraId="53447F0D" w14:textId="77777777" w:rsidTr="00411525">
        <w:trPr>
          <w:gridAfter w:val="2"/>
          <w:wAfter w:w="2372" w:type="dxa"/>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682C9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PROFESIONAL ALTAMEN- TE CALIFICADO</w:t>
            </w:r>
          </w:p>
        </w:tc>
        <w:tc>
          <w:tcPr>
            <w:tcW w:w="32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F8317D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Únicamente los requeridos para asuntos de alto nivel de especialidad, complejidad y</w:t>
            </w:r>
            <w:r w:rsidRPr="00DD32DB">
              <w:rPr>
                <w:rFonts w:ascii="Verdana" w:hAnsi="Verdana"/>
                <w:sz w:val="22"/>
                <w:szCs w:val="22"/>
              </w:rPr>
              <w:br/>
              <w:t>detalle</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36401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$22.000.000</w:t>
            </w:r>
          </w:p>
        </w:tc>
      </w:tr>
      <w:tr w:rsidR="00DD32DB" w:rsidRPr="00DD32DB" w14:paraId="6DF32889" w14:textId="77777777" w:rsidTr="00411525">
        <w:trPr>
          <w:gridAfter w:val="2"/>
          <w:wAfter w:w="2372" w:type="dxa"/>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CAFC6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40D9D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A</w:t>
            </w:r>
          </w:p>
        </w:tc>
      </w:tr>
      <w:tr w:rsidR="00DD32DB" w:rsidRPr="00DD32DB" w14:paraId="75403457" w14:textId="77777777" w:rsidTr="00411525">
        <w:trPr>
          <w:gridAfter w:val="2"/>
          <w:wAfter w:w="2372" w:type="dxa"/>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66F88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50" w:type="pct"/>
            <w:gridSpan w:val="6"/>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D58DDC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11.200.000</w:t>
            </w:r>
          </w:p>
        </w:tc>
      </w:tr>
      <w:tr w:rsidR="00DD32DB" w:rsidRPr="00DD32DB" w14:paraId="5741BFF8" w14:textId="77777777" w:rsidTr="00411525">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24D7C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ASESOR ESPECIALIZADO DE APOYO O DE PROGRA- MA MISIONAL, ASESORES EXPERTOS</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76D5F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FB5B6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1EEE6E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51DB76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12228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2C306F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EEEB92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11.190.000</w:t>
            </w:r>
          </w:p>
        </w:tc>
      </w:tr>
      <w:tr w:rsidR="00DD32DB" w:rsidRPr="00DD32DB" w14:paraId="7EC9413A"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6E6CE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55A62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D3E8C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96069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86AE3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D616A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230A22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10.380.000</w:t>
            </w:r>
          </w:p>
        </w:tc>
      </w:tr>
      <w:tr w:rsidR="00DD32DB" w:rsidRPr="00DD32DB" w14:paraId="2977A773"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D83B7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6E259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7A3DD4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46CD01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77363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683A4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84</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691265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9.945.000</w:t>
            </w:r>
          </w:p>
        </w:tc>
      </w:tr>
      <w:tr w:rsidR="00DD32DB" w:rsidRPr="00DD32DB" w14:paraId="477829BC"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E5FBF3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36A18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DF931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1A5AB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168F9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A8EA84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D9CC1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9.390.000</w:t>
            </w:r>
          </w:p>
        </w:tc>
      </w:tr>
      <w:tr w:rsidR="00DD32DB" w:rsidRPr="00DD32DB" w14:paraId="3F62F308"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7E5E9C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46B1B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51C905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3D987B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38168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1C40DF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593C1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8.785.000</w:t>
            </w:r>
          </w:p>
        </w:tc>
      </w:tr>
      <w:tr w:rsidR="00DD32DB" w:rsidRPr="00DD32DB" w14:paraId="4FA8A949" w14:textId="77777777" w:rsidTr="00411525">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21247F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xml:space="preserve">COORDINADOR DE PRO- CESOS, RECURSOS, </w:t>
            </w:r>
            <w:r w:rsidRPr="00DD32DB">
              <w:rPr>
                <w:rFonts w:ascii="Verdana" w:hAnsi="Verdana"/>
                <w:sz w:val="22"/>
                <w:szCs w:val="22"/>
              </w:rPr>
              <w:lastRenderedPageBreak/>
              <w:t>PER- SONAS, ACTIVIDADES, ASESORES</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2604C5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lastRenderedPageBreak/>
              <w:t>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5E600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695E67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FB871B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1EEB88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298DA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2BF02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8.455.000</w:t>
            </w:r>
          </w:p>
        </w:tc>
      </w:tr>
      <w:tr w:rsidR="00DD32DB" w:rsidRPr="00DD32DB" w14:paraId="40D01D06"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4733A4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905B3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4080C2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C6C60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A6D0D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9A6455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BEB26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7.960.000</w:t>
            </w:r>
          </w:p>
        </w:tc>
      </w:tr>
      <w:tr w:rsidR="00DD32DB" w:rsidRPr="00DD32DB" w14:paraId="0F7AB182"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F63AB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370F3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4E91B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37B9F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3E63F4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174F8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84</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51DC3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7.700.000</w:t>
            </w:r>
          </w:p>
        </w:tc>
      </w:tr>
      <w:tr w:rsidR="00DD32DB" w:rsidRPr="00DD32DB" w14:paraId="318131AD"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F8754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6B7453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E5FE9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6554A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6E5EE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43C30C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427AF6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7.093.000</w:t>
            </w:r>
          </w:p>
        </w:tc>
      </w:tr>
      <w:tr w:rsidR="00DD32DB" w:rsidRPr="00DD32DB" w14:paraId="239DF862"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45B8E4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6EA1E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6A9E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3F20F7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471ED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B761DA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5D695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6.655.000</w:t>
            </w:r>
          </w:p>
        </w:tc>
      </w:tr>
      <w:tr w:rsidR="00DD32DB" w:rsidRPr="00DD32DB" w14:paraId="44FE6E04"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E4E84A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446F6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71E5B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871CB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64590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B8AAF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830FB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6.465.000</w:t>
            </w:r>
          </w:p>
        </w:tc>
      </w:tr>
      <w:tr w:rsidR="00DD32DB" w:rsidRPr="00DD32DB" w14:paraId="63B0C811"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FCF726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465E42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EE0E6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AC1AC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B8D14F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69661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7EB34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6.215.000</w:t>
            </w:r>
          </w:p>
        </w:tc>
      </w:tr>
      <w:tr w:rsidR="00DD32DB" w:rsidRPr="00DD32DB" w14:paraId="7FD8C40C" w14:textId="77777777" w:rsidTr="00411525">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F8182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PROFESIONAL ASESOR</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C28FA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20E594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82ED0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CCEEC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F1273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7ABB3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150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6D942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6.039.000</w:t>
            </w:r>
          </w:p>
        </w:tc>
      </w:tr>
      <w:tr w:rsidR="00DD32DB" w:rsidRPr="00DD32DB" w14:paraId="0E9AD233"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9E60F8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EF4C3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4AE7F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0B0D0D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A49465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1C36D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120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70E20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5.910.000</w:t>
            </w:r>
          </w:p>
        </w:tc>
      </w:tr>
      <w:tr w:rsidR="00DD32DB" w:rsidRPr="00DD32DB" w14:paraId="75A41BD1"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7EAAD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6D02C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104BC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337258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5A83E3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6742A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116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E74105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5.780.000</w:t>
            </w:r>
          </w:p>
        </w:tc>
      </w:tr>
      <w:tr w:rsidR="00DD32DB" w:rsidRPr="00DD32DB" w14:paraId="469BFBCD"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CC19F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0BCD2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CA172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E6FFA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EB2E6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F609CE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108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70488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5.595.000</w:t>
            </w:r>
          </w:p>
        </w:tc>
      </w:tr>
      <w:tr w:rsidR="00DD32DB" w:rsidRPr="00DD32DB" w14:paraId="32C8C75B"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917B24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E25B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9A40A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0AF896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3737D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66240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80C9C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5.330.000</w:t>
            </w:r>
          </w:p>
        </w:tc>
      </w:tr>
      <w:tr w:rsidR="00DD32DB" w:rsidRPr="00DD32DB" w14:paraId="52F93195"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B94CA8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10</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62A2FB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74C8A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41CA3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8F67D6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3512A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619B31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5.260.000</w:t>
            </w:r>
          </w:p>
        </w:tc>
      </w:tr>
      <w:tr w:rsidR="00DD32DB" w:rsidRPr="00DD32DB" w14:paraId="5CE32BBF"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EFF71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E6547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B442F4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D697E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8E3BF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9FD57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89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CD026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5.163.000</w:t>
            </w:r>
          </w:p>
        </w:tc>
      </w:tr>
      <w:tr w:rsidR="00DD32DB" w:rsidRPr="00DD32DB" w14:paraId="3ECC7EF1"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2122CE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8</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E51970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B1C8E3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97CB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2819DE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1931CE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83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C7B08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5.000.000</w:t>
            </w:r>
          </w:p>
        </w:tc>
      </w:tr>
      <w:tr w:rsidR="00DD32DB" w:rsidRPr="00DD32DB" w14:paraId="282CCB39"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62EB11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lastRenderedPageBreak/>
              <w:t>7</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4D0C3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DA3E5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95AD4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A2630D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2BDDE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BEDADA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4.855.000</w:t>
            </w:r>
          </w:p>
        </w:tc>
      </w:tr>
      <w:tr w:rsidR="00DD32DB" w:rsidRPr="00DD32DB" w14:paraId="77DD3AA6"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97D097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E1308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0FDFD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0B46C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DA6E39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675BA2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740B2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4.666.000</w:t>
            </w:r>
          </w:p>
        </w:tc>
      </w:tr>
      <w:tr w:rsidR="00DD32DB" w:rsidRPr="00DD32DB" w14:paraId="62F9C46D"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1FDDD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8DDAA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0AA51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6B59F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66211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0FF4B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B2D469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4.476.000</w:t>
            </w:r>
          </w:p>
        </w:tc>
      </w:tr>
      <w:tr w:rsidR="00DD32DB" w:rsidRPr="00DD32DB" w14:paraId="6DCEB62A"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2F184E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85778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4834F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223B76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F409B1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8A16D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89C434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4.350.000</w:t>
            </w:r>
          </w:p>
        </w:tc>
      </w:tr>
      <w:tr w:rsidR="00DD32DB" w:rsidRPr="00DD32DB" w14:paraId="267E19C6"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2F574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93324F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A1DF51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A5059A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78B735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D5BCF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47</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BFCF3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4.168.000</w:t>
            </w:r>
          </w:p>
        </w:tc>
      </w:tr>
      <w:tr w:rsidR="00DD32DB" w:rsidRPr="00DD32DB" w14:paraId="25415019"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AF86C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ED1CBC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18311B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4C834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564D0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FD5215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E6DCC3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3.990.000</w:t>
            </w:r>
          </w:p>
        </w:tc>
      </w:tr>
      <w:tr w:rsidR="00DD32DB" w:rsidRPr="00DD32DB" w14:paraId="09EC3876"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AAA64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EBA9BF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FCF00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D8FF11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621B97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6D481C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34</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18301E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3.860.000</w:t>
            </w:r>
          </w:p>
        </w:tc>
      </w:tr>
      <w:tr w:rsidR="00DD32DB" w:rsidRPr="00DD32DB" w14:paraId="17E31222" w14:textId="77777777" w:rsidTr="00411525">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63EB5E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Categoría</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ED5FB4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Nivel</w:t>
            </w:r>
          </w:p>
        </w:tc>
        <w:tc>
          <w:tcPr>
            <w:tcW w:w="29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2156C6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Requisitos mínimos</w:t>
            </w:r>
          </w:p>
        </w:tc>
        <w:tc>
          <w:tcPr>
            <w:tcW w:w="600" w:type="pct"/>
            <w:gridSpan w:val="5"/>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ED238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Valor $</w:t>
            </w:r>
            <w:r w:rsidRPr="00DD32DB">
              <w:rPr>
                <w:rFonts w:ascii="Verdana" w:hAnsi="Verdana"/>
                <w:sz w:val="22"/>
                <w:szCs w:val="22"/>
              </w:rPr>
              <w:br/>
              <w:t>honorarios 2012</w:t>
            </w:r>
          </w:p>
        </w:tc>
        <w:tc>
          <w:tcPr>
            <w:tcW w:w="0" w:type="auto"/>
            <w:tcMar>
              <w:top w:w="0" w:type="dxa"/>
              <w:left w:w="0" w:type="dxa"/>
              <w:bottom w:w="0" w:type="dxa"/>
              <w:right w:w="0" w:type="dxa"/>
            </w:tcMar>
            <w:vAlign w:val="center"/>
            <w:hideMark/>
          </w:tcPr>
          <w:p w14:paraId="6677F583" w14:textId="77777777" w:rsidR="00DD32DB" w:rsidRPr="00DD32DB" w:rsidRDefault="00DD32DB" w:rsidP="00411525">
            <w:pPr>
              <w:tabs>
                <w:tab w:val="left" w:pos="1680"/>
              </w:tabs>
              <w:rPr>
                <w:rFonts w:ascii="Verdana" w:hAnsi="Verdana"/>
                <w:sz w:val="22"/>
                <w:szCs w:val="22"/>
              </w:rPr>
            </w:pPr>
          </w:p>
        </w:tc>
        <w:tc>
          <w:tcPr>
            <w:tcW w:w="0" w:type="auto"/>
            <w:tcMar>
              <w:top w:w="0" w:type="dxa"/>
              <w:left w:w="0" w:type="dxa"/>
              <w:bottom w:w="0" w:type="dxa"/>
              <w:right w:w="0" w:type="dxa"/>
            </w:tcMar>
            <w:vAlign w:val="center"/>
            <w:hideMark/>
          </w:tcPr>
          <w:p w14:paraId="231280C7" w14:textId="77777777" w:rsidR="00DD32DB" w:rsidRPr="00DD32DB" w:rsidRDefault="00DD32DB" w:rsidP="00411525">
            <w:pPr>
              <w:tabs>
                <w:tab w:val="left" w:pos="1680"/>
              </w:tabs>
              <w:rPr>
                <w:rFonts w:ascii="Verdana" w:hAnsi="Verdana"/>
                <w:sz w:val="22"/>
                <w:szCs w:val="22"/>
              </w:rPr>
            </w:pPr>
          </w:p>
        </w:tc>
      </w:tr>
      <w:tr w:rsidR="00DD32DB" w:rsidRPr="00DD32DB" w14:paraId="6ED6AB86"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D3B72E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CB3C58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Universidad</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7ACF20E" w14:textId="77777777" w:rsidR="00DD32DB" w:rsidRPr="00DD32DB" w:rsidRDefault="00DD32DB" w:rsidP="00411525">
            <w:pPr>
              <w:tabs>
                <w:tab w:val="left" w:pos="1680"/>
              </w:tabs>
              <w:rPr>
                <w:rFonts w:ascii="Verdana" w:hAnsi="Verdana"/>
                <w:sz w:val="22"/>
                <w:szCs w:val="22"/>
              </w:rPr>
            </w:pPr>
            <w:proofErr w:type="spellStart"/>
            <w:r w:rsidRPr="00DD32DB">
              <w:rPr>
                <w:rFonts w:ascii="Verdana" w:hAnsi="Verdana"/>
                <w:sz w:val="22"/>
                <w:szCs w:val="22"/>
              </w:rPr>
              <w:t>Maesáía</w:t>
            </w:r>
            <w:proofErr w:type="spellEnd"/>
          </w:p>
        </w:tc>
        <w:tc>
          <w:tcPr>
            <w:tcW w:w="5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0CED73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Especializado</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A23CB9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Tecnología</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A468C4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Técnica</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F7FE4D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Bachiller</w:t>
            </w:r>
          </w:p>
        </w:tc>
        <w:tc>
          <w:tcPr>
            <w:tcW w:w="10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A1725" w14:textId="77777777" w:rsidR="00DD32DB" w:rsidRPr="00DD32DB" w:rsidRDefault="00DD32DB" w:rsidP="00411525">
            <w:pPr>
              <w:tabs>
                <w:tab w:val="left" w:pos="1680"/>
              </w:tabs>
              <w:rPr>
                <w:rFonts w:ascii="Verdana" w:hAnsi="Verdana"/>
                <w:sz w:val="22"/>
                <w:szCs w:val="22"/>
              </w:rPr>
            </w:pPr>
            <w:proofErr w:type="spellStart"/>
            <w:r w:rsidRPr="00DD32DB">
              <w:rPr>
                <w:rFonts w:ascii="Verdana" w:hAnsi="Verdana"/>
                <w:sz w:val="22"/>
                <w:szCs w:val="22"/>
              </w:rPr>
              <w:t>Exp</w:t>
            </w:r>
            <w:proofErr w:type="spellEnd"/>
            <w:r w:rsidRPr="00DD32DB">
              <w:rPr>
                <w:rFonts w:ascii="Verdana" w:hAnsi="Verdana"/>
                <w:sz w:val="22"/>
                <w:szCs w:val="22"/>
              </w:rPr>
              <w:t>. Meses</w:t>
            </w:r>
          </w:p>
        </w:tc>
      </w:tr>
      <w:tr w:rsidR="00DD32DB" w:rsidRPr="00DD32DB" w14:paraId="4E786524" w14:textId="77777777" w:rsidTr="00411525">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7F1FA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PROFESIONAL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3EE19C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5F54B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41A22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F6C2C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99B3BD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54528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4EE8BD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3.553.000</w:t>
            </w:r>
          </w:p>
        </w:tc>
      </w:tr>
      <w:tr w:rsidR="00DD32DB" w:rsidRPr="00DD32DB" w14:paraId="1924CF0D"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BCCF75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1396F3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6D5EA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5D4672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85797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9211B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DBD7B0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3.232.000</w:t>
            </w:r>
          </w:p>
        </w:tc>
      </w:tr>
      <w:tr w:rsidR="00DD32DB" w:rsidRPr="00DD32DB" w14:paraId="5FDF2B92"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27D89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AD4C3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526DC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4AD00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01C4B4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87FCFD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24</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A55FD3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2.926.000</w:t>
            </w:r>
          </w:p>
        </w:tc>
      </w:tr>
      <w:tr w:rsidR="00DD32DB" w:rsidRPr="00DD32DB" w14:paraId="18DBC407"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F977A0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3106E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E3AEA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9AF2BF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371FB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DC7852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21</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A4CA17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2.806.000</w:t>
            </w:r>
          </w:p>
        </w:tc>
      </w:tr>
      <w:tr w:rsidR="00DD32DB" w:rsidRPr="00DD32DB" w14:paraId="7D3F19BD"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1FBF9F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AB04B4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844832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768A7B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F6FFE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52F3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1B238F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2.676.000</w:t>
            </w:r>
          </w:p>
        </w:tc>
      </w:tr>
      <w:tr w:rsidR="00DD32DB" w:rsidRPr="00DD32DB" w14:paraId="6E591E48"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8CB5D9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D28CD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90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71573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2AB2C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19CDD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FB995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3744D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2.547.000</w:t>
            </w:r>
          </w:p>
        </w:tc>
      </w:tr>
      <w:tr w:rsidR="00DD32DB" w:rsidRPr="00DD32DB" w14:paraId="5156C852" w14:textId="77777777" w:rsidTr="00411525">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BEBAE1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TÉCNICO</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834F0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77C685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ABB711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3EDCAD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48B1A8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10</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8696E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2.427.000</w:t>
            </w:r>
          </w:p>
        </w:tc>
      </w:tr>
      <w:tr w:rsidR="00DD32DB" w:rsidRPr="00DD32DB" w14:paraId="604AC6C4"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4FCD6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lastRenderedPageBreak/>
              <w:t>2</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588AE0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78A38A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CAC829D"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1B84F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7C9FAD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18</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A7BEA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2.273.000</w:t>
            </w:r>
          </w:p>
        </w:tc>
      </w:tr>
      <w:tr w:rsidR="00DD32DB" w:rsidRPr="00DD32DB" w14:paraId="0E4F1529"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FB837D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94285B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80FFB0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81DC43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8FE0E5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578B93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66EAE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2.180.000</w:t>
            </w:r>
          </w:p>
        </w:tc>
      </w:tr>
      <w:tr w:rsidR="00DD32DB" w:rsidRPr="00DD32DB" w14:paraId="04478A68" w14:textId="77777777" w:rsidTr="00411525">
        <w:trPr>
          <w:tblCellSpacing w:w="15" w:type="dxa"/>
        </w:trPr>
        <w:tc>
          <w:tcPr>
            <w:tcW w:w="1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AEB8CE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ASISTENCIAL</w:t>
            </w:r>
          </w:p>
        </w:tc>
        <w:tc>
          <w:tcPr>
            <w:tcW w:w="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8A416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7FCF0E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DB3976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C3319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4514C8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F1FAD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730C02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2.060.000</w:t>
            </w:r>
          </w:p>
        </w:tc>
      </w:tr>
      <w:tr w:rsidR="00DD32DB" w:rsidRPr="00DD32DB" w14:paraId="76D38697"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795782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8</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C2EFE6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E2A2E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8FC6C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CC9210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05AD0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3CB3C4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1.930.000</w:t>
            </w:r>
          </w:p>
        </w:tc>
      </w:tr>
      <w:tr w:rsidR="00DD32DB" w:rsidRPr="00DD32DB" w14:paraId="417FEFB7"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DF4E2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7</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0C645C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16E9BD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B5D265A"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F951AB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62EDE6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F1631C3"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1.812.000</w:t>
            </w:r>
          </w:p>
        </w:tc>
      </w:tr>
      <w:tr w:rsidR="00DD32DB" w:rsidRPr="00DD32DB" w14:paraId="02670685"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41C0C4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1006F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8E7FF4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73946E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B62967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32243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EA3866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1.741.000</w:t>
            </w:r>
          </w:p>
        </w:tc>
      </w:tr>
      <w:tr w:rsidR="00DD32DB" w:rsidRPr="00DD32DB" w14:paraId="7672BE2B"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71BE8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7A84E2B"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ECB866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0F04C3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A91DF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BF079B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379E5D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1.634.000</w:t>
            </w:r>
          </w:p>
        </w:tc>
      </w:tr>
      <w:tr w:rsidR="00DD32DB" w:rsidRPr="00DD32DB" w14:paraId="1448F8AE"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F674C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E9D0C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3FB32C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3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6D7663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078293E"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X</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CD2CEE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E58EB55"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1.600.000</w:t>
            </w:r>
          </w:p>
        </w:tc>
      </w:tr>
      <w:tr w:rsidR="00DD32DB" w:rsidRPr="00DD32DB" w14:paraId="6E35AC09"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E78F07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AD18F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A35D2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539551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5AEBS</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3824ED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12</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9174EC4"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1.410.000</w:t>
            </w:r>
          </w:p>
        </w:tc>
      </w:tr>
      <w:tr w:rsidR="00DD32DB" w:rsidRPr="00DD32DB" w14:paraId="7511FA74"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C15D89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2</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240F4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B6ABD2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E78160"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4AEBS</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345AEB2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EFD437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1.315.000</w:t>
            </w:r>
          </w:p>
        </w:tc>
      </w:tr>
      <w:tr w:rsidR="00DD32DB" w:rsidRPr="00DD32DB" w14:paraId="4532CAB5" w14:textId="77777777" w:rsidTr="00411525">
        <w:trPr>
          <w:tblCellSpacing w:w="15" w:type="dxa"/>
        </w:trPr>
        <w:tc>
          <w:tcPr>
            <w:tcW w:w="14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DC22642"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w:t>
            </w:r>
          </w:p>
        </w:tc>
        <w:tc>
          <w:tcPr>
            <w:tcW w:w="8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2C427E0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9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DE9BA66"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w:t>
            </w:r>
          </w:p>
        </w:tc>
        <w:tc>
          <w:tcPr>
            <w:tcW w:w="750" w:type="pct"/>
            <w:gridSpan w:val="2"/>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AA08517"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3AEBS</w:t>
            </w:r>
          </w:p>
        </w:tc>
        <w:tc>
          <w:tcPr>
            <w:tcW w:w="4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B1E995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6</w:t>
            </w:r>
          </w:p>
        </w:tc>
        <w:tc>
          <w:tcPr>
            <w:tcW w:w="6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FEEBF6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995.000</w:t>
            </w:r>
          </w:p>
        </w:tc>
      </w:tr>
    </w:tbl>
    <w:p w14:paraId="4897633C"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TABLA DE EQUIVALENCIAS</w:t>
      </w:r>
    </w:p>
    <w:tbl>
      <w:tblPr>
        <w:tblW w:w="4700" w:type="pct"/>
        <w:tblCellSpacing w:w="15" w:type="dxa"/>
        <w:tblCellMar>
          <w:top w:w="15" w:type="dxa"/>
          <w:left w:w="15" w:type="dxa"/>
          <w:bottom w:w="15" w:type="dxa"/>
          <w:right w:w="15" w:type="dxa"/>
        </w:tblCellMar>
        <w:tblLook w:val="04A0" w:firstRow="1" w:lastRow="0" w:firstColumn="1" w:lastColumn="0" w:noHBand="0" w:noVBand="1"/>
      </w:tblPr>
      <w:tblGrid>
        <w:gridCol w:w="2013"/>
        <w:gridCol w:w="6276"/>
      </w:tblGrid>
      <w:tr w:rsidR="00DD32DB" w:rsidRPr="00DD32DB" w14:paraId="6F60BA53"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2C6DAB2"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CATEGORÍA</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1C0E011"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REQUISITOS – EQUIVALENCIAS</w:t>
            </w:r>
          </w:p>
        </w:tc>
      </w:tr>
      <w:tr w:rsidR="00DD32DB" w:rsidRPr="00DD32DB" w14:paraId="009519DE"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CD8ED4C"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t>Actividades de Coordinador, Asesor y Profesional</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59147338"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 Título de posgrado en la modalidad de especialización por dos (2) años de experiencia y viceversa o Título profesional adicional al exigido, siempre y cuando dicha formación adicional sea afín con el objeto del contrato o las actividades a desarrollar.</w:t>
            </w:r>
            <w:r w:rsidRPr="00DD32DB">
              <w:rPr>
                <w:rFonts w:ascii="Verdana" w:hAnsi="Verdana"/>
                <w:sz w:val="22"/>
                <w:szCs w:val="22"/>
              </w:rPr>
              <w:br/>
            </w:r>
            <w:r w:rsidRPr="00DD32DB">
              <w:rPr>
                <w:rFonts w:ascii="Verdana" w:hAnsi="Verdana"/>
                <w:sz w:val="22"/>
                <w:szCs w:val="22"/>
              </w:rPr>
              <w:br/>
              <w:t>2. Título de Posgrado en la modalidad de maestría por tres (3) años de experiencia y viceversa, o Título profesional adicional al exigido, siempre y cuando dicha formación adicional sea afín con el objeto del contrato o las actividades a desarrollar.</w:t>
            </w:r>
            <w:r w:rsidRPr="00DD32DB">
              <w:rPr>
                <w:rFonts w:ascii="Verdana" w:hAnsi="Verdana"/>
                <w:sz w:val="22"/>
                <w:szCs w:val="22"/>
              </w:rPr>
              <w:br/>
            </w:r>
            <w:r w:rsidRPr="00DD32DB">
              <w:rPr>
                <w:rFonts w:ascii="Verdana" w:hAnsi="Verdana"/>
                <w:sz w:val="22"/>
                <w:szCs w:val="22"/>
              </w:rPr>
              <w:br/>
              <w:t>3. Título de Posgrado en la modalidad de doctorado por cuatro (4) años de la experiencia exigida y viceversa.</w:t>
            </w:r>
            <w:r w:rsidRPr="00DD32DB">
              <w:rPr>
                <w:rFonts w:ascii="Verdana" w:hAnsi="Verdana"/>
                <w:sz w:val="22"/>
                <w:szCs w:val="22"/>
              </w:rPr>
              <w:br/>
            </w:r>
            <w:r w:rsidRPr="00DD32DB">
              <w:rPr>
                <w:rFonts w:ascii="Verdana" w:hAnsi="Verdana"/>
                <w:sz w:val="22"/>
                <w:szCs w:val="22"/>
              </w:rPr>
              <w:lastRenderedPageBreak/>
              <w:br/>
              <w:t>4. Cuando se trate de aplicar equivalencias para la formación de posgrado se tendrá en cuenta que la maestría es equivalente a la especialización más un (1) año de experiencia profesional o viceversa.</w:t>
            </w:r>
          </w:p>
        </w:tc>
      </w:tr>
      <w:tr w:rsidR="00DD32DB" w:rsidRPr="00DD32DB" w14:paraId="4D269118" w14:textId="77777777">
        <w:trPr>
          <w:tblCellSpacing w:w="15" w:type="dxa"/>
        </w:trPr>
        <w:tc>
          <w:tcPr>
            <w:tcW w:w="12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30E0A0D" w14:textId="77777777" w:rsidR="00DD32DB" w:rsidRPr="00DD32DB" w:rsidRDefault="00DD32DB" w:rsidP="00411525">
            <w:pPr>
              <w:tabs>
                <w:tab w:val="left" w:pos="1680"/>
              </w:tabs>
              <w:rPr>
                <w:rFonts w:ascii="Verdana" w:hAnsi="Verdana"/>
                <w:sz w:val="22"/>
                <w:szCs w:val="22"/>
              </w:rPr>
            </w:pPr>
            <w:r w:rsidRPr="00DD32DB">
              <w:rPr>
                <w:rFonts w:ascii="Verdana" w:hAnsi="Verdana"/>
                <w:b/>
                <w:bCs/>
                <w:sz w:val="22"/>
                <w:szCs w:val="22"/>
              </w:rPr>
              <w:lastRenderedPageBreak/>
              <w:t>Actividades técnicas y asistenciales</w:t>
            </w:r>
          </w:p>
        </w:tc>
        <w:tc>
          <w:tcPr>
            <w:tcW w:w="3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7CA47B99"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 Título de formación tecnológica o de formación técnica profesional, por un (1) año de experiencia relacionada, siempre y cuando se acredite la terminación y la aprobación de los estudios en la respectiva modalidad.</w:t>
            </w:r>
            <w:r w:rsidRPr="00DD32DB">
              <w:rPr>
                <w:rFonts w:ascii="Verdana" w:hAnsi="Verdana"/>
                <w:sz w:val="22"/>
                <w:szCs w:val="22"/>
              </w:rPr>
              <w:br/>
            </w:r>
            <w:r w:rsidRPr="00DD32DB">
              <w:rPr>
                <w:rFonts w:ascii="Verdana" w:hAnsi="Verdana"/>
                <w:sz w:val="22"/>
                <w:szCs w:val="22"/>
              </w:rPr>
              <w:br/>
              <w:t>2. Tres (3) años de experiencia relacionada por título de formación tecnológica o de formación técnica profesional adicional al inicialmente exigido, y viceversa.</w:t>
            </w:r>
            <w:r w:rsidRPr="00DD32DB">
              <w:rPr>
                <w:rFonts w:ascii="Verdana" w:hAnsi="Verdana"/>
                <w:sz w:val="22"/>
                <w:szCs w:val="22"/>
              </w:rPr>
              <w:br/>
            </w:r>
            <w:r w:rsidRPr="00DD32DB">
              <w:rPr>
                <w:rFonts w:ascii="Verdana" w:hAnsi="Verdana"/>
                <w:sz w:val="22"/>
                <w:szCs w:val="22"/>
              </w:rPr>
              <w:br/>
              <w:t>3. Un (1) año de educación superior por un (1) año de experiencia y viceversa.</w:t>
            </w:r>
            <w:r w:rsidRPr="00DD32DB">
              <w:rPr>
                <w:rFonts w:ascii="Verdana" w:hAnsi="Verdana"/>
                <w:sz w:val="22"/>
                <w:szCs w:val="22"/>
              </w:rPr>
              <w:br/>
            </w:r>
            <w:r w:rsidRPr="00DD32DB">
              <w:rPr>
                <w:rFonts w:ascii="Verdana" w:hAnsi="Verdana"/>
                <w:sz w:val="22"/>
                <w:szCs w:val="22"/>
              </w:rPr>
              <w:br/>
              <w:t>4. Diploma de bachiller en cualquier modalidad, por aprobación de cuatro (4) años de educación básica secundaria y un (1) año de experiencia laboral y viceversa, o por aprobación de cuatro (4) años de educación básica secundaria y Capacitación del Sena.</w:t>
            </w:r>
          </w:p>
        </w:tc>
      </w:tr>
    </w:tbl>
    <w:p w14:paraId="5B9930F1"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 * *</w:t>
      </w:r>
    </w:p>
    <w:p w14:paraId="1EF7649F" w14:textId="77777777" w:rsidR="00DD32DB" w:rsidRPr="00DD32DB" w:rsidRDefault="00DD32DB" w:rsidP="00411525">
      <w:pPr>
        <w:tabs>
          <w:tab w:val="left" w:pos="1680"/>
        </w:tabs>
        <w:rPr>
          <w:rFonts w:ascii="Verdana" w:hAnsi="Verdana"/>
          <w:sz w:val="22"/>
          <w:szCs w:val="22"/>
        </w:rPr>
      </w:pPr>
      <w:r w:rsidRPr="00DD32DB">
        <w:rPr>
          <w:rFonts w:ascii="Verdana" w:hAnsi="Verdana"/>
          <w:sz w:val="22"/>
          <w:szCs w:val="22"/>
        </w:rPr>
        <w:t>1. Ley 489 de 1998, artículo 3o.</w:t>
      </w:r>
    </w:p>
    <w:p w14:paraId="3893F68A" w14:textId="1F65CF32" w:rsidR="00DD32DB" w:rsidRPr="00411525" w:rsidRDefault="00DD32DB" w:rsidP="00411525">
      <w:pPr>
        <w:tabs>
          <w:tab w:val="left" w:pos="1680"/>
        </w:tabs>
        <w:rPr>
          <w:rFonts w:ascii="Verdana" w:hAnsi="Verdana"/>
          <w:sz w:val="22"/>
          <w:szCs w:val="22"/>
        </w:rPr>
      </w:pPr>
      <w:r w:rsidRPr="00411525">
        <w:rPr>
          <w:rFonts w:ascii="Verdana" w:hAnsi="Verdana"/>
          <w:sz w:val="22"/>
          <w:szCs w:val="22"/>
        </w:rPr>
        <w:tab/>
      </w:r>
    </w:p>
    <w:sectPr w:rsidR="00DD32DB" w:rsidRPr="0041152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449C9"/>
    <w:multiLevelType w:val="hybridMultilevel"/>
    <w:tmpl w:val="CC1C0C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1075D14"/>
    <w:multiLevelType w:val="hybridMultilevel"/>
    <w:tmpl w:val="EC74A0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5F8C46FD"/>
    <w:multiLevelType w:val="hybridMultilevel"/>
    <w:tmpl w:val="20085C9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294867075">
    <w:abstractNumId w:val="0"/>
  </w:num>
  <w:num w:numId="2" w16cid:durableId="820389175">
    <w:abstractNumId w:val="2"/>
  </w:num>
  <w:num w:numId="3" w16cid:durableId="1161114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3AC"/>
    <w:rsid w:val="00015D2A"/>
    <w:rsid w:val="0018794C"/>
    <w:rsid w:val="00396944"/>
    <w:rsid w:val="00411525"/>
    <w:rsid w:val="00490B89"/>
    <w:rsid w:val="00550F5C"/>
    <w:rsid w:val="0088588F"/>
    <w:rsid w:val="008B03AC"/>
    <w:rsid w:val="008D580C"/>
    <w:rsid w:val="00D949D0"/>
    <w:rsid w:val="00DD32DB"/>
    <w:rsid w:val="00E46078"/>
    <w:rsid w:val="00ED42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1384C"/>
  <w15:chartTrackingRefBased/>
  <w15:docId w15:val="{79425106-62B9-46E4-A564-7E20FA384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2DB"/>
  </w:style>
  <w:style w:type="paragraph" w:styleId="Ttulo1">
    <w:name w:val="heading 1"/>
    <w:basedOn w:val="Normal"/>
    <w:next w:val="Normal"/>
    <w:link w:val="Ttulo1Car"/>
    <w:uiPriority w:val="9"/>
    <w:qFormat/>
    <w:rsid w:val="008B03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B03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B03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B03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8B03A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8B03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8B03A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8B03A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8B03A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03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B03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B03A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B03A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8B03A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8B03A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8B03A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8B03A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8B03A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8B03A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B03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B03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B03A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8B03AC"/>
    <w:pPr>
      <w:spacing w:before="160"/>
      <w:jc w:val="center"/>
    </w:pPr>
    <w:rPr>
      <w:i/>
      <w:iCs/>
      <w:color w:val="404040" w:themeColor="text1" w:themeTint="BF"/>
    </w:rPr>
  </w:style>
  <w:style w:type="character" w:customStyle="1" w:styleId="CitaCar">
    <w:name w:val="Cita Car"/>
    <w:basedOn w:val="Fuentedeprrafopredeter"/>
    <w:link w:val="Cita"/>
    <w:uiPriority w:val="29"/>
    <w:rsid w:val="008B03AC"/>
    <w:rPr>
      <w:i/>
      <w:iCs/>
      <w:color w:val="404040" w:themeColor="text1" w:themeTint="BF"/>
    </w:rPr>
  </w:style>
  <w:style w:type="paragraph" w:styleId="Prrafodelista">
    <w:name w:val="List Paragraph"/>
    <w:basedOn w:val="Normal"/>
    <w:uiPriority w:val="34"/>
    <w:qFormat/>
    <w:rsid w:val="008B03AC"/>
    <w:pPr>
      <w:ind w:left="720"/>
      <w:contextualSpacing/>
    </w:pPr>
  </w:style>
  <w:style w:type="character" w:styleId="nfasisintenso">
    <w:name w:val="Intense Emphasis"/>
    <w:basedOn w:val="Fuentedeprrafopredeter"/>
    <w:uiPriority w:val="21"/>
    <w:qFormat/>
    <w:rsid w:val="008B03AC"/>
    <w:rPr>
      <w:i/>
      <w:iCs/>
      <w:color w:val="0F4761" w:themeColor="accent1" w:themeShade="BF"/>
    </w:rPr>
  </w:style>
  <w:style w:type="paragraph" w:styleId="Citadestacada">
    <w:name w:val="Intense Quote"/>
    <w:basedOn w:val="Normal"/>
    <w:next w:val="Normal"/>
    <w:link w:val="CitadestacadaCar"/>
    <w:uiPriority w:val="30"/>
    <w:qFormat/>
    <w:rsid w:val="008B03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B03AC"/>
    <w:rPr>
      <w:i/>
      <w:iCs/>
      <w:color w:val="0F4761" w:themeColor="accent1" w:themeShade="BF"/>
    </w:rPr>
  </w:style>
  <w:style w:type="character" w:styleId="Referenciaintensa">
    <w:name w:val="Intense Reference"/>
    <w:basedOn w:val="Fuentedeprrafopredeter"/>
    <w:uiPriority w:val="32"/>
    <w:qFormat/>
    <w:rsid w:val="008B03AC"/>
    <w:rPr>
      <w:b/>
      <w:bCs/>
      <w:smallCaps/>
      <w:color w:val="0F4761" w:themeColor="accent1" w:themeShade="BF"/>
      <w:spacing w:val="5"/>
    </w:rPr>
  </w:style>
  <w:style w:type="table" w:styleId="Tablaconcuadrcula">
    <w:name w:val="Table Grid"/>
    <w:basedOn w:val="Tablanormal"/>
    <w:uiPriority w:val="39"/>
    <w:rsid w:val="00DD32D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DD32DB"/>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centrado">
    <w:name w:val="centrado"/>
    <w:basedOn w:val="Normal"/>
    <w:rsid w:val="00DD32DB"/>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14pt">
    <w:name w:val="letra14pt"/>
    <w:basedOn w:val="Fuentedeprrafopredeter"/>
    <w:rsid w:val="00DD32DB"/>
  </w:style>
  <w:style w:type="character" w:customStyle="1" w:styleId="baj">
    <w:name w:val="b_aj"/>
    <w:basedOn w:val="Fuentedeprrafopredeter"/>
    <w:rsid w:val="00DD32DB"/>
  </w:style>
  <w:style w:type="character" w:styleId="Hipervnculo">
    <w:name w:val="Hyperlink"/>
    <w:basedOn w:val="Fuentedeprrafopredeter"/>
    <w:uiPriority w:val="99"/>
    <w:unhideWhenUsed/>
    <w:rsid w:val="00DD32DB"/>
    <w:rPr>
      <w:color w:val="0000FF"/>
      <w:u w:val="single"/>
    </w:rPr>
  </w:style>
  <w:style w:type="character" w:styleId="Hipervnculovisitado">
    <w:name w:val="FollowedHyperlink"/>
    <w:basedOn w:val="Fuentedeprrafopredeter"/>
    <w:uiPriority w:val="99"/>
    <w:semiHidden/>
    <w:unhideWhenUsed/>
    <w:rsid w:val="00DD32DB"/>
    <w:rPr>
      <w:color w:val="800080"/>
      <w:u w:val="single"/>
    </w:rPr>
  </w:style>
  <w:style w:type="paragraph" w:styleId="NormalWeb">
    <w:name w:val="Normal (Web)"/>
    <w:basedOn w:val="Normal"/>
    <w:uiPriority w:val="99"/>
    <w:semiHidden/>
    <w:unhideWhenUsed/>
    <w:rsid w:val="00DD32DB"/>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letra8pt">
    <w:name w:val="letra8pt"/>
    <w:basedOn w:val="Fuentedeprrafopredeter"/>
    <w:rsid w:val="00DD32DB"/>
  </w:style>
  <w:style w:type="character" w:styleId="Mencinsinresolver">
    <w:name w:val="Unresolved Mention"/>
    <w:basedOn w:val="Fuentedeprrafopredeter"/>
    <w:uiPriority w:val="99"/>
    <w:semiHidden/>
    <w:unhideWhenUsed/>
    <w:rsid w:val="00DD32DB"/>
    <w:rPr>
      <w:color w:val="605E5C"/>
      <w:shd w:val="clear" w:color="auto" w:fill="E1DFDD"/>
    </w:rPr>
  </w:style>
  <w:style w:type="paragraph" w:styleId="Sinespaciado">
    <w:name w:val="No Spacing"/>
    <w:uiPriority w:val="1"/>
    <w:qFormat/>
    <w:rsid w:val="0039694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58F4F0-B378-4FAF-8768-EDAF57E572A1}"/>
</file>

<file path=customXml/itemProps2.xml><?xml version="1.0" encoding="utf-8"?>
<ds:datastoreItem xmlns:ds="http://schemas.openxmlformats.org/officeDocument/2006/customXml" ds:itemID="{26408C36-C006-443B-A655-D7DC9035DC65}"/>
</file>

<file path=customXml/itemProps3.xml><?xml version="1.0" encoding="utf-8"?>
<ds:datastoreItem xmlns:ds="http://schemas.openxmlformats.org/officeDocument/2006/customXml" ds:itemID="{F4FA4A69-B365-4F8E-B249-79953948C613}"/>
</file>

<file path=docProps/app.xml><?xml version="1.0" encoding="utf-8"?>
<Properties xmlns="http://schemas.openxmlformats.org/officeDocument/2006/extended-properties" xmlns:vt="http://schemas.openxmlformats.org/officeDocument/2006/docPropsVTypes">
  <Template>Normal</Template>
  <TotalTime>11</TotalTime>
  <Pages>1</Pages>
  <Words>2076</Words>
  <Characters>10944</Characters>
  <Application>Microsoft Office Word</Application>
  <DocSecurity>0</DocSecurity>
  <Lines>643</Lines>
  <Paragraphs>394</Paragraphs>
  <ScaleCrop>false</ScaleCrop>
  <Company/>
  <LinksUpToDate>false</LinksUpToDate>
  <CharactersWithSpaces>12626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8</cp:revision>
  <dcterms:created xsi:type="dcterms:W3CDTF">2025-12-17T21:56:00Z</dcterms:created>
  <dcterms:modified xsi:type="dcterms:W3CDTF">2026-01-24T17:04:00Z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